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sci20240628_sc13da.htm"/>
      <w:bookmarkStart w:id="1" w:name="ksasci20240628_sc13da"/>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13D/A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BASSETT FURNITURE INDUSTRIES,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$5.00 per share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070203104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Bradley L. Hasselwander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Auto Services Company,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1793 HWY 201 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Mountain Home, AR 72653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(870) 425-8330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Pierce G. Hunter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Kutak Rock LLP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124 West Capitol Avenue, Suite 2000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Little Rock, Arkansas 72201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(501) 975-3000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Address and Telephone Number of Person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Authorized to Receive Notices and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26, 2024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855" w:type="dxa"/>
        <w:jc w:val="left"/>
        <w:tblInd w:w="0" w:type="dxa"/>
        <w:tblLayout w:type="fixed"/>
        <w:tblCellMar>
          <w:top w:w="0" w:type="dxa"/>
          <w:left w:w="0" w:type="dxa"/>
          <w:bottom w:w="0" w:type="dxa"/>
          <w:right w:w="0" w:type="dxa"/>
        </w:tblCellMar>
      </w:tblPr>
      <w:tblGrid>
        <w:gridCol w:w="890"/>
        <w:gridCol w:w="965"/>
      </w:tblGrid>
      <w:tr>
        <w:trPr/>
        <w:tc>
          <w:tcPr>
            <w:tcW w:w="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CUSIP No.</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070203104</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28" w:type="dxa"/>
        </w:tblCellMar>
      </w:tblPr>
      <w:tblGrid>
        <w:gridCol w:w="125"/>
        <w:gridCol w:w="60"/>
        <w:gridCol w:w="8705"/>
      </w:tblGrid>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 Services Company, Inc.</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IF A MEMBER OF A GROUP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w:t>
            </w:r>
          </w:p>
        </w:tc>
        <w:tc>
          <w:tcPr>
            <w:tcW w:w="60" w:type="dxa"/>
            <w:tcBorders/>
            <w:tcMar>
              <w:bottom w:w="0" w:type="dxa"/>
              <w:right w:w="0" w:type="dxa"/>
            </w:tcMar>
            <w:vAlign w:val="center"/>
          </w:tcPr>
          <w:p>
            <w:pPr>
              <w:pStyle w:val="TableContents"/>
              <w:bidi w:val="0"/>
              <w:spacing w:before="0" w:after="283"/>
              <w:jc w:val="left"/>
              <w:rPr/>
            </w:pPr>
            <w:r>
              <w:rPr/>
              <w:t> </w:t>
            </w:r>
          </w:p>
        </w:tc>
        <w:tc>
          <w:tcPr>
            <w:tcW w:w="8705"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bottom w:val="single" w:sz="2" w:space="0" w:color="000000"/>
              <w:right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WC</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125"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w:t>
            </w:r>
          </w:p>
        </w:tc>
        <w:tc>
          <w:tcPr>
            <w:tcW w:w="60" w:type="dxa"/>
            <w:tcBorders/>
            <w:tcMar>
              <w:bottom w:w="0" w:type="dxa"/>
              <w:right w:w="0" w:type="dxa"/>
            </w:tcMar>
            <w:vAlign w:val="center"/>
          </w:tcPr>
          <w:p>
            <w:pPr>
              <w:pStyle w:val="TableContents"/>
              <w:bidi w:val="0"/>
              <w:spacing w:before="0" w:after="283"/>
              <w:jc w:val="left"/>
              <w:rPr/>
            </w:pPr>
            <w:r>
              <w:rPr/>
              <w:t> </w:t>
            </w:r>
          </w:p>
        </w:tc>
        <w:tc>
          <w:tcPr>
            <w:tcW w:w="8705"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bottom w:val="single" w:sz="2" w:space="0" w:color="000000"/>
              <w:right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Arkansas</w:t>
            </w:r>
          </w:p>
        </w:tc>
      </w:tr>
    </w:tbl>
    <w:tbl>
      <w:tblPr>
        <w:tblW w:w="4380" w:type="dxa"/>
        <w:jc w:val="left"/>
        <w:tblInd w:w="0" w:type="dxa"/>
        <w:tblLayout w:type="fixed"/>
        <w:tblCellMar>
          <w:top w:w="0" w:type="dxa"/>
          <w:left w:w="0" w:type="dxa"/>
          <w:bottom w:w="0" w:type="dxa"/>
          <w:right w:w="0" w:type="dxa"/>
        </w:tblCellMar>
      </w:tblPr>
      <w:tblGrid>
        <w:gridCol w:w="1400"/>
        <w:gridCol w:w="230"/>
        <w:gridCol w:w="60"/>
        <w:gridCol w:w="2690"/>
      </w:tblGrid>
      <w:tr>
        <w:trPr/>
        <w:tc>
          <w:tcPr>
            <w:tcW w:w="1400" w:type="dxa"/>
            <w:vMerge w:val="restart"/>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BENEFICIALLY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 BY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EACH</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REPORTING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PERSON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WITH:</w:t>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bl>
    <w:tbl>
      <w:tblPr>
        <w:tblW w:w="7525" w:type="dxa"/>
        <w:jc w:val="left"/>
        <w:tblInd w:w="0" w:type="dxa"/>
        <w:tblLayout w:type="fixed"/>
        <w:tblCellMar>
          <w:top w:w="28" w:type="dxa"/>
          <w:left w:w="0" w:type="dxa"/>
          <w:bottom w:w="0" w:type="dxa"/>
          <w:right w:w="28" w:type="dxa"/>
        </w:tblCellMar>
      </w:tblPr>
      <w:tblGrid>
        <w:gridCol w:w="230"/>
        <w:gridCol w:w="60"/>
        <w:gridCol w:w="7235"/>
      </w:tblGrid>
      <w:tr>
        <w:trPr/>
        <w:tc>
          <w:tcPr>
            <w:tcW w:w="230" w:type="dxa"/>
            <w:tcBorders>
              <w:top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w:t>
            </w:r>
          </w:p>
        </w:tc>
        <w:tc>
          <w:tcPr>
            <w:tcW w:w="60" w:type="dxa"/>
            <w:tcBorders>
              <w:top w:val="single" w:sz="2" w:space="0" w:color="000000"/>
            </w:tcBorders>
            <w:tcMar>
              <w:right w:w="0" w:type="dxa"/>
            </w:tcMar>
            <w:vAlign w:val="center"/>
          </w:tcPr>
          <w:p>
            <w:pPr>
              <w:pStyle w:val="TableContents"/>
              <w:bidi w:val="0"/>
              <w:spacing w:before="0" w:after="283"/>
              <w:jc w:val="left"/>
              <w:rPr/>
            </w:pPr>
            <w:r>
              <w:rPr/>
              <w:t> </w:t>
            </w:r>
          </w:p>
        </w:tc>
        <w:tc>
          <w:tcPr>
            <w:tcW w:w="7235" w:type="dxa"/>
            <w:tcBorders>
              <w:top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30" w:type="dxa"/>
            <w:tcBorders>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8.57%(2)</w:t>
            </w:r>
          </w:p>
        </w:tc>
      </w:tr>
      <w:tr>
        <w:trPr/>
        <w:tc>
          <w:tcPr>
            <w:tcW w:w="230" w:type="dxa"/>
            <w:tcBorders>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14</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beneficial ownership of 756,317 shares of Common Stock, par value $5.00 per share (“</w:t>
      </w:r>
      <w:r>
        <w:rPr>
          <w:rFonts w:ascii="Times New Roman" w:hAnsi="Times New Roman"/>
          <w:caps w:val="false"/>
          <w:smallCaps w:val="false"/>
          <w:sz w:val="20"/>
          <w:u w:val="single"/>
        </w:rPr>
        <w:t>Common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ownership percentage set forth herein is calculated assuming a total of 8,828,751 shares of Common Stock of Bassett Furniture Industries, Incorporated (the “</w:t>
      </w:r>
      <w:r>
        <w:rPr>
          <w:rFonts w:ascii="Times New Roman" w:hAnsi="Times New Roman"/>
          <w:caps w:val="false"/>
          <w:smallCaps w:val="false"/>
          <w:sz w:val="20"/>
          <w:u w:val="single"/>
        </w:rPr>
        <w:t>Issuer</w:t>
      </w:r>
      <w:r>
        <w:rPr>
          <w:rFonts w:ascii="Times New Roman" w:hAnsi="Times New Roman"/>
          <w:caps w:val="false"/>
          <w:smallCaps w:val="false"/>
          <w:sz w:val="20"/>
        </w:rPr>
        <w:t>”) are issued and outstanding, as set forth in the Issuer’s Quarterly Report on Form 10-Q filed with the Securities and Exchange Commission on April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890"/>
        <w:gridCol w:w="965"/>
      </w:tblGrid>
      <w:tr>
        <w:trPr/>
        <w:tc>
          <w:tcPr>
            <w:tcW w:w="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CUSIP No.</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070203104</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28" w:type="dxa"/>
        </w:tblCellMar>
      </w:tblPr>
      <w:tblGrid>
        <w:gridCol w:w="125"/>
        <w:gridCol w:w="60"/>
        <w:gridCol w:w="8705"/>
      </w:tblGrid>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ASC Holding Company, Inc.</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IF A MEMBER OF A GROUP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w:t>
            </w:r>
          </w:p>
        </w:tc>
        <w:tc>
          <w:tcPr>
            <w:tcW w:w="60" w:type="dxa"/>
            <w:tcBorders/>
            <w:tcMar>
              <w:bottom w:w="0" w:type="dxa"/>
              <w:right w:w="0" w:type="dxa"/>
            </w:tcMar>
            <w:vAlign w:val="center"/>
          </w:tcPr>
          <w:p>
            <w:pPr>
              <w:pStyle w:val="TableContents"/>
              <w:bidi w:val="0"/>
              <w:spacing w:before="0" w:after="283"/>
              <w:jc w:val="left"/>
              <w:rPr/>
            </w:pPr>
            <w:r>
              <w:rPr/>
              <w:t> </w:t>
            </w:r>
          </w:p>
        </w:tc>
        <w:tc>
          <w:tcPr>
            <w:tcW w:w="8705"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bottom w:val="single" w:sz="2" w:space="0" w:color="000000"/>
              <w:right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125"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w:t>
            </w:r>
          </w:p>
        </w:tc>
        <w:tc>
          <w:tcPr>
            <w:tcW w:w="60" w:type="dxa"/>
            <w:tcBorders/>
            <w:tcMar>
              <w:bottom w:w="0" w:type="dxa"/>
              <w:right w:w="0" w:type="dxa"/>
            </w:tcMar>
            <w:vAlign w:val="center"/>
          </w:tcPr>
          <w:p>
            <w:pPr>
              <w:pStyle w:val="TableContents"/>
              <w:bidi w:val="0"/>
              <w:spacing w:before="0" w:after="283"/>
              <w:jc w:val="left"/>
              <w:rPr/>
            </w:pPr>
            <w:r>
              <w:rPr/>
              <w:t> </w:t>
            </w:r>
          </w:p>
        </w:tc>
        <w:tc>
          <w:tcPr>
            <w:tcW w:w="8705"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bottom w:val="single" w:sz="2" w:space="0" w:color="000000"/>
              <w:right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Arkansas</w:t>
            </w:r>
          </w:p>
        </w:tc>
      </w:tr>
    </w:tbl>
    <w:tbl>
      <w:tblPr>
        <w:tblW w:w="4380" w:type="dxa"/>
        <w:jc w:val="left"/>
        <w:tblInd w:w="0" w:type="dxa"/>
        <w:tblLayout w:type="fixed"/>
        <w:tblCellMar>
          <w:top w:w="0" w:type="dxa"/>
          <w:left w:w="0" w:type="dxa"/>
          <w:bottom w:w="0" w:type="dxa"/>
          <w:right w:w="0" w:type="dxa"/>
        </w:tblCellMar>
      </w:tblPr>
      <w:tblGrid>
        <w:gridCol w:w="1400"/>
        <w:gridCol w:w="230"/>
        <w:gridCol w:w="60"/>
        <w:gridCol w:w="2690"/>
      </w:tblGrid>
      <w:tr>
        <w:trPr/>
        <w:tc>
          <w:tcPr>
            <w:tcW w:w="1400" w:type="dxa"/>
            <w:vMerge w:val="restart"/>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BENEFICIALLY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 BY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EACH</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REPORTING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PERSON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WITH:</w:t>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bl>
    <w:tbl>
      <w:tblPr>
        <w:tblW w:w="7525" w:type="dxa"/>
        <w:jc w:val="left"/>
        <w:tblInd w:w="0" w:type="dxa"/>
        <w:tblLayout w:type="fixed"/>
        <w:tblCellMar>
          <w:top w:w="28" w:type="dxa"/>
          <w:left w:w="0" w:type="dxa"/>
          <w:bottom w:w="0" w:type="dxa"/>
          <w:right w:w="28" w:type="dxa"/>
        </w:tblCellMar>
      </w:tblPr>
      <w:tblGrid>
        <w:gridCol w:w="230"/>
        <w:gridCol w:w="60"/>
        <w:gridCol w:w="7235"/>
      </w:tblGrid>
      <w:tr>
        <w:trPr/>
        <w:tc>
          <w:tcPr>
            <w:tcW w:w="230" w:type="dxa"/>
            <w:tcBorders>
              <w:top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w:t>
            </w:r>
          </w:p>
        </w:tc>
        <w:tc>
          <w:tcPr>
            <w:tcW w:w="60" w:type="dxa"/>
            <w:tcBorders>
              <w:top w:val="single" w:sz="2" w:space="0" w:color="000000"/>
            </w:tcBorders>
            <w:tcMar>
              <w:right w:w="0" w:type="dxa"/>
            </w:tcMar>
            <w:vAlign w:val="center"/>
          </w:tcPr>
          <w:p>
            <w:pPr>
              <w:pStyle w:val="TableContents"/>
              <w:bidi w:val="0"/>
              <w:spacing w:before="0" w:after="283"/>
              <w:jc w:val="left"/>
              <w:rPr/>
            </w:pPr>
            <w:r>
              <w:rPr/>
              <w:t> </w:t>
            </w:r>
          </w:p>
        </w:tc>
        <w:tc>
          <w:tcPr>
            <w:tcW w:w="7235" w:type="dxa"/>
            <w:tcBorders>
              <w:top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30" w:type="dxa"/>
            <w:tcBorders>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8.57%(2)</w:t>
            </w:r>
          </w:p>
        </w:tc>
      </w:tr>
      <w:tr>
        <w:trPr/>
        <w:tc>
          <w:tcPr>
            <w:tcW w:w="230" w:type="dxa"/>
            <w:tcBorders>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14</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beneficial ownership of 756,317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ownership percentage set forth herein is calculated assuming a total of 8,828,751 shares of Common Stock of the Issuer are issued and outstanding, as set forth in the Issuer’s Quarterly Report on Form 10-Q filed with the Securities and Exchange Commission on April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890"/>
        <w:gridCol w:w="965"/>
      </w:tblGrid>
      <w:tr>
        <w:trPr/>
        <w:tc>
          <w:tcPr>
            <w:tcW w:w="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CUSIP No.</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070203104</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28" w:type="dxa"/>
        </w:tblCellMar>
      </w:tblPr>
      <w:tblGrid>
        <w:gridCol w:w="125"/>
        <w:gridCol w:w="60"/>
        <w:gridCol w:w="8705"/>
      </w:tblGrid>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L. Hasselwander</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IF A MEMBER OF A GROUP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w:t>
            </w:r>
          </w:p>
        </w:tc>
        <w:tc>
          <w:tcPr>
            <w:tcW w:w="60" w:type="dxa"/>
            <w:tcBorders/>
            <w:tcMar>
              <w:bottom w:w="0" w:type="dxa"/>
              <w:right w:w="0" w:type="dxa"/>
            </w:tcMar>
            <w:vAlign w:val="center"/>
          </w:tcPr>
          <w:p>
            <w:pPr>
              <w:pStyle w:val="TableContents"/>
              <w:bidi w:val="0"/>
              <w:spacing w:before="0" w:after="283"/>
              <w:jc w:val="left"/>
              <w:rPr/>
            </w:pPr>
            <w:r>
              <w:rPr/>
              <w:t> </w:t>
            </w:r>
          </w:p>
        </w:tc>
        <w:tc>
          <w:tcPr>
            <w:tcW w:w="8705"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OF FUNDS</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bottom w:val="single" w:sz="2" w:space="0" w:color="000000"/>
              <w:right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12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125"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w:t>
            </w:r>
          </w:p>
        </w:tc>
        <w:tc>
          <w:tcPr>
            <w:tcW w:w="60" w:type="dxa"/>
            <w:tcBorders/>
            <w:tcMar>
              <w:bottom w:w="0" w:type="dxa"/>
              <w:right w:w="0" w:type="dxa"/>
            </w:tcMar>
            <w:vAlign w:val="center"/>
          </w:tcPr>
          <w:p>
            <w:pPr>
              <w:pStyle w:val="TableContents"/>
              <w:bidi w:val="0"/>
              <w:spacing w:before="0" w:after="283"/>
              <w:jc w:val="left"/>
              <w:rPr/>
            </w:pPr>
            <w:r>
              <w:rPr/>
              <w:t> </w:t>
            </w:r>
          </w:p>
        </w:tc>
        <w:tc>
          <w:tcPr>
            <w:tcW w:w="8705" w:type="dxa"/>
            <w:tcBorders/>
            <w:tcMar>
              <w:bottom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tc>
      </w:tr>
      <w:tr>
        <w:trPr/>
        <w:tc>
          <w:tcPr>
            <w:tcW w:w="125" w:type="dxa"/>
            <w:tcBorders>
              <w:bottom w:val="single" w:sz="2" w:space="0" w:color="000000"/>
              <w:right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tcMar>
              <w:right w:w="0" w:type="dxa"/>
            </w:tcMar>
            <w:vAlign w:val="center"/>
          </w:tcPr>
          <w:p>
            <w:pPr>
              <w:pStyle w:val="TableContents"/>
              <w:bidi w:val="0"/>
              <w:spacing w:before="0" w:after="283"/>
              <w:jc w:val="left"/>
              <w:rPr/>
            </w:pPr>
            <w:r>
              <w:rPr/>
              <w:t> </w:t>
            </w:r>
          </w:p>
        </w:tc>
        <w:tc>
          <w:tcPr>
            <w:tcW w:w="8705" w:type="dxa"/>
            <w:tcBorders>
              <w:bottom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r>
    </w:tbl>
    <w:tbl>
      <w:tblPr>
        <w:tblW w:w="4380" w:type="dxa"/>
        <w:jc w:val="left"/>
        <w:tblInd w:w="0" w:type="dxa"/>
        <w:tblLayout w:type="fixed"/>
        <w:tblCellMar>
          <w:top w:w="0" w:type="dxa"/>
          <w:left w:w="0" w:type="dxa"/>
          <w:bottom w:w="0" w:type="dxa"/>
          <w:right w:w="0" w:type="dxa"/>
        </w:tblCellMar>
      </w:tblPr>
      <w:tblGrid>
        <w:gridCol w:w="1400"/>
        <w:gridCol w:w="230"/>
        <w:gridCol w:w="60"/>
        <w:gridCol w:w="2690"/>
      </w:tblGrid>
      <w:tr>
        <w:trPr/>
        <w:tc>
          <w:tcPr>
            <w:tcW w:w="1400" w:type="dxa"/>
            <w:vMerge w:val="restart"/>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BENEFICIALLY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 BY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EACH</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REPORTING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PERSON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WITH:</w:t>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tc>
      </w:tr>
      <w:tr>
        <w:trPr/>
        <w:tc>
          <w:tcPr>
            <w:tcW w:w="1400" w:type="dxa"/>
            <w:vMerge w:val="continue"/>
            <w:tcBorders/>
            <w:vAlign w:val="center"/>
          </w:tcPr>
          <w:p>
            <w:pPr>
              <w:pStyle w:val="Normal"/>
              <w:bidi w:val="0"/>
              <w:jc w:val="left"/>
              <w:rPr/>
            </w:pPr>
            <w:r>
              <w:rPr/>
            </w:r>
          </w:p>
        </w:tc>
        <w:tc>
          <w:tcPr>
            <w:tcW w:w="230" w:type="dxa"/>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bl>
    <w:tbl>
      <w:tblPr>
        <w:tblW w:w="7525" w:type="dxa"/>
        <w:jc w:val="left"/>
        <w:tblInd w:w="0" w:type="dxa"/>
        <w:tblLayout w:type="fixed"/>
        <w:tblCellMar>
          <w:top w:w="28" w:type="dxa"/>
          <w:left w:w="0" w:type="dxa"/>
          <w:bottom w:w="0" w:type="dxa"/>
          <w:right w:w="28" w:type="dxa"/>
        </w:tblCellMar>
      </w:tblPr>
      <w:tblGrid>
        <w:gridCol w:w="230"/>
        <w:gridCol w:w="60"/>
        <w:gridCol w:w="7235"/>
      </w:tblGrid>
      <w:tr>
        <w:trPr/>
        <w:tc>
          <w:tcPr>
            <w:tcW w:w="230" w:type="dxa"/>
            <w:tcBorders>
              <w:top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11</w:t>
            </w:r>
          </w:p>
        </w:tc>
        <w:tc>
          <w:tcPr>
            <w:tcW w:w="60" w:type="dxa"/>
            <w:tcBorders>
              <w:top w:val="single" w:sz="2" w:space="0" w:color="000000"/>
            </w:tcBorders>
            <w:tcMar>
              <w:right w:w="0" w:type="dxa"/>
            </w:tcMar>
            <w:vAlign w:val="center"/>
          </w:tcPr>
          <w:p>
            <w:pPr>
              <w:pStyle w:val="TableContents"/>
              <w:bidi w:val="0"/>
              <w:spacing w:before="0" w:after="283"/>
              <w:jc w:val="left"/>
              <w:rPr/>
            </w:pPr>
            <w:r>
              <w:rPr/>
              <w:t> </w:t>
            </w:r>
          </w:p>
        </w:tc>
        <w:tc>
          <w:tcPr>
            <w:tcW w:w="7235" w:type="dxa"/>
            <w:tcBorders>
              <w:top w:val="single" w:sz="2" w:space="0" w:color="000000"/>
            </w:tcBorders>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756,317(1)</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IF THE AGGREGATE AMOUNT IN ROW (11)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30" w:type="dxa"/>
            <w:tcBorders>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bottom w:val="single" w:sz="2" w:space="0" w:color="000000"/>
              <w:right w:val="single" w:sz="2"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bottom w:w="28" w:type="dxa"/>
              <w:right w:w="0" w:type="dxa"/>
            </w:tcMar>
            <w:vAlign w:val="center"/>
          </w:tcPr>
          <w:p>
            <w:pPr>
              <w:pStyle w:val="TableContents"/>
              <w:bidi w:val="0"/>
              <w:spacing w:before="0" w:after="283"/>
              <w:jc w:val="left"/>
              <w:rPr/>
            </w:pPr>
            <w:r>
              <w:rPr/>
              <w:t> </w:t>
            </w:r>
          </w:p>
        </w:tc>
        <w:tc>
          <w:tcPr>
            <w:tcW w:w="7235" w:type="dxa"/>
            <w:tcBorders>
              <w:bottom w:val="single" w:sz="2" w:space="0" w:color="000000"/>
            </w:tcBorders>
            <w:tcMar>
              <w:top w:w="0" w:type="dxa"/>
              <w:bottom w:w="28" w:type="dxa"/>
              <w:right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8.57%(2)</w:t>
            </w:r>
          </w:p>
        </w:tc>
      </w:tr>
      <w:tr>
        <w:trPr/>
        <w:tc>
          <w:tcPr>
            <w:tcW w:w="230" w:type="dxa"/>
            <w:tcBorders>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14</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tc>
      </w:tr>
      <w:tr>
        <w:trPr/>
        <w:tc>
          <w:tcPr>
            <w:tcW w:w="230" w:type="dxa"/>
            <w:tcBorders>
              <w:right w:val="single" w:sz="2" w:space="0" w:color="000000"/>
            </w:tcBorders>
            <w:tcMar>
              <w:top w:w="0" w:type="dxa"/>
            </w:tcMar>
            <w:vAlign w:val="center"/>
          </w:tcPr>
          <w:p>
            <w:pPr>
              <w:pStyle w:val="TableContents"/>
              <w:bidi w:val="0"/>
              <w:spacing w:before="0" w:after="283"/>
              <w:jc w:val="left"/>
              <w:rPr/>
            </w:pPr>
            <w:r>
              <w:rPr/>
              <w:t> </w:t>
            </w:r>
          </w:p>
        </w:tc>
        <w:tc>
          <w:tcPr>
            <w:tcW w:w="60" w:type="dxa"/>
            <w:tcBorders/>
            <w:tcMar>
              <w:top w:w="0" w:type="dxa"/>
              <w:right w:w="0" w:type="dxa"/>
            </w:tcMar>
            <w:vAlign w:val="center"/>
          </w:tcPr>
          <w:p>
            <w:pPr>
              <w:pStyle w:val="TableContents"/>
              <w:bidi w:val="0"/>
              <w:spacing w:before="0" w:after="283"/>
              <w:jc w:val="left"/>
              <w:rPr/>
            </w:pPr>
            <w:r>
              <w:rPr/>
              <w:t> </w:t>
            </w:r>
          </w:p>
        </w:tc>
        <w:tc>
          <w:tcPr>
            <w:tcW w:w="7235" w:type="dxa"/>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beneficial ownership of 756,317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ownership percentage set forth herein is calculated assuming a total of 8,828,751 shares of Common Stock of the Issuer are issued and outstanding, as set forth in the Issuer’s Quarterly Report on Form 10-Q filed with the Securities and Exchange Commission on April 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SCHEDULE 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Amendment No. 2 to Schedule 13D (this “</w:t>
      </w:r>
      <w:r>
        <w:rPr>
          <w:rFonts w:ascii="Times New Roman" w:hAnsi="Times New Roman"/>
          <w:caps w:val="false"/>
          <w:smallCaps w:val="false"/>
          <w:sz w:val="20"/>
          <w:u w:val="single"/>
        </w:rPr>
        <w:t>Amendment</w:t>
      </w:r>
      <w:r>
        <w:rPr>
          <w:rFonts w:ascii="Times New Roman" w:hAnsi="Times New Roman"/>
          <w:caps w:val="false"/>
          <w:smallCaps w:val="false"/>
          <w:sz w:val="20"/>
        </w:rPr>
        <w:t>”) supplements and amends the Schedule 13D filed with the Securities and Exchange Commission on May 6, 2024 filed by Auto Services Company, Inc., an Arkansas corporation (“</w:t>
      </w:r>
      <w:r>
        <w:rPr>
          <w:rFonts w:ascii="Times New Roman" w:hAnsi="Times New Roman"/>
          <w:caps w:val="false"/>
          <w:smallCaps w:val="false"/>
          <w:sz w:val="20"/>
          <w:u w:val="single"/>
        </w:rPr>
        <w:t>ASC</w:t>
      </w:r>
      <w:r>
        <w:rPr>
          <w:rFonts w:ascii="Times New Roman" w:hAnsi="Times New Roman"/>
          <w:caps w:val="false"/>
          <w:smallCaps w:val="false"/>
          <w:sz w:val="20"/>
        </w:rPr>
        <w:t>”), ASC Holding Company, Inc. (“</w:t>
      </w:r>
      <w:r>
        <w:rPr>
          <w:rFonts w:ascii="Times New Roman" w:hAnsi="Times New Roman"/>
          <w:caps w:val="false"/>
          <w:smallCaps w:val="false"/>
          <w:sz w:val="20"/>
          <w:u w:val="single"/>
        </w:rPr>
        <w:t>ASC Holding</w:t>
      </w:r>
      <w:r>
        <w:rPr>
          <w:rFonts w:ascii="Times New Roman" w:hAnsi="Times New Roman"/>
          <w:caps w:val="false"/>
          <w:smallCaps w:val="false"/>
          <w:sz w:val="20"/>
        </w:rPr>
        <w:t>”), an Arkansas corporation, and Bradley L. Hasselwander (“</w:t>
      </w:r>
      <w:r>
        <w:rPr>
          <w:rFonts w:ascii="Times New Roman" w:hAnsi="Times New Roman"/>
          <w:caps w:val="false"/>
          <w:smallCaps w:val="false"/>
          <w:sz w:val="20"/>
          <w:u w:val="single"/>
        </w:rPr>
        <w:t>Hasselwander</w:t>
      </w:r>
      <w:r>
        <w:rPr>
          <w:rFonts w:ascii="Times New Roman" w:hAnsi="Times New Roman"/>
          <w:caps w:val="false"/>
          <w:smallCaps w:val="false"/>
          <w:sz w:val="20"/>
        </w:rPr>
        <w:t>”), an individual, as amended by Amendment No. 1 to Schedule 13D filed by ASC, ASC Holding and Hasselwander on June 18, 2024 (as amended, the “</w:t>
      </w:r>
      <w:r>
        <w:rPr>
          <w:rFonts w:ascii="Times New Roman" w:hAnsi="Times New Roman"/>
          <w:caps w:val="false"/>
          <w:smallCaps w:val="false"/>
          <w:sz w:val="20"/>
          <w:u w:val="single"/>
        </w:rPr>
        <w:t>Schedule 13D</w:t>
      </w:r>
      <w:r>
        <w:rPr>
          <w:rFonts w:ascii="Times New Roman" w:hAnsi="Times New Roman"/>
          <w:caps w:val="false"/>
          <w:smallCaps w:val="false"/>
          <w:sz w:val="20"/>
        </w:rPr>
        <w:t>”). Each of the foregoing is referred to herein as a “Reporting Person” and collectively as the “Reporting Persons.” This Amendment relates to the Common Stock, par value $5.00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of Bassett Furniture Industries, Incorporated, a Virginia corporation (the “</w:t>
      </w:r>
      <w:r>
        <w:rPr>
          <w:rFonts w:ascii="Times New Roman" w:hAnsi="Times New Roman"/>
          <w:caps w:val="false"/>
          <w:smallCaps w:val="false"/>
          <w:sz w:val="20"/>
          <w:u w:val="single"/>
        </w:rPr>
        <w:t>Issuer</w:t>
      </w:r>
      <w:r>
        <w:rPr>
          <w:rFonts w:ascii="Times New Roman" w:hAnsi="Times New Roman"/>
          <w:caps w:val="false"/>
          <w:smallCaps w:val="false"/>
          <w:sz w:val="20"/>
        </w:rPr>
        <w:t>”). The principal executive offices of the Issuer are located at 3525 Fairystone Park Highway, Bassett, Virginia 24055.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capitalized terms used herein but not otherwise defined shall have the meanings ascribed to such terms in the Schedule 13D. Except as amended and supplemented by this Amendment, the Schedule 13D is unmodified.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caps w:val="false"/>
          <w:smallCaps w:val="false"/>
          <w:sz w:val="20"/>
        </w:rPr>
        <w:t> </w:t>
      </w:r>
      <w:r>
        <w:rPr>
          <w:rFonts w:ascii="Times New Roman" w:hAnsi="Times New Roman"/>
          <w:b/>
          <w:caps w:val="false"/>
          <w:smallCaps w:val="false"/>
          <w:sz w:val="20"/>
        </w:rPr>
        <w:t>INTEREST IN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and (b)  The information relating to the beneficial ownership of Common Stock by the Reporting Persons set forth in Rows 7 through 13 of each cover page hereto is incorporated by reference. ASC is the beneficial owner of 756,317 shares of Common Stock, constituting approximately 8.57% of outstanding Common Stock. Because it is the parent holding company of ASC, ASC Holding may be deemed to have the shared power to vote or direct the vote, and the shared power to dispose or direct the disposition, of all shares beneficially owned by ASC. Because he is the controlling stockholder of ASC Holdings, Bradley L. Hasselwander may be deemed to have the shared power to vote or direct the vote, and the shared power to dispose or direct the disposition, of all shares beneficially owned by ASC. The foregoing ownership percentage is calculated assuming a total of 8,828,751 shares of Common Stock of the Issuer are issued and outstanding, as set forth in the Issuer’s Quarterly Report on Form 10-Q filed with the Securities and Exchange Commission on April 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 of the Reporting Persons or, to the knowledge of the Reporting Persons, any of the other persons listed in Item 2(a)-(c) hereto beneficially owns any other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Transactions by the Reporting Persons in shares of Common Stock of the Issuer since the filing of the Schedule 13D are as follows, all of which were effected and held by ASC through open market purchases:</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7" w:type="dxa"/>
        <w:tblLayout w:type="fixed"/>
        <w:tblCellMar>
          <w:top w:w="28" w:type="dxa"/>
          <w:left w:w="28" w:type="dxa"/>
          <w:bottom w:w="28" w:type="dxa"/>
          <w:right w:w="28" w:type="dxa"/>
        </w:tblCellMar>
      </w:tblPr>
      <w:tblGrid>
        <w:gridCol w:w="1180"/>
        <w:gridCol w:w="1660"/>
        <w:gridCol w:w="1705"/>
        <w:gridCol w:w="1420"/>
      </w:tblGrid>
      <w:tr>
        <w:trPr/>
        <w:tc>
          <w:tcPr>
            <w:tcW w:w="11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Date</w:t>
            </w:r>
          </w:p>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Acquired</w:t>
            </w:r>
          </w:p>
        </w:tc>
        <w:tc>
          <w:tcPr>
            <w:tcW w:w="16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Amount of Shares</w:t>
            </w:r>
          </w:p>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Purchased</w:t>
            </w:r>
          </w:p>
        </w:tc>
        <w:tc>
          <w:tcPr>
            <w:tcW w:w="17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Class of Securities</w:t>
            </w:r>
          </w:p>
        </w:tc>
        <w:tc>
          <w:tcPr>
            <w:tcW w:w="14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Per Share Price</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8,520</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119</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4,566</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$14.44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652</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12</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$14.33</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602</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$14.43</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15</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8</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305</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166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600</w:t>
            </w:r>
          </w:p>
        </w:tc>
        <w:tc>
          <w:tcPr>
            <w:tcW w:w="17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4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240" w:type="dxa"/>
        <w:jc w:val="left"/>
        <w:tblInd w:w="-7" w:type="dxa"/>
        <w:tblLayout w:type="fixed"/>
        <w:tblCellMar>
          <w:top w:w="28" w:type="dxa"/>
          <w:left w:w="28" w:type="dxa"/>
          <w:bottom w:w="28" w:type="dxa"/>
          <w:right w:w="28" w:type="dxa"/>
        </w:tblCellMar>
      </w:tblPr>
      <w:tblGrid>
        <w:gridCol w:w="1180"/>
        <w:gridCol w:w="790"/>
        <w:gridCol w:w="1480"/>
        <w:gridCol w:w="790"/>
      </w:tblGrid>
      <w:tr>
        <w:trPr/>
        <w:tc>
          <w:tcPr>
            <w:tcW w:w="11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476</w:t>
            </w:r>
          </w:p>
        </w:tc>
        <w:tc>
          <w:tcPr>
            <w:tcW w:w="14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6,900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1,900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2,848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5</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414</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852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189</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2024-06-27</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$13.93</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5</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509</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36</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402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248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472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10,608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8,967</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9</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2024-06-26</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12,000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135" w:type="dxa"/>
        <w:jc w:val="left"/>
        <w:tblInd w:w="-7" w:type="dxa"/>
        <w:tblLayout w:type="fixed"/>
        <w:tblCellMar>
          <w:top w:w="28" w:type="dxa"/>
          <w:left w:w="28" w:type="dxa"/>
          <w:bottom w:w="28" w:type="dxa"/>
          <w:right w:w="28" w:type="dxa"/>
        </w:tblCellMar>
      </w:tblPr>
      <w:tblGrid>
        <w:gridCol w:w="1180"/>
        <w:gridCol w:w="685"/>
        <w:gridCol w:w="1480"/>
        <w:gridCol w:w="790"/>
      </w:tblGrid>
      <w:tr>
        <w:trPr/>
        <w:tc>
          <w:tcPr>
            <w:tcW w:w="11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900</w:t>
            </w:r>
          </w:p>
        </w:tc>
        <w:tc>
          <w:tcPr>
            <w:tcW w:w="14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77</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1,200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800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428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364</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500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697</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324</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$14.40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332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2,173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1,928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$14.44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316</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700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271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19</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275</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$14.03</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421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173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$14.39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50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45</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9,100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5,900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6,222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135" w:type="dxa"/>
        <w:jc w:val="left"/>
        <w:tblInd w:w="-7" w:type="dxa"/>
        <w:tblLayout w:type="fixed"/>
        <w:tblCellMar>
          <w:top w:w="28" w:type="dxa"/>
          <w:left w:w="28" w:type="dxa"/>
          <w:bottom w:w="28" w:type="dxa"/>
          <w:right w:w="28" w:type="dxa"/>
        </w:tblCellMar>
      </w:tblPr>
      <w:tblGrid>
        <w:gridCol w:w="1180"/>
        <w:gridCol w:w="685"/>
        <w:gridCol w:w="1480"/>
        <w:gridCol w:w="790"/>
      </w:tblGrid>
      <w:tr>
        <w:trPr/>
        <w:tc>
          <w:tcPr>
            <w:tcW w:w="11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$14.13</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16</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2024-06-25</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1,740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579</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681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$14.03</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1,283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122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281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$14.01</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6,499</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2,668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972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$14.20</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351</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913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$14.15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$14.08</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2024-06-24</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166</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2024-06-21</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174</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2024-06-21</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1,648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$13.99</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2024-06-20</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200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$13.94</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2024-06-20</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403</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$13.92</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2024-06-20</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387</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2024-06-20</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580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$13.93</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2024-06-20</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18</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2024-06-20</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$13.96</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2024-06-20</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400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$13.95</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2024-06-20</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1,442</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2024-06-18</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306</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$13.97</w:t>
            </w:r>
          </w:p>
        </w:tc>
      </w:tr>
      <w:tr>
        <w:trPr/>
        <w:tc>
          <w:tcPr>
            <w:tcW w:w="11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2024-06-18</w:t>
            </w:r>
          </w:p>
        </w:tc>
        <w:tc>
          <w:tcPr>
            <w:tcW w:w="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100</w:t>
            </w:r>
          </w:p>
        </w:tc>
        <w:tc>
          <w:tcPr>
            <w:tcW w:w="148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7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firstLine="200"/>
              <w:jc w:val="right"/>
              <w:rPr>
                <w:rFonts w:ascii="Times New Roman" w:hAnsi="Times New Roman"/>
                <w:caps w:val="false"/>
                <w:smallCaps w:val="false"/>
                <w:sz w:val="20"/>
              </w:rPr>
            </w:pPr>
            <w:r>
              <w:rPr>
                <w:rFonts w:ascii="Times New Roman" w:hAnsi="Times New Roman"/>
                <w:caps w:val="false"/>
                <w:smallCaps w:val="false"/>
                <w:sz w:val="20"/>
              </w:rPr>
              <w:t>$13.94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No other person has the right to receive or the power to direct the receipt of dividends from, or the proceeds of sale of, any of the Common Stock beneficially owned by the Reporting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7. </w:t>
      </w:r>
      <w:r>
        <w:rPr>
          <w:rFonts w:ascii="Times New Roman" w:hAnsi="Times New Roman"/>
          <w:caps w:val="false"/>
          <w:smallCaps w:val="false"/>
          <w:sz w:val="20"/>
        </w:rPr>
        <w:t> </w:t>
      </w:r>
      <w:r>
        <w:rPr>
          <w:rFonts w:ascii="Times New Roman" w:hAnsi="Times New Roman"/>
          <w:b/>
          <w:caps w:val="false"/>
          <w:smallCaps w:val="false"/>
          <w:sz w:val="20"/>
        </w:rPr>
        <w:t>MATERIAL TO BE FILED AS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filing includes the following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u w:val="single"/>
        </w:rPr>
        <w:t>Exhibit 1</w:t>
      </w:r>
      <w:r>
        <w:rPr>
          <w:rFonts w:ascii="Times New Roman" w:hAnsi="Times New Roman"/>
          <w:caps w:val="false"/>
          <w:smallCaps w:val="false"/>
          <w:sz w:val="20"/>
        </w:rPr>
        <w:t>:         </w:t>
      </w:r>
      <w:hyperlink w:anchor="ex_694250.htm">
        <w:r>
          <w:rPr>
            <w:rStyle w:val="InternetLink"/>
            <w:rFonts w:ascii="Times New Roman" w:hAnsi="Times New Roman"/>
            <w:caps w:val="false"/>
            <w:smallCaps w:val="false"/>
            <w:sz w:val="20"/>
          </w:rPr>
          <w:t>Joint Filing Agreement.</w:t>
        </w:r>
      </w:hyperlink>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After reasonable inquiry and to the best of its knowledge and belief, each of the undersigned certifies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60"/>
        <w:gridCol w:w="599"/>
        <w:gridCol w:w="2495"/>
        <w:gridCol w:w="60"/>
      </w:tblGrid>
      <w:tr>
        <w:trPr/>
        <w:tc>
          <w:tcPr>
            <w:tcW w:w="6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AUTO SERVICES COMPANY,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CEO</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04" w:type="dxa"/>
        <w:jc w:val="left"/>
        <w:tblInd w:w="0" w:type="dxa"/>
        <w:tblLayout w:type="fixed"/>
        <w:tblCellMar>
          <w:top w:w="0" w:type="dxa"/>
          <w:left w:w="0" w:type="dxa"/>
          <w:bottom w:w="0" w:type="dxa"/>
          <w:right w:w="0" w:type="dxa"/>
        </w:tblCellMar>
      </w:tblPr>
      <w:tblGrid>
        <w:gridCol w:w="60"/>
        <w:gridCol w:w="558"/>
        <w:gridCol w:w="2326"/>
        <w:gridCol w:w="60"/>
      </w:tblGrid>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ASC HOLDING COMPANY,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2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3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23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CEO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2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2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23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Bradley L. Hasselwander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L. Hasselwander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10</w:t>
      </w:r>
    </w:p>
    <w:p>
      <w:pPr>
        <w:pStyle w:val="TextBody"/>
        <w:bidi w:val="0"/>
        <w:spacing w:before="0" w:after="0"/>
        <w:ind w:left="0" w:right="0" w:hanging="0"/>
        <w:jc w:val="right"/>
        <w:rPr>
          <w:rFonts w:ascii="Times New Roman" w:hAnsi="Times New Roman"/>
          <w:b/>
          <w:caps w:val="false"/>
          <w:smallCaps w:val="false"/>
          <w:sz w:val="20"/>
          <w:u w:val="single"/>
        </w:rPr>
      </w:pPr>
      <w:bookmarkStart w:id="2" w:name="ex_694250.htm"/>
      <w:bookmarkStart w:id="3" w:name="ksex_694250"/>
      <w:bookmarkEnd w:id="2"/>
      <w:bookmarkEnd w:id="3"/>
      <w:r>
        <w:rPr>
          <w:rFonts w:ascii="Times New Roman" w:hAnsi="Times New Roman"/>
          <w:b/>
          <w:caps w:val="false"/>
          <w:smallCaps w:val="false"/>
          <w:sz w:val="20"/>
          <w:u w:val="single"/>
        </w:rPr>
        <w:t>Exhibit 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AGREEMENT AS TO JOINT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Rule 13d-1(k) under the Securities and Exchange Act of 1934, as amended, the undersigned hereby agree to the joint filing on behalf of each of them of a statement on Schedule 13D, and any amendments thereto, with respect to the Common Stock, par value $5.00 per share of Bassett Furniture Industries, Incorporated, and that this agreement be included as an exhibit to such filing and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agreement may be executed in any number of counterparts, each of which shall be deemed to be an original and all of which together shall be deemed to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each of the undersigned hereby executes this agreement as of June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60"/>
        <w:gridCol w:w="599"/>
        <w:gridCol w:w="2495"/>
        <w:gridCol w:w="60"/>
      </w:tblGrid>
      <w:tr>
        <w:trPr/>
        <w:tc>
          <w:tcPr>
            <w:tcW w:w="6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AUTO SERVICES COMPANY,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CEO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ASC HOLDING COMPANY,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CEO</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Bradley L. Hasselwander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Bradley L. Hasselwander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2216</Words>
  <Characters>11822</Characters>
  <CharactersWithSpaces>13622</CharactersWithSpaces>
  <Paragraphs>1087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