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WARDEN WILLIAM C JR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BASSETT FURNITURE INDUSTRIES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BSET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3525 FAIRYSTONE PARK HWY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 O BOX 626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BASSETT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1"/>
                <w:vertAlign w:val="subscript"/>
              </w:rPr>
              <w:t>2,159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1"/>
              </w:rPr>
              <w:t>(1)(2)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55,552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granted under the 2021 Stock Incentive Plan which is a Rule 16b-3 plan; vests in one year.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Risk of forfeiture until vesting and subject to stock ownership guidelines.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of Bassett Furniture Industries Stock at the close of business 03/08/2023.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are held in a trust, established by the reporting person's spouse, of which the reporting person is trustee for the benefit of the reporting person's children. The reporting person disclaims beneficial ownership of these securities.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William C. Warden, Jr.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03/10/2023</w:t>
            </w:r>
          </w:p>
        </w:tc>
      </w:tr>
      <w:tr>
        <w:trPr>
          <w:trHeight w:val="20"/>
        </w:trPr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2225" TargetMode="External"/><Relationship Id="rId13" Type="http://schemas.openxmlformats.org/officeDocument/2006/relationships/hyperlink" Target="http://www.sec.gov/cgi-bin/browse-edgar?action=getcompany&amp;CIK=0000010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2023-03-10T21:59:39Z</dcterms:created>
  <dcterms:modified xsi:type="dcterms:W3CDTF">2023-03-10T21:59:39Z</dcterms:modified>
</cp:coreProperties>
</file>