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225" w:lineRule="exact"/>
        <w:rPr>
          <w:sz w:val="24"/>
          <w:szCs w:val="24"/>
          <w:color w:val="auto"/>
        </w:rPr>
      </w:pPr>
    </w:p>
    <w:p>
      <w:pPr>
        <w:ind w:left="3760" w:right="2820" w:hanging="928"/>
        <w:spacing w:after="0" w:line="286" w:lineRule="auto"/>
        <w:tabs>
          <w:tab w:leader="none" w:pos="3038" w:val="left"/>
        </w:tabs>
        <w:numPr>
          <w:ilvl w:val="0"/>
          <w:numId w:val="1"/>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QUARTERLY REPORT PURSUANT TO SECTION 13 OR 15(d) OF THE SECURITIES EXCHANGE ACT OF 1934</w:t>
      </w:r>
    </w:p>
    <w:p>
      <w:pPr>
        <w:spacing w:after="0" w:line="15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quarterly period ended May 28, 2022</w:t>
      </w:r>
    </w:p>
    <w:p>
      <w:pPr>
        <w:spacing w:after="0" w:line="2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OR</w:t>
      </w:r>
    </w:p>
    <w:p>
      <w:pPr>
        <w:spacing w:after="0" w:line="221" w:lineRule="exact"/>
        <w:rPr>
          <w:sz w:val="24"/>
          <w:szCs w:val="24"/>
          <w:color w:val="auto"/>
        </w:rPr>
      </w:pPr>
    </w:p>
    <w:p>
      <w:pPr>
        <w:ind w:left="3760" w:right="2820" w:hanging="932"/>
        <w:spacing w:after="0" w:line="286" w:lineRule="auto"/>
        <w:tabs>
          <w:tab w:leader="none" w:pos="3030" w:val="left"/>
        </w:tabs>
        <w:numPr>
          <w:ilvl w:val="0"/>
          <w:numId w:val="2"/>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TRANSITION REPORT PURSUANT TO SECTION 13 OR 15(d) OF THE SECURITIES EXCHANGE ACT OF 1934</w:t>
      </w:r>
    </w:p>
    <w:p>
      <w:pPr>
        <w:spacing w:after="0" w:line="159" w:lineRule="exact"/>
        <w:rPr>
          <w:sz w:val="24"/>
          <w:szCs w:val="24"/>
          <w:color w:val="auto"/>
        </w:rPr>
      </w:pPr>
    </w:p>
    <w:p>
      <w:pPr>
        <w:ind w:left="2080"/>
        <w:spacing w:after="0"/>
        <w:rPr>
          <w:sz w:val="20"/>
          <w:szCs w:val="20"/>
          <w:color w:val="auto"/>
        </w:rPr>
      </w:pPr>
      <w:r>
        <w:rPr>
          <w:rFonts w:ascii="Times New Roman" w:cs="Times New Roman" w:eastAsia="Times New Roman" w:hAnsi="Times New Roman"/>
          <w:sz w:val="18"/>
          <w:szCs w:val="18"/>
          <w:color w:val="auto"/>
        </w:rPr>
        <w:t>For the transition period from _____________________________ to _______________________</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No. 000-00209</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BASSETT FURNITURE INDUSTRIES, INCORPORATED</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7" w:lineRule="exact"/>
        <w:rPr>
          <w:sz w:val="24"/>
          <w:szCs w:val="24"/>
          <w:color w:val="auto"/>
        </w:rPr>
      </w:pPr>
    </w:p>
    <w:tbl>
      <w:tblPr>
        <w:tblLayout w:type="fixed"/>
        <w:tblInd w:w="300" w:type="dxa"/>
        <w:tblCellMar>
          <w:top w:w="0" w:type="dxa"/>
          <w:left w:w="0" w:type="dxa"/>
          <w:bottom w:w="0" w:type="dxa"/>
          <w:right w:w="0" w:type="dxa"/>
        </w:tblCellMar>
      </w:tblPr>
      <w:tr>
        <w:trPr>
          <w:trHeight w:val="216"/>
        </w:trPr>
        <w:tc>
          <w:tcPr>
            <w:tcW w:w="3160" w:type="dxa"/>
            <w:vAlign w:val="bottom"/>
          </w:tcPr>
          <w:p>
            <w:pPr>
              <w:jc w:val="center"/>
              <w:ind w:left="1770"/>
              <w:spacing w:after="0"/>
              <w:rPr>
                <w:sz w:val="20"/>
                <w:szCs w:val="20"/>
                <w:color w:val="auto"/>
              </w:rPr>
            </w:pPr>
            <w:r>
              <w:rPr>
                <w:rFonts w:ascii="Times New Roman" w:cs="Times New Roman" w:eastAsia="Times New Roman" w:hAnsi="Times New Roman"/>
                <w:sz w:val="18"/>
                <w:szCs w:val="18"/>
                <w:color w:val="auto"/>
                <w:w w:val="96"/>
              </w:rPr>
              <w:t>Virginia</w:t>
            </w: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360" w:type="dxa"/>
            <w:vAlign w:val="bottom"/>
          </w:tcPr>
          <w:p>
            <w:pPr>
              <w:jc w:val="center"/>
              <w:ind w:right="1610"/>
              <w:spacing w:after="0"/>
              <w:rPr>
                <w:sz w:val="20"/>
                <w:szCs w:val="20"/>
                <w:color w:val="auto"/>
              </w:rPr>
            </w:pPr>
            <w:r>
              <w:rPr>
                <w:rFonts w:ascii="Times New Roman" w:cs="Times New Roman" w:eastAsia="Times New Roman" w:hAnsi="Times New Roman"/>
                <w:sz w:val="18"/>
                <w:szCs w:val="18"/>
                <w:color w:val="auto"/>
                <w:w w:val="98"/>
              </w:rPr>
              <w:t>54-0135270</w:t>
            </w:r>
          </w:p>
        </w:tc>
      </w:tr>
      <w:tr>
        <w:trPr>
          <w:trHeight w:val="216"/>
        </w:trPr>
        <w:tc>
          <w:tcPr>
            <w:tcW w:w="7300" w:type="dxa"/>
            <w:vAlign w:val="bottom"/>
            <w:gridSpan w:val="8"/>
          </w:tcPr>
          <w:p>
            <w:pPr>
              <w:jc w:val="center"/>
              <w:ind w:right="2280"/>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3360" w:type="dxa"/>
            <w:vAlign w:val="bottom"/>
          </w:tcPr>
          <w:p>
            <w:pPr>
              <w:jc w:val="center"/>
              <w:ind w:right="1610"/>
              <w:spacing w:after="0"/>
              <w:rPr>
                <w:sz w:val="20"/>
                <w:szCs w:val="20"/>
                <w:color w:val="auto"/>
              </w:rPr>
            </w:pPr>
            <w:r>
              <w:rPr>
                <w:rFonts w:ascii="Times New Roman" w:cs="Times New Roman" w:eastAsia="Times New Roman" w:hAnsi="Times New Roman"/>
                <w:sz w:val="18"/>
                <w:szCs w:val="18"/>
                <w:color w:val="auto"/>
                <w:w w:val="99"/>
              </w:rPr>
              <w:t>(I.R.S. Employer</w:t>
            </w:r>
          </w:p>
        </w:tc>
      </w:tr>
      <w:tr>
        <w:trPr>
          <w:trHeight w:val="234"/>
        </w:trPr>
        <w:tc>
          <w:tcPr>
            <w:tcW w:w="7300" w:type="dxa"/>
            <w:vAlign w:val="bottom"/>
            <w:gridSpan w:val="8"/>
          </w:tcPr>
          <w:p>
            <w:pPr>
              <w:jc w:val="center"/>
              <w:ind w:right="2260"/>
              <w:spacing w:after="0"/>
              <w:rPr>
                <w:sz w:val="20"/>
                <w:szCs w:val="20"/>
                <w:color w:val="auto"/>
              </w:rPr>
            </w:pPr>
            <w:r>
              <w:rPr>
                <w:rFonts w:ascii="Times New Roman" w:cs="Times New Roman" w:eastAsia="Times New Roman" w:hAnsi="Times New Roman"/>
                <w:sz w:val="18"/>
                <w:szCs w:val="18"/>
                <w:color w:val="auto"/>
                <w:w w:val="99"/>
              </w:rPr>
              <w:t>of incorporation or organization)</w:t>
            </w:r>
          </w:p>
        </w:tc>
        <w:tc>
          <w:tcPr>
            <w:tcW w:w="3360" w:type="dxa"/>
            <w:vAlign w:val="bottom"/>
          </w:tcPr>
          <w:p>
            <w:pPr>
              <w:jc w:val="center"/>
              <w:ind w:right="1610"/>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4"/>
        </w:trPr>
        <w:tc>
          <w:tcPr>
            <w:tcW w:w="3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40" w:type="dxa"/>
            <w:vAlign w:val="bottom"/>
            <w:gridSpan w:val="5"/>
          </w:tcPr>
          <w:p>
            <w:pPr>
              <w:jc w:val="center"/>
              <w:ind w:right="720"/>
              <w:spacing w:after="0"/>
              <w:rPr>
                <w:sz w:val="20"/>
                <w:szCs w:val="20"/>
                <w:color w:val="auto"/>
              </w:rPr>
            </w:pPr>
            <w:r>
              <w:rPr>
                <w:rFonts w:ascii="Times New Roman" w:cs="Times New Roman" w:eastAsia="Times New Roman" w:hAnsi="Times New Roman"/>
                <w:sz w:val="18"/>
                <w:szCs w:val="18"/>
                <w:color w:val="auto"/>
                <w:w w:val="99"/>
              </w:rPr>
              <w:t>3525 Fairystone Park Highway</w:t>
            </w:r>
          </w:p>
        </w:tc>
        <w:tc>
          <w:tcPr>
            <w:tcW w:w="3360" w:type="dxa"/>
            <w:vAlign w:val="bottom"/>
          </w:tcPr>
          <w:p>
            <w:pPr>
              <w:spacing w:after="0"/>
              <w:rPr>
                <w:sz w:val="24"/>
                <w:szCs w:val="24"/>
                <w:color w:val="auto"/>
              </w:rPr>
            </w:pPr>
          </w:p>
        </w:tc>
      </w:tr>
      <w:tr>
        <w:trPr>
          <w:trHeight w:val="194"/>
        </w:trPr>
        <w:tc>
          <w:tcPr>
            <w:tcW w:w="31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20" w:type="dxa"/>
            <w:vAlign w:val="bottom"/>
            <w:gridSpan w:val="4"/>
          </w:tcPr>
          <w:p>
            <w:pPr>
              <w:jc w:val="center"/>
              <w:ind w:right="1140"/>
              <w:spacing w:after="0" w:line="194" w:lineRule="exact"/>
              <w:rPr>
                <w:sz w:val="20"/>
                <w:szCs w:val="20"/>
                <w:color w:val="auto"/>
              </w:rPr>
            </w:pPr>
            <w:r>
              <w:rPr>
                <w:rFonts w:ascii="Times New Roman" w:cs="Times New Roman" w:eastAsia="Times New Roman" w:hAnsi="Times New Roman"/>
                <w:sz w:val="18"/>
                <w:szCs w:val="18"/>
                <w:color w:val="auto"/>
                <w:w w:val="98"/>
              </w:rPr>
              <w:t>Bassett, Virginia 24055</w:t>
            </w:r>
          </w:p>
        </w:tc>
        <w:tc>
          <w:tcPr>
            <w:tcW w:w="3360" w:type="dxa"/>
            <w:vAlign w:val="bottom"/>
          </w:tcPr>
          <w:p>
            <w:pPr>
              <w:spacing w:after="0"/>
              <w:rPr>
                <w:sz w:val="16"/>
                <w:szCs w:val="16"/>
                <w:color w:val="auto"/>
              </w:rPr>
            </w:pPr>
          </w:p>
        </w:tc>
      </w:tr>
      <w:tr>
        <w:trPr>
          <w:trHeight w:val="20"/>
        </w:trPr>
        <w:tc>
          <w:tcPr>
            <w:tcW w:w="3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r>
      <w:tr>
        <w:trPr>
          <w:trHeight w:val="218"/>
        </w:trPr>
        <w:tc>
          <w:tcPr>
            <w:tcW w:w="3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560" w:type="dxa"/>
            <w:vAlign w:val="bottom"/>
            <w:gridSpan w:val="6"/>
          </w:tcPr>
          <w:p>
            <w:pPr>
              <w:jc w:val="center"/>
              <w:ind w:right="38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3360" w:type="dxa"/>
            <w:vAlign w:val="bottom"/>
          </w:tcPr>
          <w:p>
            <w:pPr>
              <w:spacing w:after="0"/>
              <w:rPr>
                <w:sz w:val="18"/>
                <w:szCs w:val="18"/>
                <w:color w:val="auto"/>
              </w:rPr>
            </w:pPr>
          </w:p>
        </w:tc>
      </w:tr>
      <w:tr>
        <w:trPr>
          <w:trHeight w:val="234"/>
        </w:trPr>
        <w:tc>
          <w:tcPr>
            <w:tcW w:w="3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20" w:type="dxa"/>
            <w:vAlign w:val="bottom"/>
            <w:gridSpan w:val="4"/>
          </w:tcPr>
          <w:p>
            <w:pPr>
              <w:jc w:val="center"/>
              <w:ind w:right="1140"/>
              <w:spacing w:after="0"/>
              <w:rPr>
                <w:sz w:val="20"/>
                <w:szCs w:val="20"/>
                <w:color w:val="auto"/>
              </w:rPr>
            </w:pPr>
            <w:r>
              <w:rPr>
                <w:rFonts w:ascii="Times New Roman" w:cs="Times New Roman" w:eastAsia="Times New Roman" w:hAnsi="Times New Roman"/>
                <w:sz w:val="18"/>
                <w:szCs w:val="18"/>
                <w:color w:val="auto"/>
              </w:rPr>
              <w:t>(Zip Code)</w:t>
            </w:r>
          </w:p>
        </w:tc>
        <w:tc>
          <w:tcPr>
            <w:tcW w:w="3360" w:type="dxa"/>
            <w:vAlign w:val="bottom"/>
          </w:tcPr>
          <w:p>
            <w:pPr>
              <w:spacing w:after="0"/>
              <w:rPr>
                <w:sz w:val="20"/>
                <w:szCs w:val="20"/>
                <w:color w:val="auto"/>
              </w:rPr>
            </w:pPr>
          </w:p>
        </w:tc>
      </w:tr>
      <w:tr>
        <w:trPr>
          <w:trHeight w:val="414"/>
        </w:trPr>
        <w:tc>
          <w:tcPr>
            <w:tcW w:w="3160" w:type="dxa"/>
            <w:vAlign w:val="bottom"/>
          </w:tcPr>
          <w:p>
            <w:pPr>
              <w:spacing w:after="0"/>
              <w:rPr>
                <w:sz w:val="24"/>
                <w:szCs w:val="24"/>
                <w:color w:val="auto"/>
              </w:rPr>
            </w:pPr>
          </w:p>
        </w:tc>
        <w:tc>
          <w:tcPr>
            <w:tcW w:w="3000" w:type="dxa"/>
            <w:vAlign w:val="bottom"/>
            <w:gridSpan w:val="4"/>
          </w:tcPr>
          <w:p>
            <w:pPr>
              <w:jc w:val="center"/>
              <w:ind w:left="1230"/>
              <w:spacing w:after="0"/>
              <w:rPr>
                <w:sz w:val="20"/>
                <w:szCs w:val="20"/>
                <w:color w:val="auto"/>
              </w:rPr>
            </w:pPr>
            <w:r>
              <w:rPr>
                <w:rFonts w:ascii="Times New Roman" w:cs="Times New Roman" w:eastAsia="Times New Roman" w:hAnsi="Times New Roman"/>
                <w:sz w:val="18"/>
                <w:szCs w:val="18"/>
                <w:color w:val="auto"/>
                <w:w w:val="99"/>
              </w:rPr>
              <w:t>(276) 629-6000</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234"/>
        </w:trPr>
        <w:tc>
          <w:tcPr>
            <w:tcW w:w="3160" w:type="dxa"/>
            <w:vAlign w:val="bottom"/>
          </w:tcPr>
          <w:p>
            <w:pPr>
              <w:spacing w:after="0"/>
              <w:rPr>
                <w:sz w:val="20"/>
                <w:szCs w:val="20"/>
                <w:color w:val="auto"/>
              </w:rPr>
            </w:pPr>
          </w:p>
        </w:tc>
        <w:tc>
          <w:tcPr>
            <w:tcW w:w="4140" w:type="dxa"/>
            <w:vAlign w:val="bottom"/>
            <w:gridSpan w:val="7"/>
          </w:tcPr>
          <w:p>
            <w:pPr>
              <w:jc w:val="center"/>
              <w:ind w:left="90"/>
              <w:spacing w:after="0"/>
              <w:rPr>
                <w:sz w:val="20"/>
                <w:szCs w:val="20"/>
                <w:color w:val="auto"/>
              </w:rPr>
            </w:pPr>
            <w:r>
              <w:rPr>
                <w:rFonts w:ascii="Times New Roman" w:cs="Times New Roman" w:eastAsia="Times New Roman" w:hAnsi="Times New Roman"/>
                <w:sz w:val="18"/>
                <w:szCs w:val="18"/>
                <w:color w:val="auto"/>
                <w:w w:val="99"/>
              </w:rPr>
              <w:t>(Registrant's telephone number, including area code)</w:t>
            </w:r>
          </w:p>
        </w:tc>
        <w:tc>
          <w:tcPr>
            <w:tcW w:w="3360" w:type="dxa"/>
            <w:vAlign w:val="bottom"/>
          </w:tcPr>
          <w:p>
            <w:pPr>
              <w:spacing w:after="0"/>
              <w:rPr>
                <w:sz w:val="20"/>
                <w:szCs w:val="20"/>
                <w:color w:val="auto"/>
              </w:rPr>
            </w:pPr>
          </w:p>
        </w:tc>
      </w:tr>
      <w:tr>
        <w:trPr>
          <w:trHeight w:val="432"/>
        </w:trPr>
        <w:tc>
          <w:tcPr>
            <w:tcW w:w="3160" w:type="dxa"/>
            <w:vAlign w:val="bottom"/>
          </w:tcPr>
          <w:p>
            <w:pPr>
              <w:spacing w:after="0"/>
              <w:rPr>
                <w:sz w:val="24"/>
                <w:szCs w:val="24"/>
                <w:color w:val="auto"/>
              </w:rPr>
            </w:pPr>
          </w:p>
        </w:tc>
        <w:tc>
          <w:tcPr>
            <w:tcW w:w="7500" w:type="dxa"/>
            <w:vAlign w:val="bottom"/>
            <w:gridSpan w:val="8"/>
          </w:tcPr>
          <w:p>
            <w:pPr>
              <w:jc w:val="center"/>
              <w:ind w:right="3070"/>
              <w:spacing w:after="0"/>
              <w:rPr>
                <w:sz w:val="20"/>
                <w:szCs w:val="20"/>
                <w:color w:val="auto"/>
              </w:rPr>
            </w:pPr>
            <w:r>
              <w:rPr>
                <w:rFonts w:ascii="Times New Roman" w:cs="Times New Roman" w:eastAsia="Times New Roman" w:hAnsi="Times New Roman"/>
                <w:sz w:val="18"/>
                <w:szCs w:val="18"/>
                <w:color w:val="auto"/>
                <w:w w:val="99"/>
              </w:rPr>
              <w:t>Securities registered pursuant to Section 12(b) of the Act:</w:t>
            </w:r>
          </w:p>
        </w:tc>
      </w:tr>
      <w:tr>
        <w:trPr>
          <w:trHeight w:val="432"/>
        </w:trPr>
        <w:tc>
          <w:tcPr>
            <w:tcW w:w="3160" w:type="dxa"/>
            <w:vAlign w:val="bottom"/>
          </w:tcPr>
          <w:p>
            <w:pPr>
              <w:jc w:val="center"/>
              <w:ind w:left="450"/>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20" w:type="dxa"/>
            <w:vAlign w:val="bottom"/>
            <w:gridSpan w:val="4"/>
          </w:tcPr>
          <w:p>
            <w:pPr>
              <w:jc w:val="center"/>
              <w:ind w:right="1100"/>
              <w:spacing w:after="0"/>
              <w:rPr>
                <w:sz w:val="20"/>
                <w:szCs w:val="20"/>
                <w:color w:val="auto"/>
              </w:rPr>
            </w:pPr>
            <w:r>
              <w:rPr>
                <w:rFonts w:ascii="Times New Roman" w:cs="Times New Roman" w:eastAsia="Times New Roman" w:hAnsi="Times New Roman"/>
                <w:sz w:val="18"/>
                <w:szCs w:val="18"/>
                <w:color w:val="auto"/>
                <w:w w:val="98"/>
              </w:rPr>
              <w:t>Trading Symbol</w:t>
            </w:r>
          </w:p>
        </w:tc>
        <w:tc>
          <w:tcPr>
            <w:tcW w:w="3360" w:type="dxa"/>
            <w:vAlign w:val="bottom"/>
          </w:tcPr>
          <w:p>
            <w:pPr>
              <w:jc w:val="center"/>
              <w:ind w:right="290"/>
              <w:spacing w:after="0"/>
              <w:rPr>
                <w:sz w:val="20"/>
                <w:szCs w:val="20"/>
                <w:color w:val="auto"/>
              </w:rPr>
            </w:pPr>
            <w:r>
              <w:rPr>
                <w:rFonts w:ascii="Times New Roman" w:cs="Times New Roman" w:eastAsia="Times New Roman" w:hAnsi="Times New Roman"/>
                <w:sz w:val="18"/>
                <w:szCs w:val="18"/>
                <w:color w:val="auto"/>
              </w:rPr>
              <w:t>Name of exchange on which registered</w:t>
            </w:r>
          </w:p>
        </w:tc>
      </w:tr>
      <w:tr>
        <w:trPr>
          <w:trHeight w:val="228"/>
        </w:trPr>
        <w:tc>
          <w:tcPr>
            <w:tcW w:w="3160" w:type="dxa"/>
            <w:vAlign w:val="bottom"/>
            <w:tcBorders>
              <w:top w:val="single" w:sz="8" w:color="auto"/>
            </w:tcBorders>
          </w:tcPr>
          <w:p>
            <w:pPr>
              <w:jc w:val="center"/>
              <w:ind w:left="470"/>
              <w:spacing w:after="0"/>
              <w:rPr>
                <w:sz w:val="20"/>
                <w:szCs w:val="20"/>
                <w:color w:val="auto"/>
              </w:rPr>
            </w:pPr>
            <w:r>
              <w:rPr>
                <w:rFonts w:ascii="Times New Roman" w:cs="Times New Roman" w:eastAsia="Times New Roman" w:hAnsi="Times New Roman"/>
                <w:sz w:val="18"/>
                <w:szCs w:val="18"/>
                <w:color w:val="auto"/>
                <w:w w:val="99"/>
              </w:rPr>
              <w:t>Common Stock ($5.00 par value)</w:t>
            </w:r>
          </w:p>
        </w:tc>
        <w:tc>
          <w:tcPr>
            <w:tcW w:w="58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2140" w:type="dxa"/>
            <w:vAlign w:val="bottom"/>
            <w:tcBorders>
              <w:top w:val="single" w:sz="8" w:color="auto"/>
            </w:tcBorders>
            <w:gridSpan w:val="2"/>
          </w:tcPr>
          <w:p>
            <w:pPr>
              <w:jc w:val="center"/>
              <w:ind w:right="420"/>
              <w:spacing w:after="0"/>
              <w:rPr>
                <w:sz w:val="20"/>
                <w:szCs w:val="20"/>
                <w:color w:val="auto"/>
              </w:rPr>
            </w:pPr>
            <w:r>
              <w:rPr>
                <w:rFonts w:ascii="Times New Roman" w:cs="Times New Roman" w:eastAsia="Times New Roman" w:hAnsi="Times New Roman"/>
                <w:sz w:val="18"/>
                <w:szCs w:val="18"/>
                <w:color w:val="auto"/>
                <w:w w:val="99"/>
              </w:rPr>
              <w:t>BSET</w:t>
            </w:r>
          </w:p>
        </w:tc>
        <w:tc>
          <w:tcPr>
            <w:tcW w:w="32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3360" w:type="dxa"/>
            <w:vAlign w:val="bottom"/>
            <w:tcBorders>
              <w:top w:val="single" w:sz="8" w:color="auto"/>
            </w:tcBorders>
          </w:tcPr>
          <w:p>
            <w:pPr>
              <w:jc w:val="center"/>
              <w:ind w:right="290"/>
              <w:spacing w:after="0"/>
              <w:rPr>
                <w:sz w:val="20"/>
                <w:szCs w:val="20"/>
                <w:color w:val="auto"/>
              </w:rPr>
            </w:pPr>
            <w:r>
              <w:rPr>
                <w:rFonts w:ascii="Times New Roman" w:cs="Times New Roman" w:eastAsia="Times New Roman" w:hAnsi="Times New Roman"/>
                <w:sz w:val="18"/>
                <w:szCs w:val="18"/>
                <w:color w:val="auto"/>
                <w:w w:val="98"/>
              </w:rPr>
              <w:t>NASDAQ</w:t>
            </w:r>
          </w:p>
        </w:tc>
      </w:tr>
    </w:tbl>
    <w:p>
      <w:pPr>
        <w:spacing w:after="0" w:line="179"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9" w:lineRule="exact"/>
        <w:rPr>
          <w:sz w:val="24"/>
          <w:szCs w:val="24"/>
          <w:color w:val="auto"/>
        </w:rPr>
      </w:pPr>
    </w:p>
    <w:p>
      <w:pPr>
        <w:jc w:val="both"/>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8"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47"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2040" w:type="dxa"/>
            <w:vAlign w:val="bottom"/>
          </w:tcPr>
          <w:p>
            <w:pPr>
              <w:ind w:left="660"/>
              <w:spacing w:after="0" w:line="181" w:lineRule="exact"/>
              <w:rPr>
                <w:sz w:val="20"/>
                <w:szCs w:val="20"/>
                <w:color w:val="auto"/>
              </w:rPr>
            </w:pPr>
            <w:r>
              <w:rPr>
                <w:rFonts w:ascii="MS PGothic" w:cs="MS PGothic" w:eastAsia="MS PGothic" w:hAnsi="MS PGothic"/>
                <w:sz w:val="18"/>
                <w:szCs w:val="18"/>
                <w:color w:val="auto"/>
              </w:rPr>
              <w:t>☐</w:t>
            </w:r>
          </w:p>
        </w:tc>
        <w:tc>
          <w:tcPr>
            <w:tcW w:w="4880" w:type="dxa"/>
            <w:vAlign w:val="bottom"/>
          </w:tcPr>
          <w:p>
            <w:pPr>
              <w:ind w:left="1220"/>
              <w:spacing w:after="0"/>
              <w:rPr>
                <w:sz w:val="20"/>
                <w:szCs w:val="20"/>
                <w:color w:val="auto"/>
              </w:rPr>
            </w:pPr>
            <w:r>
              <w:rPr>
                <w:rFonts w:ascii="Times New Roman" w:cs="Times New Roman" w:eastAsia="Times New Roman" w:hAnsi="Times New Roman"/>
                <w:sz w:val="18"/>
                <w:szCs w:val="18"/>
                <w:color w:val="auto"/>
              </w:rPr>
              <w:t>Accelerated Filer</w:t>
            </w:r>
          </w:p>
        </w:tc>
        <w:tc>
          <w:tcPr>
            <w:tcW w:w="1740" w:type="dxa"/>
            <w:vAlign w:val="bottom"/>
          </w:tcPr>
          <w:p>
            <w:pPr>
              <w:ind w:left="1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2040" w:type="dxa"/>
            <w:vAlign w:val="bottom"/>
          </w:tcPr>
          <w:p>
            <w:pPr>
              <w:ind w:left="660"/>
              <w:spacing w:after="0" w:line="181" w:lineRule="exact"/>
              <w:rPr>
                <w:sz w:val="20"/>
                <w:szCs w:val="20"/>
                <w:color w:val="auto"/>
              </w:rPr>
            </w:pPr>
            <w:r>
              <w:rPr>
                <w:rFonts w:ascii="MS PGothic" w:cs="MS PGothic" w:eastAsia="MS PGothic" w:hAnsi="MS PGothic"/>
                <w:sz w:val="18"/>
                <w:szCs w:val="18"/>
                <w:color w:val="auto"/>
              </w:rPr>
              <w:t>☐</w:t>
            </w:r>
          </w:p>
        </w:tc>
        <w:tc>
          <w:tcPr>
            <w:tcW w:w="4880" w:type="dxa"/>
            <w:vAlign w:val="bottom"/>
          </w:tcPr>
          <w:p>
            <w:pPr>
              <w:ind w:left="122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1740" w:type="dxa"/>
            <w:vAlign w:val="bottom"/>
          </w:tcPr>
          <w:p>
            <w:pPr>
              <w:ind w:left="1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3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4880" w:type="dxa"/>
            <w:vAlign w:val="bottom"/>
          </w:tcPr>
          <w:p>
            <w:pPr>
              <w:ind w:left="1220"/>
              <w:spacing w:after="0"/>
              <w:rPr>
                <w:sz w:val="20"/>
                <w:szCs w:val="20"/>
                <w:color w:val="auto"/>
              </w:rPr>
            </w:pPr>
            <w:r>
              <w:rPr>
                <w:rFonts w:ascii="Times New Roman" w:cs="Times New Roman" w:eastAsia="Times New Roman" w:hAnsi="Times New Roman"/>
                <w:sz w:val="18"/>
                <w:szCs w:val="18"/>
                <w:color w:val="auto"/>
              </w:rPr>
              <w:t>Emerging Growth Company</w:t>
            </w:r>
          </w:p>
        </w:tc>
        <w:tc>
          <w:tcPr>
            <w:tcW w:w="1740" w:type="dxa"/>
            <w:vAlign w:val="bottom"/>
          </w:tcPr>
          <w:p>
            <w:pPr>
              <w:ind w:left="158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394"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line="207" w:lineRule="exact"/>
        <w:tabs>
          <w:tab w:leader="none" w:pos="9000" w:val="left"/>
        </w:tabs>
        <w:rPr>
          <w:sz w:val="20"/>
          <w:szCs w:val="20"/>
          <w:color w:val="auto"/>
        </w:rPr>
      </w:pPr>
      <w:r>
        <w:rPr>
          <w:rFonts w:ascii="Times New Roman" w:cs="Times New Roman" w:eastAsia="Times New Roman" w:hAnsi="Times New Roman"/>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b/>
        <w:t xml:space="preserve">No  </w:t>
      </w:r>
      <w:r>
        <w:rPr>
          <w:rFonts w:ascii="MS PGothic" w:cs="MS PGothic" w:eastAsia="MS PGothic" w:hAnsi="MS PGothic"/>
          <w:sz w:val="18"/>
          <w:szCs w:val="18"/>
          <w:color w:val="auto"/>
        </w:rPr>
        <w:t>☒</w:t>
      </w:r>
    </w:p>
    <w:p>
      <w:pPr>
        <w:spacing w:after="0" w:line="25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At June 24, 2022, 9,247,410 shares of common stock of the Registrant were outstanding.</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 of 37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color w:val="auto"/>
        </w:rPr>
        <w:t>BASSETT FURNITURE INDUSTRIES, INCORPORATED AND SUBSIDIARIES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25" w:lineRule="exact"/>
        <w:rPr>
          <w:sz w:val="20"/>
          <w:szCs w:val="20"/>
          <w:color w:val="auto"/>
        </w:rPr>
      </w:pPr>
    </w:p>
    <w:p>
      <w:pPr>
        <w:spacing w:after="0"/>
        <w:tabs>
          <w:tab w:leader="none" w:pos="10660" w:val="left"/>
        </w:tabs>
        <w:rPr>
          <w:sz w:val="20"/>
          <w:szCs w:val="20"/>
          <w:color w:val="auto"/>
        </w:rPr>
      </w:pPr>
      <w:r>
        <w:rPr>
          <w:rFonts w:ascii="Times New Roman" w:cs="Times New Roman" w:eastAsia="Times New Roman" w:hAnsi="Times New Roman"/>
          <w:sz w:val="18"/>
          <w:szCs w:val="18"/>
          <w:color w:val="auto"/>
        </w:rPr>
        <w:t>ITEM</w:t>
      </w:r>
      <w:r>
        <w:rPr>
          <w:sz w:val="20"/>
          <w:szCs w:val="20"/>
          <w:color w:val="auto"/>
        </w:rPr>
        <w:tab/>
      </w:r>
      <w:r>
        <w:rPr>
          <w:rFonts w:ascii="Times New Roman" w:cs="Times New Roman" w:eastAsia="Times New Roman" w:hAnsi="Times New Roman"/>
          <w:sz w:val="18"/>
          <w:szCs w:val="18"/>
          <w:color w:val="auto"/>
        </w:rPr>
        <w:t>PAGE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PART I - 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left="580" w:right="860" w:hanging="572"/>
        <w:spacing w:after="0" w:line="282" w:lineRule="auto"/>
        <w:tabs>
          <w:tab w:leader="none" w:pos="5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Condensed Consolidated Financial Statements as of May 28, 2022 (unaudited) and November 27, 2021 and for the three and six months ended May 28, 2022 (unaudited) and May 29, 2021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-296545</wp:posOffset>
            </wp:positionV>
            <wp:extent cx="7132320" cy="274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274320"/>
                    </a:xfrm>
                    <a:prstGeom prst="rect">
                      <a:avLst/>
                    </a:prstGeom>
                    <a:noFill/>
                  </pic:spPr>
                </pic:pic>
              </a:graphicData>
            </a:graphic>
          </wp:anchor>
        </w:drawing>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Statements of Income</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Statements of Comprehensive Income</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4</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Balance Sheets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Statements of Cash Flows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Notes to Condensed Consolidated Financial Statements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7</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2.</w:t>
            </w:r>
          </w:p>
        </w:tc>
        <w:tc>
          <w:tcPr>
            <w:tcW w:w="88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23</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3.</w:t>
            </w:r>
          </w:p>
        </w:tc>
        <w:tc>
          <w:tcPr>
            <w:tcW w:w="88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Quantitative and Qualitative Disclosures About Market Risk</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34</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4.</w:t>
            </w:r>
          </w:p>
        </w:tc>
        <w:tc>
          <w:tcPr>
            <w:tcW w:w="88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Controls and Procedures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34</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3960"/>
              <w:spacing w:after="0"/>
              <w:rPr>
                <w:sz w:val="20"/>
                <w:szCs w:val="20"/>
                <w:color w:val="auto"/>
              </w:rPr>
            </w:pPr>
            <w:r>
              <w:rPr>
                <w:rFonts w:ascii="Times New Roman" w:cs="Times New Roman" w:eastAsia="Times New Roman" w:hAnsi="Times New Roman"/>
                <w:sz w:val="18"/>
                <w:szCs w:val="18"/>
                <w:color w:val="auto"/>
              </w:rPr>
              <w:t>PART II - OTHER INFORMATION</w:t>
            </w:r>
          </w:p>
        </w:tc>
        <w:tc>
          <w:tcPr>
            <w:tcW w:w="2060" w:type="dxa"/>
            <w:vAlign w:val="bottom"/>
            <w:shd w:val="clear" w:color="auto" w:fill="CCEEFF"/>
          </w:tcPr>
          <w:p>
            <w:pPr>
              <w:spacing w:after="0"/>
              <w:rPr>
                <w:sz w:val="18"/>
                <w:szCs w:val="18"/>
                <w:color w:val="auto"/>
              </w:rPr>
            </w:pP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1.</w:t>
            </w:r>
          </w:p>
        </w:tc>
        <w:tc>
          <w:tcPr>
            <w:tcW w:w="88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Legal Proceedings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35</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2.</w:t>
            </w:r>
          </w:p>
        </w:tc>
        <w:tc>
          <w:tcPr>
            <w:tcW w:w="88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Unregistered Sales of Equity Securities, Use of Proceeds and Issuer Purchases of Equity Securities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35</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3.</w:t>
            </w:r>
          </w:p>
        </w:tc>
        <w:tc>
          <w:tcPr>
            <w:tcW w:w="88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Defaults Upon Senior Securities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35</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6.</w:t>
            </w:r>
          </w:p>
        </w:tc>
        <w:tc>
          <w:tcPr>
            <w:tcW w:w="88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Exhibits</w:t>
            </w:r>
          </w:p>
        </w:tc>
        <w:tc>
          <w:tcPr>
            <w:tcW w:w="2060" w:type="dxa"/>
            <w:vAlign w:val="bottom"/>
            <w:shd w:val="clear" w:color="auto" w:fill="CCEEFF"/>
          </w:tcPr>
          <w:p>
            <w:pPr>
              <w:ind w:left="1500"/>
              <w:spacing w:after="0"/>
              <w:rPr>
                <w:sz w:val="20"/>
                <w:szCs w:val="20"/>
                <w:color w:val="auto"/>
              </w:rPr>
            </w:pPr>
            <w:r>
              <w:rPr>
                <w:rFonts w:ascii="Times New Roman" w:cs="Times New Roman" w:eastAsia="Times New Roman" w:hAnsi="Times New Roman"/>
                <w:sz w:val="18"/>
                <w:szCs w:val="18"/>
                <w:color w:val="auto"/>
              </w:rPr>
              <w:t>36</w:t>
            </w:r>
          </w:p>
        </w:tc>
      </w:tr>
      <w:tr>
        <w:trPr>
          <w:trHeight w:val="432"/>
        </w:trPr>
        <w:tc>
          <w:tcPr>
            <w:tcW w:w="360" w:type="dxa"/>
            <w:vAlign w:val="bottom"/>
          </w:tcPr>
          <w:p>
            <w:pPr>
              <w:spacing w:after="0"/>
              <w:rPr>
                <w:sz w:val="24"/>
                <w:szCs w:val="24"/>
                <w:color w:val="auto"/>
              </w:rPr>
            </w:pPr>
          </w:p>
        </w:tc>
        <w:tc>
          <w:tcPr>
            <w:tcW w:w="8820" w:type="dxa"/>
            <w:vAlign w:val="bottom"/>
          </w:tcPr>
          <w:p>
            <w:pPr>
              <w:ind w:left="4820"/>
              <w:spacing w:after="0"/>
              <w:rPr>
                <w:sz w:val="20"/>
                <w:szCs w:val="20"/>
                <w:color w:val="auto"/>
              </w:rPr>
            </w:pPr>
            <w:r>
              <w:rPr>
                <w:rFonts w:ascii="Times New Roman" w:cs="Times New Roman" w:eastAsia="Times New Roman" w:hAnsi="Times New Roman"/>
                <w:sz w:val="18"/>
                <w:szCs w:val="18"/>
                <w:color w:val="auto"/>
              </w:rPr>
              <w:t>Page 2 of 37</w:t>
            </w:r>
          </w:p>
        </w:tc>
        <w:tc>
          <w:tcPr>
            <w:tcW w:w="2060" w:type="dxa"/>
            <w:vAlign w:val="bottom"/>
          </w:tcPr>
          <w:p>
            <w:pPr>
              <w:spacing w:after="0"/>
              <w:rPr>
                <w:sz w:val="24"/>
                <w:szCs w:val="24"/>
                <w:color w:val="auto"/>
              </w:rPr>
            </w:pPr>
          </w:p>
        </w:tc>
      </w:tr>
      <w:tr>
        <w:trPr>
          <w:trHeight w:val="115"/>
        </w:trPr>
        <w:tc>
          <w:tcPr>
            <w:tcW w:w="360" w:type="dxa"/>
            <w:vAlign w:val="bottom"/>
            <w:tcBorders>
              <w:bottom w:val="single" w:sz="8" w:color="auto"/>
            </w:tcBorders>
          </w:tcPr>
          <w:p>
            <w:pPr>
              <w:spacing w:after="0"/>
              <w:rPr>
                <w:sz w:val="10"/>
                <w:szCs w:val="10"/>
                <w:color w:val="auto"/>
              </w:rPr>
            </w:pPr>
          </w:p>
        </w:tc>
        <w:tc>
          <w:tcPr>
            <w:tcW w:w="8820" w:type="dxa"/>
            <w:vAlign w:val="bottom"/>
            <w:tcBorders>
              <w:bottom w:val="single" w:sz="8" w:color="auto"/>
            </w:tcBorders>
          </w:tcPr>
          <w:p>
            <w:pPr>
              <w:spacing w:after="0"/>
              <w:rPr>
                <w:sz w:val="10"/>
                <w:szCs w:val="10"/>
                <w:color w:val="auto"/>
              </w:rPr>
            </w:pPr>
          </w:p>
        </w:tc>
        <w:tc>
          <w:tcPr>
            <w:tcW w:w="206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823"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u w:val="single" w:color="auto"/>
          <w:color w:val="auto"/>
        </w:rPr>
        <w:t>PART I - FINANCIAL INFORMATION</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FOR THE PERIODS ENDED MAY 28, 2022 AND MAY 29, 2021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 except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62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2140" w:type="dxa"/>
            <w:vAlign w:val="bottom"/>
            <w:tcBorders>
              <w:bottom w:val="single" w:sz="8" w:color="auto"/>
            </w:tcBorders>
            <w:gridSpan w:val="4"/>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100" w:type="dxa"/>
            <w:vAlign w:val="bottom"/>
          </w:tcPr>
          <w:p>
            <w:pPr>
              <w:spacing w:after="0"/>
              <w:rPr>
                <w:sz w:val="20"/>
                <w:szCs w:val="20"/>
                <w:color w:val="auto"/>
              </w:rPr>
            </w:pPr>
          </w:p>
        </w:tc>
      </w:tr>
      <w:tr>
        <w:trPr>
          <w:trHeight w:val="426"/>
        </w:trPr>
        <w:tc>
          <w:tcPr>
            <w:tcW w:w="5980" w:type="dxa"/>
            <w:vAlign w:val="bottom"/>
          </w:tcPr>
          <w:p>
            <w:pPr>
              <w:spacing w:after="0"/>
              <w:rPr>
                <w:sz w:val="24"/>
                <w:szCs w:val="24"/>
                <w:color w:val="auto"/>
              </w:rPr>
            </w:pPr>
          </w:p>
        </w:tc>
        <w:tc>
          <w:tcPr>
            <w:tcW w:w="1380" w:type="dxa"/>
            <w:vAlign w:val="bottom"/>
            <w:gridSpan w:val="3"/>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34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32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2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May 29, 2021</w:t>
            </w:r>
          </w:p>
        </w:tc>
      </w:tr>
      <w:tr>
        <w:trPr>
          <w:trHeight w:val="209"/>
        </w:trPr>
        <w:tc>
          <w:tcPr>
            <w:tcW w:w="59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128,706</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33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109,997</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246,570</w:t>
            </w: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211,652</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62,767</w:t>
            </w: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52,911</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123,239</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101,163</w:t>
            </w:r>
          </w:p>
        </w:tc>
      </w:tr>
      <w:tr>
        <w:trPr>
          <w:trHeight w:val="20"/>
        </w:trPr>
        <w:tc>
          <w:tcPr>
            <w:tcW w:w="59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Gross profit</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65,939</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57,086</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123,331</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110,489</w:t>
            </w:r>
          </w:p>
        </w:tc>
      </w:tr>
      <w:tr>
        <w:trPr>
          <w:trHeight w:val="216"/>
        </w:trPr>
        <w:tc>
          <w:tcPr>
            <w:tcW w:w="5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54,927</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50,001</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105,841</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97,842</w:t>
            </w:r>
          </w:p>
        </w:tc>
      </w:tr>
      <w:tr>
        <w:trPr>
          <w:trHeight w:val="20"/>
        </w:trPr>
        <w:tc>
          <w:tcPr>
            <w:tcW w:w="59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operations</w:t>
            </w: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11,012</w:t>
            </w: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7,085</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17,490</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12,647</w:t>
            </w:r>
          </w:p>
        </w:tc>
      </w:tr>
      <w:tr>
        <w:trPr>
          <w:trHeight w:val="216"/>
        </w:trPr>
        <w:tc>
          <w:tcPr>
            <w:tcW w:w="59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Other loss, net</w:t>
            </w:r>
          </w:p>
        </w:tc>
        <w:tc>
          <w:tcPr>
            <w:tcW w:w="320" w:type="dxa"/>
            <w:vAlign w:val="bottom"/>
          </w:tcPr>
          <w:p>
            <w:pPr>
              <w:spacing w:after="0"/>
              <w:rPr>
                <w:sz w:val="18"/>
                <w:szCs w:val="18"/>
                <w:color w:val="auto"/>
              </w:rPr>
            </w:pPr>
          </w:p>
        </w:tc>
        <w:tc>
          <w:tcPr>
            <w:tcW w:w="10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(627)</w:t>
            </w:r>
          </w:p>
        </w:tc>
        <w:tc>
          <w:tcPr>
            <w:tcW w:w="50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(259)</w:t>
            </w:r>
          </w:p>
        </w:tc>
        <w:tc>
          <w:tcPr>
            <w:tcW w:w="3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(1,256)</w:t>
            </w:r>
          </w:p>
        </w:tc>
        <w:tc>
          <w:tcPr>
            <w:tcW w:w="32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(560)</w:t>
            </w:r>
          </w:p>
        </w:tc>
      </w:tr>
      <w:tr>
        <w:trPr>
          <w:trHeight w:val="20"/>
        </w:trPr>
        <w:tc>
          <w:tcPr>
            <w:tcW w:w="59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continuing operations before income taxes</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10,385</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6,826</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16,234</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12,087</w:t>
            </w:r>
          </w:p>
        </w:tc>
      </w:tr>
      <w:tr>
        <w:trPr>
          <w:trHeight w:val="216"/>
        </w:trPr>
        <w:tc>
          <w:tcPr>
            <w:tcW w:w="5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tax expense</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2,642</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1,749</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4,200</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3,313</w:t>
            </w:r>
          </w:p>
        </w:tc>
      </w:tr>
      <w:tr>
        <w:trPr>
          <w:trHeight w:val="209"/>
        </w:trPr>
        <w:tc>
          <w:tcPr>
            <w:tcW w:w="59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7,743</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5,077</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12,034</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8,774</w:t>
            </w:r>
          </w:p>
        </w:tc>
      </w:tr>
      <w:tr>
        <w:trPr>
          <w:trHeight w:val="216"/>
        </w:trPr>
        <w:tc>
          <w:tcPr>
            <w:tcW w:w="5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Discontinued operations:</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operations of logistical services</w:t>
            </w: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1,222</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1,712</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1,644</w:t>
            </w: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Gain on disposal</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53,254</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53,254</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tax expense</w:t>
            </w: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13,879</w:t>
            </w: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325</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14,309</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433</w:t>
            </w:r>
          </w:p>
        </w:tc>
      </w:tr>
      <w:tr>
        <w:trPr>
          <w:trHeight w:val="209"/>
        </w:trPr>
        <w:tc>
          <w:tcPr>
            <w:tcW w:w="59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39,375</w:t>
            </w: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897</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40,657</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1,211</w:t>
            </w:r>
          </w:p>
        </w:tc>
      </w:tr>
      <w:tr>
        <w:trPr>
          <w:trHeight w:val="210"/>
        </w:trPr>
        <w:tc>
          <w:tcPr>
            <w:tcW w:w="59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47,118</w:t>
            </w:r>
          </w:p>
        </w:tc>
        <w:tc>
          <w:tcPr>
            <w:tcW w:w="260" w:type="dxa"/>
            <w:vAlign w:val="bottom"/>
          </w:tcPr>
          <w:p>
            <w:pPr>
              <w:spacing w:after="0"/>
              <w:rPr>
                <w:sz w:val="18"/>
                <w:szCs w:val="18"/>
                <w:color w:val="auto"/>
              </w:rPr>
            </w:pPr>
          </w:p>
        </w:tc>
        <w:tc>
          <w:tcPr>
            <w:tcW w:w="500" w:type="dxa"/>
            <w:vAlign w:val="bottom"/>
          </w:tcPr>
          <w:p>
            <w:pPr>
              <w:jc w:val="right"/>
              <w:ind w:right="33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5,974</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52,691</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9,985</w:t>
            </w:r>
          </w:p>
        </w:tc>
      </w:tr>
      <w:tr>
        <w:trPr>
          <w:trHeight w:val="20"/>
        </w:trPr>
        <w:tc>
          <w:tcPr>
            <w:tcW w:w="59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9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0.81</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33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0.51</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1.25</w:t>
            </w: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0.89</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4.14</w:t>
            </w: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0.09</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4.22</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0.12</w:t>
            </w:r>
          </w:p>
        </w:tc>
      </w:tr>
      <w:tr>
        <w:trPr>
          <w:trHeight w:val="20"/>
        </w:trPr>
        <w:tc>
          <w:tcPr>
            <w:tcW w:w="59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9"/>
        </w:trPr>
        <w:tc>
          <w:tcPr>
            <w:tcW w:w="59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Basic and diluted earnings per share</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4.95</w:t>
            </w:r>
          </w:p>
        </w:tc>
        <w:tc>
          <w:tcPr>
            <w:tcW w:w="260" w:type="dxa"/>
            <w:vAlign w:val="bottom"/>
            <w:shd w:val="clear" w:color="auto" w:fill="CCEEFF"/>
          </w:tcPr>
          <w:p>
            <w:pPr>
              <w:spacing w:after="0"/>
              <w:rPr>
                <w:sz w:val="21"/>
                <w:szCs w:val="21"/>
                <w:color w:val="auto"/>
              </w:rPr>
            </w:pPr>
          </w:p>
        </w:tc>
        <w:tc>
          <w:tcPr>
            <w:tcW w:w="500" w:type="dxa"/>
            <w:vAlign w:val="bottom"/>
            <w:shd w:val="clear" w:color="auto" w:fill="CCEEFF"/>
          </w:tcPr>
          <w:p>
            <w:pPr>
              <w:jc w:val="right"/>
              <w:ind w:right="33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0.60</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5.47</w:t>
            </w: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1.01</w:t>
            </w:r>
          </w:p>
        </w:tc>
      </w:tr>
      <w:tr>
        <w:trPr>
          <w:trHeight w:val="197"/>
        </w:trPr>
        <w:tc>
          <w:tcPr>
            <w:tcW w:w="59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0.81</w:t>
            </w:r>
          </w:p>
        </w:tc>
        <w:tc>
          <w:tcPr>
            <w:tcW w:w="260" w:type="dxa"/>
            <w:vAlign w:val="bottom"/>
          </w:tcPr>
          <w:p>
            <w:pPr>
              <w:spacing w:after="0"/>
              <w:rPr>
                <w:sz w:val="18"/>
                <w:szCs w:val="18"/>
                <w:color w:val="auto"/>
              </w:rPr>
            </w:pPr>
          </w:p>
        </w:tc>
        <w:tc>
          <w:tcPr>
            <w:tcW w:w="500" w:type="dxa"/>
            <w:vAlign w:val="bottom"/>
          </w:tcPr>
          <w:p>
            <w:pPr>
              <w:jc w:val="right"/>
              <w:ind w:right="33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0.51</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1.25</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0.89</w:t>
            </w: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4.13</w:t>
            </w: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0.09</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4.22</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0.12</w:t>
            </w:r>
          </w:p>
        </w:tc>
      </w:tr>
      <w:tr>
        <w:trPr>
          <w:trHeight w:val="20"/>
        </w:trPr>
        <w:tc>
          <w:tcPr>
            <w:tcW w:w="59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9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4.94</w:t>
            </w:r>
          </w:p>
        </w:tc>
        <w:tc>
          <w:tcPr>
            <w:tcW w:w="260" w:type="dxa"/>
            <w:vAlign w:val="bottom"/>
          </w:tcPr>
          <w:p>
            <w:pPr>
              <w:spacing w:after="0"/>
              <w:rPr>
                <w:sz w:val="18"/>
                <w:szCs w:val="18"/>
                <w:color w:val="auto"/>
              </w:rPr>
            </w:pPr>
          </w:p>
        </w:tc>
        <w:tc>
          <w:tcPr>
            <w:tcW w:w="500" w:type="dxa"/>
            <w:vAlign w:val="bottom"/>
          </w:tcPr>
          <w:p>
            <w:pPr>
              <w:jc w:val="right"/>
              <w:ind w:right="335"/>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0.60</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5.47</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w:t>
            </w:r>
          </w:p>
        </w:tc>
      </w:tr>
      <w:tr>
        <w:trPr>
          <w:trHeight w:val="20"/>
        </w:trPr>
        <w:tc>
          <w:tcPr>
            <w:tcW w:w="59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spacing w:after="0" w:line="253" w:lineRule="auto"/>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 CONDENSED CONSOLIDATED STATEMENTS OF COMPREHENSIVE INCOME FOR THE PERIODS ENDED MAY 28, 2022 AND MAY 29, 2021 – UNAUDITED (In thousands)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gridSpan w:val="3"/>
          </w:tcPr>
          <w:p>
            <w:pPr>
              <w:jc w:val="right"/>
              <w:ind w:right="34"/>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54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5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426"/>
        </w:trPr>
        <w:tc>
          <w:tcPr>
            <w:tcW w:w="5980" w:type="dxa"/>
            <w:vAlign w:val="bottom"/>
          </w:tcPr>
          <w:p>
            <w:pPr>
              <w:spacing w:after="0"/>
              <w:rPr>
                <w:sz w:val="24"/>
                <w:szCs w:val="24"/>
                <w:color w:val="auto"/>
              </w:rPr>
            </w:pPr>
          </w:p>
        </w:tc>
        <w:tc>
          <w:tcPr>
            <w:tcW w:w="1380" w:type="dxa"/>
            <w:vAlign w:val="bottom"/>
            <w:gridSpan w:val="3"/>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34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32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2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May 29, 2021</w:t>
            </w:r>
          </w:p>
        </w:tc>
      </w:tr>
      <w:tr>
        <w:trPr>
          <w:trHeight w:val="209"/>
        </w:trPr>
        <w:tc>
          <w:tcPr>
            <w:tcW w:w="598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360" w:type="dxa"/>
            <w:vAlign w:val="bottom"/>
            <w:shd w:val="clear" w:color="auto" w:fill="CCEEFF"/>
          </w:tcPr>
          <w:p>
            <w:pPr>
              <w:jc w:val="right"/>
              <w:ind w:right="194"/>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47,118</w:t>
            </w:r>
          </w:p>
        </w:tc>
        <w:tc>
          <w:tcPr>
            <w:tcW w:w="26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414"/>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5,974</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52,691</w:t>
            </w:r>
          </w:p>
        </w:tc>
        <w:tc>
          <w:tcPr>
            <w:tcW w:w="620" w:type="dxa"/>
            <w:vAlign w:val="bottom"/>
            <w:shd w:val="clear" w:color="auto" w:fill="CCEEFF"/>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9,985</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Amortization associated with Long Term Cash Awards (LTCA)</w:t>
            </w: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2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36</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66</w:t>
            </w:r>
          </w:p>
        </w:tc>
        <w:tc>
          <w:tcPr>
            <w:tcW w:w="6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72</w:t>
            </w:r>
          </w:p>
        </w:tc>
      </w:tr>
      <w:tr>
        <w:trPr>
          <w:trHeight w:val="216"/>
        </w:trPr>
        <w:tc>
          <w:tcPr>
            <w:tcW w:w="59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Income taxes related to LTCA</w:t>
            </w:r>
          </w:p>
        </w:tc>
        <w:tc>
          <w:tcPr>
            <w:tcW w:w="360" w:type="dxa"/>
            <w:vAlign w:val="bottom"/>
          </w:tcPr>
          <w:p>
            <w:pPr>
              <w:spacing w:after="0"/>
              <w:rPr>
                <w:sz w:val="18"/>
                <w:szCs w:val="18"/>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w:t>
            </w:r>
          </w:p>
        </w:tc>
        <w:tc>
          <w:tcPr>
            <w:tcW w:w="58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w:t>
            </w:r>
          </w:p>
        </w:tc>
        <w:tc>
          <w:tcPr>
            <w:tcW w:w="3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w:t>
            </w:r>
          </w:p>
        </w:tc>
        <w:tc>
          <w:tcPr>
            <w:tcW w:w="62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w:t>
            </w:r>
          </w:p>
        </w:tc>
      </w:tr>
      <w:tr>
        <w:trPr>
          <w:trHeight w:val="198"/>
        </w:trPr>
        <w:tc>
          <w:tcPr>
            <w:tcW w:w="5980" w:type="dxa"/>
            <w:vAlign w:val="bottom"/>
            <w:shd w:val="clear" w:color="auto" w:fill="CCEEFF"/>
          </w:tcPr>
          <w:p>
            <w:pPr>
              <w:ind w:left="340"/>
              <w:spacing w:after="0" w:line="198" w:lineRule="exact"/>
              <w:rPr>
                <w:sz w:val="20"/>
                <w:szCs w:val="20"/>
                <w:color w:val="auto"/>
              </w:rPr>
            </w:pPr>
            <w:r>
              <w:rPr>
                <w:rFonts w:ascii="Times New Roman" w:cs="Times New Roman" w:eastAsia="Times New Roman" w:hAnsi="Times New Roman"/>
                <w:sz w:val="18"/>
                <w:szCs w:val="18"/>
                <w:color w:val="auto"/>
              </w:rPr>
              <w:t>Amortization associated with supplemental executive retirement defined</w:t>
            </w:r>
          </w:p>
        </w:tc>
        <w:tc>
          <w:tcPr>
            <w:tcW w:w="3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598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benefit plan (SERP)</w:t>
            </w:r>
          </w:p>
        </w:tc>
        <w:tc>
          <w:tcPr>
            <w:tcW w:w="36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26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w:t>
            </w:r>
          </w:p>
        </w:tc>
        <w:tc>
          <w:tcPr>
            <w:tcW w:w="3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62</w:t>
            </w:r>
          </w:p>
        </w:tc>
        <w:tc>
          <w:tcPr>
            <w:tcW w:w="620" w:type="dxa"/>
            <w:vAlign w:val="bottom"/>
            <w:shd w:val="clear" w:color="auto" w:fill="CCEEFF"/>
          </w:tcPr>
          <w:p>
            <w:pPr>
              <w:spacing w:after="0"/>
              <w:rPr>
                <w:sz w:val="20"/>
                <w:szCs w:val="20"/>
                <w:color w:val="auto"/>
              </w:rPr>
            </w:pPr>
          </w:p>
        </w:tc>
        <w:tc>
          <w:tcPr>
            <w:tcW w:w="6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w:t>
            </w:r>
          </w:p>
        </w:tc>
      </w:tr>
      <w:tr>
        <w:trPr>
          <w:trHeight w:val="216"/>
        </w:trPr>
        <w:tc>
          <w:tcPr>
            <w:tcW w:w="59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Income taxes related to SERP</w:t>
            </w:r>
          </w:p>
        </w:tc>
        <w:tc>
          <w:tcPr>
            <w:tcW w:w="360" w:type="dxa"/>
            <w:vAlign w:val="bottom"/>
          </w:tcPr>
          <w:p>
            <w:pPr>
              <w:spacing w:after="0"/>
              <w:rPr>
                <w:sz w:val="18"/>
                <w:szCs w:val="18"/>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w:t>
            </w:r>
          </w:p>
        </w:tc>
        <w:tc>
          <w:tcPr>
            <w:tcW w:w="58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w:t>
            </w:r>
          </w:p>
        </w:tc>
        <w:tc>
          <w:tcPr>
            <w:tcW w:w="3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w:t>
            </w:r>
          </w:p>
        </w:tc>
        <w:tc>
          <w:tcPr>
            <w:tcW w:w="62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w:t>
            </w:r>
          </w:p>
        </w:tc>
      </w:tr>
      <w:tr>
        <w:trPr>
          <w:trHeight w:val="210"/>
        </w:trPr>
        <w:tc>
          <w:tcPr>
            <w:tcW w:w="598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Other comprehensive income, net of tax</w:t>
            </w: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35</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96</w:t>
            </w:r>
          </w:p>
        </w:tc>
        <w:tc>
          <w:tcPr>
            <w:tcW w:w="62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70</w:t>
            </w:r>
          </w:p>
        </w:tc>
      </w:tr>
      <w:tr>
        <w:trPr>
          <w:trHeight w:val="209"/>
        </w:trPr>
        <w:tc>
          <w:tcPr>
            <w:tcW w:w="598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Total comprehensive income</w:t>
            </w:r>
          </w:p>
        </w:tc>
        <w:tc>
          <w:tcPr>
            <w:tcW w:w="360" w:type="dxa"/>
            <w:vAlign w:val="bottom"/>
          </w:tcPr>
          <w:p>
            <w:pPr>
              <w:jc w:val="right"/>
              <w:ind w:right="194"/>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47,166</w:t>
            </w:r>
          </w:p>
        </w:tc>
        <w:tc>
          <w:tcPr>
            <w:tcW w:w="260" w:type="dxa"/>
            <w:vAlign w:val="bottom"/>
          </w:tcPr>
          <w:p>
            <w:pPr>
              <w:spacing w:after="0"/>
              <w:rPr>
                <w:sz w:val="18"/>
                <w:szCs w:val="18"/>
                <w:color w:val="auto"/>
              </w:rPr>
            </w:pPr>
          </w:p>
        </w:tc>
        <w:tc>
          <w:tcPr>
            <w:tcW w:w="580" w:type="dxa"/>
            <w:vAlign w:val="bottom"/>
          </w:tcPr>
          <w:p>
            <w:pPr>
              <w:jc w:val="right"/>
              <w:ind w:right="414"/>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6,009</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52,787</w:t>
            </w:r>
          </w:p>
        </w:tc>
        <w:tc>
          <w:tcPr>
            <w:tcW w:w="62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96"/>
              </w:rPr>
              <w:t>10,055</w:t>
            </w:r>
          </w:p>
        </w:tc>
      </w:tr>
      <w:tr>
        <w:trPr>
          <w:trHeight w:val="20"/>
        </w:trPr>
        <w:tc>
          <w:tcPr>
            <w:tcW w:w="59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 AND NOVEMBER 27, 2021</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5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4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20" w:type="dxa"/>
            <w:vAlign w:val="bottom"/>
            <w:gridSpan w:val="2"/>
            <w:vMerge w:val="restart"/>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November 27,</w:t>
            </w:r>
          </w:p>
        </w:tc>
        <w:tc>
          <w:tcPr>
            <w:tcW w:w="0" w:type="dxa"/>
            <w:vAlign w:val="bottom"/>
          </w:tcPr>
          <w:p>
            <w:pPr>
              <w:spacing w:after="0"/>
              <w:rPr>
                <w:sz w:val="1"/>
                <w:szCs w:val="1"/>
                <w:color w:val="auto"/>
              </w:rPr>
            </w:pPr>
          </w:p>
        </w:tc>
      </w:tr>
      <w:tr>
        <w:trPr>
          <w:trHeight w:val="194"/>
        </w:trPr>
        <w:tc>
          <w:tcPr>
            <w:tcW w:w="480" w:type="dxa"/>
            <w:vAlign w:val="bottom"/>
          </w:tcPr>
          <w:p>
            <w:pPr>
              <w:spacing w:after="0"/>
              <w:rPr>
                <w:sz w:val="16"/>
                <w:szCs w:val="16"/>
                <w:color w:val="auto"/>
              </w:rPr>
            </w:pPr>
          </w:p>
        </w:tc>
        <w:tc>
          <w:tcPr>
            <w:tcW w:w="2300" w:type="dxa"/>
            <w:vAlign w:val="bottom"/>
          </w:tcPr>
          <w:p>
            <w:pPr>
              <w:spacing w:after="0"/>
              <w:rPr>
                <w:sz w:val="16"/>
                <w:szCs w:val="16"/>
                <w:color w:val="auto"/>
              </w:rPr>
            </w:pPr>
          </w:p>
        </w:tc>
        <w:tc>
          <w:tcPr>
            <w:tcW w:w="5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5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8000" w:type="dxa"/>
            <w:vAlign w:val="bottom"/>
            <w:gridSpan w:val="3"/>
            <w:shd w:val="clear" w:color="auto" w:fill="CCEEFF"/>
          </w:tcPr>
          <w:p>
            <w:pPr>
              <w:spacing w:after="0" w:line="169" w:lineRule="exact"/>
              <w:rPr>
                <w:sz w:val="20"/>
                <w:szCs w:val="20"/>
                <w:color w:val="auto"/>
              </w:rPr>
            </w:pPr>
            <w:r>
              <w:rPr>
                <w:rFonts w:ascii="Times New Roman" w:cs="Times New Roman" w:eastAsia="Times New Roman" w:hAnsi="Times New Roman"/>
                <w:sz w:val="18"/>
                <w:szCs w:val="18"/>
                <w:b w:val="1"/>
                <w:bCs w:val="1"/>
                <w:color w:val="auto"/>
              </w:rPr>
              <w:t>Assets</w:t>
            </w:r>
          </w:p>
        </w:tc>
        <w:tc>
          <w:tcPr>
            <w:tcW w:w="160" w:type="dxa"/>
            <w:vAlign w:val="bottom"/>
            <w:tcBorders>
              <w:top w:val="single" w:sz="8" w:color="auto"/>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48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5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3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3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71,610</w:t>
            </w: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34,374</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Short-term investments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17,715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17,715</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receivable, net</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22,836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20,567</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Inventories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92,865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78,004</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Recoverable income taxes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8,379</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Current assets of discontinued operations held for sale</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11,064</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Retail real estate held for sale</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3,623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Other current assets</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11,349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10,181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221,722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180,284</w:t>
            </w:r>
          </w:p>
        </w:tc>
        <w:tc>
          <w:tcPr>
            <w:tcW w:w="0" w:type="dxa"/>
            <w:vAlign w:val="bottom"/>
          </w:tcPr>
          <w:p>
            <w:pPr>
              <w:spacing w:after="0"/>
              <w:rPr>
                <w:sz w:val="1"/>
                <w:szCs w:val="1"/>
                <w:color w:val="auto"/>
              </w:rPr>
            </w:pPr>
          </w:p>
        </w:tc>
      </w:tr>
      <w:tr>
        <w:trPr>
          <w:trHeight w:val="209"/>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73,706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69,168</w:t>
            </w:r>
          </w:p>
        </w:tc>
        <w:tc>
          <w:tcPr>
            <w:tcW w:w="0" w:type="dxa"/>
            <w:vAlign w:val="bottom"/>
          </w:tcPr>
          <w:p>
            <w:pPr>
              <w:spacing w:after="0"/>
              <w:rPr>
                <w:sz w:val="1"/>
                <w:szCs w:val="1"/>
                <w:color w:val="auto"/>
              </w:rPr>
            </w:pP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income taxes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6,985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3,189</w:t>
            </w: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Goodwill and other intangible assets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14,326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14,354</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Right of use assets under operating leases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91,256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95,955</w:t>
            </w: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Long-term assets of discontinued operations held for sale</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52,757</w:t>
            </w:r>
          </w:p>
        </w:tc>
        <w:tc>
          <w:tcPr>
            <w:tcW w:w="0" w:type="dxa"/>
            <w:vAlign w:val="bottom"/>
          </w:tcPr>
          <w:p>
            <w:pPr>
              <w:spacing w:after="0"/>
              <w:rPr>
                <w:sz w:val="1"/>
                <w:szCs w:val="1"/>
                <w:color w:val="auto"/>
              </w:rPr>
            </w:pPr>
          </w:p>
        </w:tc>
      </w:tr>
      <w:tr>
        <w:trPr>
          <w:trHeight w:val="216"/>
        </w:trPr>
        <w:tc>
          <w:tcPr>
            <w:tcW w:w="800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5,758</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5,953</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long-term assets</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118,325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172,208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413,753</w:t>
            </w:r>
          </w:p>
        </w:tc>
        <w:tc>
          <w:tcPr>
            <w:tcW w:w="120" w:type="dxa"/>
            <w:vAlign w:val="bottom"/>
            <w:shd w:val="clear" w:color="auto" w:fill="CCEEFF"/>
          </w:tcPr>
          <w:p>
            <w:pPr>
              <w:spacing w:after="0"/>
              <w:rPr>
                <w:sz w:val="21"/>
                <w:szCs w:val="21"/>
                <w:color w:val="auto"/>
              </w:rPr>
            </w:pP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421,660</w:t>
            </w:r>
          </w:p>
        </w:tc>
        <w:tc>
          <w:tcPr>
            <w:tcW w:w="0" w:type="dxa"/>
            <w:vAlign w:val="bottom"/>
          </w:tcPr>
          <w:p>
            <w:pPr>
              <w:spacing w:after="0"/>
              <w:rPr>
                <w:sz w:val="1"/>
                <w:szCs w:val="1"/>
                <w:color w:val="auto"/>
              </w:rPr>
            </w:pPr>
          </w:p>
        </w:tc>
      </w:tr>
      <w:tr>
        <w:trPr>
          <w:trHeight w:val="196"/>
        </w:trPr>
        <w:tc>
          <w:tcPr>
            <w:tcW w:w="480" w:type="dxa"/>
            <w:vAlign w:val="bottom"/>
            <w:tcBorders>
              <w:top w:val="single" w:sz="8" w:color="CCEEFF"/>
            </w:tcBorders>
          </w:tcPr>
          <w:p>
            <w:pPr>
              <w:spacing w:after="0"/>
              <w:rPr>
                <w:sz w:val="17"/>
                <w:szCs w:val="17"/>
                <w:color w:val="auto"/>
              </w:rPr>
            </w:pPr>
          </w:p>
        </w:tc>
        <w:tc>
          <w:tcPr>
            <w:tcW w:w="2300" w:type="dxa"/>
            <w:vAlign w:val="bottom"/>
            <w:tcBorders>
              <w:top w:val="single" w:sz="8" w:color="CCEEFF"/>
            </w:tcBorders>
          </w:tcPr>
          <w:p>
            <w:pPr>
              <w:spacing w:after="0"/>
              <w:rPr>
                <w:sz w:val="17"/>
                <w:szCs w:val="17"/>
                <w:color w:val="auto"/>
              </w:rPr>
            </w:pPr>
          </w:p>
        </w:tc>
        <w:tc>
          <w:tcPr>
            <w:tcW w:w="5220" w:type="dxa"/>
            <w:vAlign w:val="bottom"/>
            <w:tcBorders>
              <w:top w:val="single" w:sz="8" w:color="CCEEFF"/>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0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b w:val="1"/>
                <w:bCs w:val="1"/>
                <w:color w:val="auto"/>
              </w:rPr>
              <w:t>Liabilities and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7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52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3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3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payable</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26,952</w:t>
            </w: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23,988</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12,620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12,639</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Customer deposits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46,391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51,492</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Current portion operating lease obligations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20,291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20,235</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Current liabilities of discontinued operations held for sale</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16,095</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Other current liabilites and accrued expenses</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14,832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9,770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121,086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134,219</w:t>
            </w:r>
          </w:p>
        </w:tc>
        <w:tc>
          <w:tcPr>
            <w:tcW w:w="0" w:type="dxa"/>
            <w:vAlign w:val="bottom"/>
          </w:tcPr>
          <w:p>
            <w:pPr>
              <w:spacing w:after="0"/>
              <w:rPr>
                <w:sz w:val="1"/>
                <w:szCs w:val="1"/>
                <w:color w:val="auto"/>
              </w:rPr>
            </w:pPr>
          </w:p>
        </w:tc>
      </w:tr>
      <w:tr>
        <w:trPr>
          <w:trHeight w:val="210"/>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13,055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12,968</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Long-term portion of operating lease obligations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88,803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94,845</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Long-term liabilities of discontinued operations held for sale</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16,210</w:t>
            </w:r>
          </w:p>
        </w:tc>
        <w:tc>
          <w:tcPr>
            <w:tcW w:w="0" w:type="dxa"/>
            <w:vAlign w:val="bottom"/>
          </w:tcPr>
          <w:p>
            <w:pPr>
              <w:spacing w:after="0"/>
              <w:rPr>
                <w:sz w:val="1"/>
                <w:szCs w:val="1"/>
                <w:color w:val="auto"/>
              </w:rPr>
            </w:pP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668</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686</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long-term liabilities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102,526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124,709</w:t>
            </w:r>
          </w:p>
        </w:tc>
        <w:tc>
          <w:tcPr>
            <w:tcW w:w="0" w:type="dxa"/>
            <w:vAlign w:val="bottom"/>
          </w:tcPr>
          <w:p>
            <w:pPr>
              <w:spacing w:after="0"/>
              <w:rPr>
                <w:sz w:val="1"/>
                <w:szCs w:val="1"/>
                <w:color w:val="auto"/>
              </w:rPr>
            </w:pP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Common stock</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46,396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48,811</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145,471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115,631</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113</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(1,726)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(1,823)</w:t>
            </w:r>
          </w:p>
        </w:tc>
        <w:tc>
          <w:tcPr>
            <w:tcW w:w="0" w:type="dxa"/>
            <w:vAlign w:val="bottom"/>
          </w:tcPr>
          <w:p>
            <w:pPr>
              <w:spacing w:after="0"/>
              <w:rPr>
                <w:sz w:val="1"/>
                <w:szCs w:val="1"/>
                <w:color w:val="auto"/>
              </w:rPr>
            </w:pPr>
          </w:p>
        </w:tc>
      </w:tr>
      <w:tr>
        <w:trPr>
          <w:trHeight w:val="210"/>
        </w:trPr>
        <w:tc>
          <w:tcPr>
            <w:tcW w:w="800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190,141</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162,732</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413,753</w:t>
            </w:r>
          </w:p>
        </w:tc>
        <w:tc>
          <w:tcPr>
            <w:tcW w:w="120" w:type="dxa"/>
            <w:vAlign w:val="bottom"/>
          </w:tcPr>
          <w:p>
            <w:pPr>
              <w:spacing w:after="0"/>
              <w:rPr>
                <w:sz w:val="18"/>
                <w:szCs w:val="18"/>
                <w:color w:val="auto"/>
              </w:rPr>
            </w:pP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421,660</w:t>
            </w:r>
          </w:p>
        </w:tc>
        <w:tc>
          <w:tcPr>
            <w:tcW w:w="0" w:type="dxa"/>
            <w:vAlign w:val="bottom"/>
          </w:tcPr>
          <w:p>
            <w:pPr>
              <w:spacing w:after="0"/>
              <w:rPr>
                <w:sz w:val="1"/>
                <w:szCs w:val="1"/>
                <w:color w:val="auto"/>
              </w:rPr>
            </w:pPr>
          </w:p>
        </w:tc>
      </w:tr>
      <w:tr>
        <w:trPr>
          <w:trHeight w:val="20"/>
        </w:trPr>
        <w:tc>
          <w:tcPr>
            <w:tcW w:w="4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5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FOR THE PERIODS ENDED MAY 28, 2022 AND MAY 29, 2021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80" w:type="dxa"/>
            <w:vAlign w:val="bottom"/>
            <w:gridSpan w:val="6"/>
          </w:tcPr>
          <w:p>
            <w:pPr>
              <w:jc w:val="right"/>
              <w:ind w:right="96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210"/>
        </w:trPr>
        <w:tc>
          <w:tcPr>
            <w:tcW w:w="80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8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activities:</w:t>
            </w: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52,691</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9,985</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income to net cash provided by (used in) operating activities: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6,065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6,893</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Gain on disposal of discontinued operations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(53,254)</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Deferred income taxes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(3,796)</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1,201</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Other, net</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915</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255</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Accounts receivable</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(1,829)</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(3,442)</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Inventories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(14,861)</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(12,415)</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Other current assets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6,421</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Right of use assets under operating leases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11,153</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12,558</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Customer deposits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(5,101)</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8,149</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Accounts payable and other liabilities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4,891</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2,775</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Obligations under operating leases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(12,241)</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(13,934)</w:t>
            </w:r>
          </w:p>
        </w:tc>
      </w:tr>
      <w:tr>
        <w:trPr>
          <w:trHeight w:val="20"/>
        </w:trPr>
        <w:tc>
          <w:tcPr>
            <w:tcW w:w="80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provided by (used in) operating activities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(8,946)</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12,050</w:t>
            </w:r>
          </w:p>
        </w:tc>
      </w:tr>
      <w:tr>
        <w:trPr>
          <w:trHeight w:val="209"/>
        </w:trPr>
        <w:tc>
          <w:tcPr>
            <w:tcW w:w="80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Investing activities:</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(12,638)</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(3,483)</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sales of property and equipment</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96</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the disposal of discontinued operations, net</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85,521</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(538)</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(335)</w:t>
            </w:r>
          </w:p>
        </w:tc>
      </w:tr>
      <w:tr>
        <w:trPr>
          <w:trHeight w:val="20"/>
        </w:trPr>
        <w:tc>
          <w:tcPr>
            <w:tcW w:w="80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provided by (used in) investing activities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72,354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(3,722)</w:t>
            </w:r>
          </w:p>
        </w:tc>
      </w:tr>
      <w:tr>
        <w:trPr>
          <w:trHeight w:val="210"/>
        </w:trPr>
        <w:tc>
          <w:tcPr>
            <w:tcW w:w="80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Financing activities: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Cash dividends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(17,170)</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(4,954)</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the exercise of stock options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Other issuance of common stock</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177</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172</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Repurchases of common stock</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(8,642)</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(2,925)</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Taxes paid related to net share settlement of equity awards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(219)</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Repayments of finance lease obligations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(537)</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(467)</w:t>
            </w:r>
          </w:p>
        </w:tc>
      </w:tr>
      <w:tr>
        <w:trPr>
          <w:trHeight w:val="20"/>
        </w:trPr>
        <w:tc>
          <w:tcPr>
            <w:tcW w:w="80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used in financing activities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(26,172)</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(8,351)</w:t>
            </w:r>
          </w:p>
        </w:tc>
      </w:tr>
      <w:tr>
        <w:trPr>
          <w:trHeight w:val="20"/>
        </w:trPr>
        <w:tc>
          <w:tcPr>
            <w:tcW w:w="80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Change in cash and cash equivalents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37,236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(23)</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beginning of period</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34,374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45,799</w:t>
            </w:r>
          </w:p>
        </w:tc>
        <w:tc>
          <w:tcPr>
            <w:tcW w:w="100" w:type="dxa"/>
            <w:vAlign w:val="bottom"/>
          </w:tcPr>
          <w:p>
            <w:pPr>
              <w:spacing w:after="0"/>
              <w:rPr>
                <w:sz w:val="18"/>
                <w:szCs w:val="18"/>
                <w:color w:val="auto"/>
              </w:rPr>
            </w:pPr>
          </w:p>
        </w:tc>
      </w:tr>
      <w:tr>
        <w:trPr>
          <w:trHeight w:val="250"/>
        </w:trPr>
        <w:tc>
          <w:tcPr>
            <w:tcW w:w="80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end of period</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71,610</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45,776</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6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Basis of Presentation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accompanying unaudited condensed consolidated financial statements have been prepared in accordance with the instructions to Form 10-Q and do not include all of the information and footnotes required by accounting principles generally accepted in the United States (“GAAP”) for complete financial statements. In our opinion, all adjustments (consisting of normal recurring adjustments) considered necessary for a fair presentation have been included.</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References to “ASC” included hereinafter refer to the Accounting Standards Codification established by the Financial Accounting Standards Board (“FASB”) as the source of authoritative GAAP.</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condensed consolidated financial statements include the accounts of Bassett Furniture Industries, Incorporated (“Bassett”, “we”, “our”, or the “Company”) and our wholly-owned subsidiaries of which we have a controlling interest. In accordance with ASC Topic 810, we have evaluated our licensees and certain other entities to determine whether they are variable interest entities (“VIEs”) of which we are the primary beneficiary and thus would require consolidation in our financial statements. To date we have concluded that none of our licensees represent VIEs. We are the primary beneficiary of one VIE by virtue of our control over the activities that most significantly impact the entity’s economic performance. This VIE was created to effect the purchase of real property in the state of Florida (see Note 12, Discontinued Operations &amp; Assets Held for Sale – Retail Real Estate Held for Sale).</w:t>
      </w:r>
    </w:p>
    <w:p>
      <w:pPr>
        <w:spacing w:after="0" w:line="18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Revenue from the sale of furniture and accessories is reported in the accompanying condensed consolidated statements of income net of estimates for returns and allowances.</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January 31, 2022, we entered into a definitive agreement to sell substantially all of the assets of our wholly-owned subsidiary, Zenith Freight Lines, LLC (“Zenith”) to J.B. Hunt Transport Services, Inc. (“J.B. Hunt”). The sale was completed on February 28, 2022. Accordingly, the operations of our logistical services segment as well as the gain realized upon disposal are presented in the accompanying condensed consolidated statements of income as discontinued operations, and the assets sold to and liabilities assumed by J.B. Hunt are presented in the accompanying condensed consolidated balance sheet as of November 27, 2021 as assets and liabilities of discontinued operations held for sale. See Note 12, Discontinued Operations &amp; Assets Held for Sale, for additional information. Costs incurred by Bassett for logistical services performed for Bassett by Zenith are included in selling, general and administrative expenses.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Adopted Accounting Pronouncements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Effective as of the beginning of fiscal 2022, we have adopted Accounting Standards Update No. 2019-12 – Income Taxes (Topic 740) Simplifying the Accounting for Income Taxes. The amendments in ASU 2019-12 eliminate certain exceptions related to the approach for intraperiod tax allocation, the methodology for calculating income taxes in an interim period and the recognition of deferred tax liabilities for outside basis differences. ASU 2019-12 also clarifies and simplifies other aspects of the accounting for income taxes. The amendments in ASU 2019-12 became effective for us as of the beginning of our 2022 fiscal year. We adopted ASU 2019-12 on a prospective basis and the adoption did not have a material impact upon our financial condition or results of operations.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Certain prior year amounts have been reclassified to conform with the current year presentation.</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Interim Financial Presentation</w:t>
      </w:r>
    </w:p>
    <w:p>
      <w:pPr>
        <w:spacing w:after="0" w:line="229" w:lineRule="exact"/>
        <w:rPr>
          <w:sz w:val="20"/>
          <w:szCs w:val="20"/>
          <w:color w:val="auto"/>
        </w:rPr>
      </w:pPr>
    </w:p>
    <w:p>
      <w:pPr>
        <w:jc w:val="both"/>
        <w:ind w:right="20"/>
        <w:spacing w:after="0" w:line="261" w:lineRule="auto"/>
        <w:rPr>
          <w:sz w:val="20"/>
          <w:szCs w:val="20"/>
          <w:color w:val="auto"/>
        </w:rPr>
      </w:pPr>
      <w:r>
        <w:rPr>
          <w:rFonts w:ascii="Times New Roman" w:cs="Times New Roman" w:eastAsia="Times New Roman" w:hAnsi="Times New Roman"/>
          <w:sz w:val="18"/>
          <w:szCs w:val="18"/>
          <w:color w:val="auto"/>
        </w:rPr>
        <w:t>All intercompany accounts and transactions have been eliminated in the condensed consolidated financial statements. The results of operations for the three and six months ended May 28, 2022 are not necessarily indicative of results for the full fiscal year. These interim condensed consolidated financial statements should be read in conjunction with the consolidated financial statements and accompanying notes included in our Annual Report on Form 10-K for the year ended November 27, 2021.</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effective tax rate was 26.0% for both the three and six months ended May 28, 2022, and 25.8% and 27.3% for the three and six months ended May 29, 2021, respectively. These effective rates differ from the federal statutory rate of 21% primarily due to the effects of state income taxes and various permanent differences, including tax of $552 for the three and six months ended May 28, 2022 associated with non-deductible goodwill written off in connection with our sale of Zenith and included in income tax on discontinued operations, and tax benefits (deficiencies) of $18 and ($117) during the three and six months ended May 29, 2021 arising from stock-based compensation.</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7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Cash paid for income taxes, net of refunds, during the six months ended May 28, 2022 was $14,663, including approximately one half of the estimated tax payable on the taxable gain realized on our sale of Zenith. Cash paid for income taxes, net of refunds, during the six months ended May 29, 2021 was $626. These cash payments for income taxes are included in cash flows from operating activities in the accompanying condensed consolidated statement of cash flows.</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Net recoverable income taxes at May 28, 2022 of $1,724 include a federal claim for refund of $8,511 arising from the carryback of our fiscal 2020 net operating loss (NOL) partially offset by an accrual for the remainder of the estimated tax payable on the taxable gain realized on our sale of Zenith. Net recoverable income taxes at November 27, 2021 of $8,379 consisted primarily of the federal claim for refund due to the 2020 NOL carryback.</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Financial Instruments and Investments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Financial Instruments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financial instruments include cash and cash equivalents, short-term investments in certificates of deposit (CDs), accounts receivable, and accounts payable. Because of their short maturities, the carrying amounts of cash and cash equivalents, short-term investments in CDs, accounts receivable, and accounts payable approximate fair value.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Investments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short-term investments of $17,715 at May 28, 2022 and November 27, 2021 consisted of CDs. At May 28, 2022, the CDs had original terms averaging eight months, bearing interest at rates ranging from 0.05% to 1.50%. At May 28, 2022, the weighted average remaining time to maturity of the CDs was approximately three months and the weighted average yield of the CDs was approximately 0.26%. Each CD is placed with a federally insured financial institution and all deposits are within federal deposit insurance limits. Due to the nature of these investments and their relatively short maturities, the carrying amount of the short-term investments at May 28, 2022 and November 27, 2021 approximates their fair value.</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8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4. Accounts Receivable</w:t>
            </w: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Accounts receivable consists of the following:</w:t>
            </w: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660" w:type="dxa"/>
            <w:vAlign w:val="bottom"/>
          </w:tcPr>
          <w:p>
            <w:pPr>
              <w:spacing w:after="0"/>
              <w:rPr>
                <w:sz w:val="24"/>
                <w:szCs w:val="24"/>
                <w:color w:val="auto"/>
              </w:rPr>
            </w:pPr>
          </w:p>
        </w:tc>
        <w:tc>
          <w:tcPr>
            <w:tcW w:w="62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May 28, 2022</w:t>
            </w:r>
          </w:p>
        </w:tc>
        <w:tc>
          <w:tcPr>
            <w:tcW w:w="180" w:type="dxa"/>
            <w:vAlign w:val="bottom"/>
          </w:tcPr>
          <w:p>
            <w:pPr>
              <w:spacing w:after="0"/>
              <w:rPr>
                <w:sz w:val="24"/>
                <w:szCs w:val="24"/>
                <w:color w:val="auto"/>
              </w:rPr>
            </w:pPr>
          </w:p>
        </w:tc>
        <w:tc>
          <w:tcPr>
            <w:tcW w:w="152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November 27, 2021</w:t>
            </w:r>
          </w:p>
        </w:tc>
        <w:tc>
          <w:tcPr>
            <w:tcW w:w="100" w:type="dxa"/>
            <w:vAlign w:val="bottom"/>
          </w:tcPr>
          <w:p>
            <w:pPr>
              <w:spacing w:after="0"/>
              <w:rPr>
                <w:sz w:val="24"/>
                <w:szCs w:val="24"/>
                <w:color w:val="auto"/>
              </w:rPr>
            </w:pPr>
          </w:p>
        </w:tc>
      </w:tr>
      <w:tr>
        <w:trPr>
          <w:trHeight w:val="210"/>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Gross accounts receivable</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23,595</w:t>
            </w:r>
          </w:p>
        </w:tc>
        <w:tc>
          <w:tcPr>
            <w:tcW w:w="5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21,134</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180" w:type="dxa"/>
            <w:vAlign w:val="bottom"/>
          </w:tcPr>
          <w:p>
            <w:pPr>
              <w:spacing w:after="0"/>
              <w:rPr>
                <w:sz w:val="18"/>
                <w:szCs w:val="18"/>
                <w:color w:val="auto"/>
              </w:rPr>
            </w:pPr>
          </w:p>
        </w:tc>
        <w:tc>
          <w:tcPr>
            <w:tcW w:w="15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(759)</w:t>
            </w:r>
          </w:p>
        </w:tc>
        <w:tc>
          <w:tcPr>
            <w:tcW w:w="56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(567)</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660" w:type="dxa"/>
            <w:vAlign w:val="bottom"/>
          </w:tcPr>
          <w:p>
            <w:pPr>
              <w:spacing w:after="0"/>
              <w:rPr>
                <w:sz w:val="19"/>
                <w:szCs w:val="19"/>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Accounts receivable, net</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22,836</w:t>
            </w:r>
          </w:p>
        </w:tc>
        <w:tc>
          <w:tcPr>
            <w:tcW w:w="180" w:type="dxa"/>
            <w:vAlign w:val="bottom"/>
            <w:tcBorders>
              <w:right w:val="single" w:sz="8" w:color="CCEEFF"/>
            </w:tcBorders>
            <w:shd w:val="clear" w:color="auto" w:fill="CCEEFF"/>
          </w:tcPr>
          <w:p>
            <w:pPr>
              <w:spacing w:after="0"/>
              <w:rPr>
                <w:sz w:val="19"/>
                <w:szCs w:val="19"/>
                <w:color w:val="auto"/>
              </w:rPr>
            </w:pPr>
          </w:p>
        </w:tc>
        <w:tc>
          <w:tcPr>
            <w:tcW w:w="5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20,567</w:t>
            </w:r>
          </w:p>
        </w:tc>
      </w:tr>
      <w:tr>
        <w:trPr>
          <w:trHeight w:val="20"/>
        </w:trPr>
        <w:tc>
          <w:tcPr>
            <w:tcW w:w="660" w:type="dxa"/>
            <w:vAlign w:val="bottom"/>
          </w:tcPr>
          <w:p>
            <w:pPr>
              <w:spacing w:after="0" w:line="20" w:lineRule="exact"/>
              <w:rPr>
                <w:sz w:val="1"/>
                <w:szCs w:val="1"/>
                <w:color w:val="auto"/>
              </w:rPr>
            </w:pPr>
          </w:p>
        </w:tc>
        <w:tc>
          <w:tcPr>
            <w:tcW w:w="6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maintain an allowance for credit losses for estimated losses resulting from the inability of our customers to make required payments. The allowance for credit losses is based on a review of specifically identified accounts in addition to an overall aging analysis which is applied to accounts pooled on the basis of similar risk characteristics. Judgments are made with respect to the collectibility of accounts receivable within each pool based on historical experience, current payment practices and current economic trends based on our expectations over the expected life of the receivables, which is generally ninety days or less. Actual credit losses could differ from those estimates.</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8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u w:val="single" w:color="auto"/>
          <w:color w:val="auto"/>
        </w:rPr>
        <w:t>NOTES TO CONDENSED CONSOLIDATED FINANCIAL STATEMENTS-UNAUDITED</w:t>
      </w:r>
    </w:p>
    <w:p>
      <w:pPr>
        <w:spacing w:after="0" w:line="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ectPr>
          <w:pgSz w:w="11900" w:h="16838" w:orient="portrait"/>
          <w:cols w:equalWidth="0" w:num="1">
            <w:col w:w="11240"/>
          </w:cols>
          <w:pgMar w:left="320" w:top="580" w:right="339" w:bottom="1440" w:gutter="0" w:footer="0" w:header="0"/>
        </w:sect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Activity in the allowance for credit losses for the three and six months ended May 28, 2022 was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Balance at November 27,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-119380</wp:posOffset>
            </wp:positionV>
            <wp:extent cx="5700395" cy="137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Additions charged to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5715</wp:posOffset>
            </wp:positionV>
            <wp:extent cx="5700395" cy="1454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00395" cy="145415"/>
                    </a:xfrm>
                    <a:prstGeom prst="rect">
                      <a:avLst/>
                    </a:prstGeom>
                    <a:noFill/>
                  </pic:spPr>
                </pic:pic>
              </a:graphicData>
            </a:graphic>
          </wp:anchor>
        </w:drawing>
      </w:r>
    </w:p>
    <w:p>
      <w:pPr>
        <w:ind w:left="660"/>
        <w:spacing w:after="0"/>
        <w:rPr>
          <w:sz w:val="20"/>
          <w:szCs w:val="20"/>
          <w:color w:val="auto"/>
        </w:rPr>
      </w:pPr>
      <w:r>
        <w:rPr>
          <w:rFonts w:ascii="Times New Roman" w:cs="Times New Roman" w:eastAsia="Times New Roman" w:hAnsi="Times New Roman"/>
          <w:sz w:val="18"/>
          <w:szCs w:val="18"/>
          <w:color w:val="auto"/>
        </w:rPr>
        <w:t>Write-offs against allowance</w:t>
      </w:r>
    </w:p>
    <w:p>
      <w:pPr>
        <w:spacing w:after="0" w:line="4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Balance at May 28,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1253" w:hanging="1253"/>
        <w:spacing w:after="0"/>
        <w:tabs>
          <w:tab w:leader="none" w:pos="1253"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567</w:t>
      </w:r>
    </w:p>
    <w:p>
      <w:pPr>
        <w:spacing w:after="0" w:line="27" w:lineRule="exact"/>
        <w:rPr>
          <w:rFonts w:ascii="Times New Roman" w:cs="Times New Roman" w:eastAsia="Times New Roman" w:hAnsi="Times New Roman"/>
          <w:sz w:val="18"/>
          <w:szCs w:val="18"/>
          <w:color w:val="auto"/>
        </w:rPr>
      </w:pPr>
    </w:p>
    <w:p>
      <w:pPr>
        <w:ind w:left="1253"/>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180</w:t>
      </w:r>
    </w:p>
    <w:p>
      <w:pPr>
        <w:spacing w:after="0" w:line="9" w:lineRule="exact"/>
        <w:rPr>
          <w:rFonts w:ascii="Times New Roman" w:cs="Times New Roman" w:eastAsia="Times New Roman" w:hAnsi="Times New Roman"/>
          <w:sz w:val="18"/>
          <w:szCs w:val="18"/>
          <w:color w:val="auto"/>
        </w:rPr>
      </w:pPr>
    </w:p>
    <w:p>
      <w:pPr>
        <w:ind w:left="1353"/>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w:t>
      </w:r>
    </w:p>
    <w:p>
      <w:pPr>
        <w:spacing w:after="0" w:line="9" w:lineRule="exact"/>
        <w:rPr>
          <w:sz w:val="20"/>
          <w:szCs w:val="20"/>
          <w:color w:val="auto"/>
        </w:rPr>
      </w:pPr>
    </w:p>
    <w:p>
      <w:pPr>
        <w:ind w:left="1253" w:hanging="1253"/>
        <w:spacing w:after="0"/>
        <w:tabs>
          <w:tab w:leader="none" w:pos="1253"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96837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968375"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31750</wp:posOffset>
            </wp:positionV>
            <wp:extent cx="96837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235" w:lineRule="exact"/>
        <w:rPr>
          <w:sz w:val="20"/>
          <w:szCs w:val="20"/>
          <w:color w:val="auto"/>
        </w:rPr>
      </w:pPr>
    </w:p>
    <w:p>
      <w:pPr>
        <w:sectPr>
          <w:pgSz w:w="11900" w:h="16838" w:orient="portrait"/>
          <w:cols w:equalWidth="0" w:num="2">
            <w:col w:w="7740" w:space="287"/>
            <w:col w:w="3213"/>
          </w:cols>
          <w:pgMar w:left="320" w:top="580" w:right="339" w:bottom="1440" w:gutter="0" w:footer="0" w:header="0"/>
          <w:type w:val="continuous"/>
        </w:sectPr>
      </w:pPr>
    </w:p>
    <w:p>
      <w:pPr>
        <w:spacing w:after="0" w:line="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Value Measurements and Disclosures</w:t>
      </w:r>
      <w:r>
        <w:rPr>
          <w:rFonts w:ascii="Times New Roman" w:cs="Times New Roman" w:eastAsia="Times New Roman" w:hAnsi="Times New Roman"/>
          <w:sz w:val="18"/>
          <w:szCs w:val="18"/>
          <w:color w:val="auto"/>
        </w:rPr>
        <w:t>. See Note 3.</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Inventories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Domestic furniture inventories are valued at the lower of cost, which is determined using the last-in, first-out (LIFO) method, or market. Imported inventories and those applicable to our Lane Venture and Bassett Outdoor lines are valued at the lower of cost, which is determined using the first-in, first-out (FIFO) method, or net realizable value.</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Inventories were comprised of the following:</w:t>
            </w:r>
          </w:p>
        </w:tc>
        <w:tc>
          <w:tcPr>
            <w:tcW w:w="2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660" w:type="dxa"/>
            <w:vAlign w:val="bottom"/>
          </w:tcPr>
          <w:p>
            <w:pPr>
              <w:spacing w:after="0"/>
              <w:rPr>
                <w:sz w:val="24"/>
                <w:szCs w:val="24"/>
                <w:color w:val="auto"/>
              </w:rPr>
            </w:pPr>
          </w:p>
        </w:tc>
        <w:tc>
          <w:tcPr>
            <w:tcW w:w="6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May 28,</w:t>
            </w:r>
          </w:p>
        </w:tc>
        <w:tc>
          <w:tcPr>
            <w:tcW w:w="160" w:type="dxa"/>
            <w:vAlign w:val="bottom"/>
          </w:tcPr>
          <w:p>
            <w:pPr>
              <w:spacing w:after="0"/>
              <w:rPr>
                <w:sz w:val="24"/>
                <w:szCs w:val="24"/>
                <w:color w:val="auto"/>
              </w:rPr>
            </w:pPr>
          </w:p>
        </w:tc>
        <w:tc>
          <w:tcPr>
            <w:tcW w:w="14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color w:val="auto"/>
              </w:rPr>
              <w:t>November 27,</w:t>
            </w:r>
          </w:p>
        </w:tc>
      </w:tr>
      <w:tr>
        <w:trPr>
          <w:trHeight w:val="234"/>
        </w:trPr>
        <w:tc>
          <w:tcPr>
            <w:tcW w:w="660" w:type="dxa"/>
            <w:vAlign w:val="bottom"/>
          </w:tcPr>
          <w:p>
            <w:pPr>
              <w:spacing w:after="0"/>
              <w:rPr>
                <w:sz w:val="20"/>
                <w:szCs w:val="20"/>
                <w:color w:val="auto"/>
              </w:rPr>
            </w:pPr>
          </w:p>
        </w:tc>
        <w:tc>
          <w:tcPr>
            <w:tcW w:w="62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color w:val="auto"/>
              </w:rPr>
              <w:t>2022</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tcPr>
          <w:p>
            <w:pPr>
              <w:spacing w:after="0"/>
              <w:rPr>
                <w:sz w:val="20"/>
                <w:szCs w:val="20"/>
                <w:color w:val="auto"/>
              </w:rPr>
            </w:pPr>
          </w:p>
        </w:tc>
      </w:tr>
      <w:tr>
        <w:trPr>
          <w:trHeight w:val="210"/>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 finished goods</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52,430</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40,254</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Work in process</w:t>
            </w:r>
          </w:p>
        </w:tc>
        <w:tc>
          <w:tcPr>
            <w:tcW w:w="2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482</w:t>
            </w:r>
          </w:p>
        </w:tc>
      </w:tr>
      <w:tr>
        <w:trPr>
          <w:trHeight w:val="216"/>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Raw materials and supplies</w:t>
            </w:r>
          </w:p>
        </w:tc>
        <w:tc>
          <w:tcPr>
            <w:tcW w:w="2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22,560</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21,653</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Retail merchandise</w:t>
            </w:r>
          </w:p>
        </w:tc>
        <w:tc>
          <w:tcPr>
            <w:tcW w:w="2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34,290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30,914</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inventories on first-in, first-out method</w:t>
            </w:r>
          </w:p>
        </w:tc>
        <w:tc>
          <w:tcPr>
            <w:tcW w:w="2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109,890</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93,303</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LIFO adjustment</w:t>
            </w:r>
          </w:p>
        </w:tc>
        <w:tc>
          <w:tcPr>
            <w:tcW w:w="28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(11,650)</w:t>
            </w:r>
          </w:p>
        </w:tc>
        <w:tc>
          <w:tcPr>
            <w:tcW w:w="16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(10,483)</w:t>
            </w:r>
          </w:p>
        </w:tc>
      </w:tr>
      <w:tr>
        <w:trPr>
          <w:trHeight w:val="216"/>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Reserve for excess and obsolete inventory</w:t>
            </w:r>
          </w:p>
        </w:tc>
        <w:tc>
          <w:tcPr>
            <w:tcW w:w="280" w:type="dxa"/>
            <w:vAlign w:val="bottom"/>
            <w:shd w:val="clear" w:color="auto" w:fill="CCEEFF"/>
          </w:tcPr>
          <w:p>
            <w:pPr>
              <w:spacing w:after="0"/>
              <w:rPr>
                <w:sz w:val="18"/>
                <w:szCs w:val="18"/>
                <w:color w:val="auto"/>
              </w:rPr>
            </w:pPr>
          </w:p>
        </w:tc>
        <w:tc>
          <w:tcPr>
            <w:tcW w:w="14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(5,375)</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(4,816)</w:t>
            </w:r>
          </w:p>
        </w:tc>
      </w:tr>
      <w:tr>
        <w:trPr>
          <w:trHeight w:val="20"/>
        </w:trPr>
        <w:tc>
          <w:tcPr>
            <w:tcW w:w="660" w:type="dxa"/>
            <w:vAlign w:val="bottom"/>
          </w:tcPr>
          <w:p>
            <w:pPr>
              <w:spacing w:after="0" w:line="20" w:lineRule="exact"/>
              <w:rPr>
                <w:sz w:val="1"/>
                <w:szCs w:val="1"/>
                <w:color w:val="auto"/>
              </w:rPr>
            </w:pPr>
          </w:p>
        </w:tc>
        <w:tc>
          <w:tcPr>
            <w:tcW w:w="620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92,865</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78,004</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and/or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9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3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Activity in the reserves for excess quantities and obsolete inventory by segment are as follows:</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5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80" w:type="dxa"/>
            <w:vAlign w:val="bottom"/>
            <w:gridSpan w:val="2"/>
          </w:tcPr>
          <w:p>
            <w:pPr>
              <w:jc w:val="right"/>
              <w:ind w:right="580"/>
              <w:spacing w:after="0"/>
              <w:rPr>
                <w:sz w:val="20"/>
                <w:szCs w:val="20"/>
                <w:color w:val="auto"/>
              </w:rPr>
            </w:pPr>
            <w:r>
              <w:rPr>
                <w:rFonts w:ascii="Times New Roman" w:cs="Times New Roman" w:eastAsia="Times New Roman" w:hAnsi="Times New Roman"/>
                <w:sz w:val="18"/>
                <w:szCs w:val="18"/>
                <w:color w:val="auto"/>
              </w:rPr>
              <w:t>Wholesale</w:t>
            </w: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4"/>
        </w:trPr>
        <w:tc>
          <w:tcPr>
            <w:tcW w:w="56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8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Segment</w:t>
            </w:r>
          </w:p>
        </w:tc>
        <w:tc>
          <w:tcPr>
            <w:tcW w:w="140" w:type="dxa"/>
            <w:vAlign w:val="bottom"/>
          </w:tcPr>
          <w:p>
            <w:pPr>
              <w:spacing w:after="0"/>
              <w:rPr>
                <w:sz w:val="20"/>
                <w:szCs w:val="20"/>
                <w:color w:val="auto"/>
              </w:rPr>
            </w:pPr>
          </w:p>
        </w:tc>
        <w:tc>
          <w:tcPr>
            <w:tcW w:w="150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Retail Segment</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Total</w:t>
            </w:r>
          </w:p>
        </w:tc>
      </w:tr>
      <w:tr>
        <w:trPr>
          <w:trHeight w:val="210"/>
        </w:trPr>
        <w:tc>
          <w:tcPr>
            <w:tcW w:w="56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November 27, 2021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3,683</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1,133</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4,816</w:t>
            </w: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Additions charged to expense</w:t>
            </w:r>
          </w:p>
        </w:tc>
        <w:tc>
          <w:tcPr>
            <w:tcW w:w="240" w:type="dxa"/>
            <w:vAlign w:val="bottom"/>
          </w:tcPr>
          <w:p>
            <w:pPr>
              <w:spacing w:after="0"/>
              <w:rPr>
                <w:sz w:val="18"/>
                <w:szCs w:val="18"/>
                <w:color w:val="auto"/>
              </w:rPr>
            </w:pPr>
          </w:p>
        </w:tc>
        <w:tc>
          <w:tcPr>
            <w:tcW w:w="14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1,115</w:t>
            </w:r>
          </w:p>
        </w:tc>
        <w:tc>
          <w:tcPr>
            <w:tcW w:w="140" w:type="dxa"/>
            <w:vAlign w:val="bottom"/>
          </w:tcPr>
          <w:p>
            <w:pPr>
              <w:spacing w:after="0"/>
              <w:rPr>
                <w:sz w:val="18"/>
                <w:szCs w:val="18"/>
                <w:color w:val="auto"/>
              </w:rPr>
            </w:pPr>
          </w:p>
        </w:tc>
        <w:tc>
          <w:tcPr>
            <w:tcW w:w="15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518</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1,633</w:t>
            </w:r>
          </w:p>
        </w:tc>
      </w:tr>
      <w:tr>
        <w:trPr>
          <w:trHeight w:val="216"/>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Write-offs</w:t>
            </w:r>
          </w:p>
        </w:tc>
        <w:tc>
          <w:tcPr>
            <w:tcW w:w="2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(568)</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(506)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(1,074)</w:t>
            </w:r>
          </w:p>
        </w:tc>
      </w:tr>
      <w:tr>
        <w:trPr>
          <w:trHeight w:val="20"/>
        </w:trPr>
        <w:tc>
          <w:tcPr>
            <w:tcW w:w="566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Balance at May 28, 2022</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4,230</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1,145</w:t>
            </w:r>
          </w:p>
        </w:tc>
        <w:tc>
          <w:tcPr>
            <w:tcW w:w="140" w:type="dxa"/>
            <w:vAlign w:val="bottom"/>
          </w:tcPr>
          <w:p>
            <w:pPr>
              <w:spacing w:after="0"/>
              <w:rPr>
                <w:sz w:val="18"/>
                <w:szCs w:val="18"/>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5,375</w:t>
            </w:r>
          </w:p>
        </w:tc>
      </w:tr>
      <w:tr>
        <w:trPr>
          <w:trHeight w:val="20"/>
        </w:trPr>
        <w:tc>
          <w:tcPr>
            <w:tcW w:w="56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Our estimates and assumptions have been reasonably accurate in the past. We have not made any significant changes to our methodology for determining inventory reserves in 2022 and do not anticipate that our methodology is likely to change in the future.</w:t>
      </w:r>
    </w:p>
    <w:p>
      <w:pPr>
        <w:sectPr>
          <w:pgSz w:w="11900" w:h="16838" w:orient="portrait"/>
          <w:cols w:equalWidth="0" w:num="1">
            <w:col w:w="11240"/>
          </w:cols>
          <w:pgMar w:left="320" w:top="580" w:right="33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Goodwill and Other Intangible Assets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Goodwill and other intangible assets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subject to amortization</w:t>
      </w:r>
    </w:p>
    <w:p>
      <w:pPr>
        <w:spacing w:after="0" w:line="50"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Customer relationships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p>
      <w:pPr>
        <w:spacing w:after="0" w:line="2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Trade names</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Goodwill</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subject to amortization</w:t>
      </w:r>
    </w:p>
    <w:p>
      <w:pPr>
        <w:spacing w:after="0" w:line="50"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Customer relationships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p>
      <w:pPr>
        <w:spacing w:after="0" w:line="2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Trade names</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Goodwill</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100"/>
        <w:spacing w:after="0"/>
        <w:rPr>
          <w:sz w:val="20"/>
          <w:szCs w:val="20"/>
          <w:color w:val="auto"/>
        </w:rPr>
      </w:pPr>
      <w:r>
        <w:rPr>
          <w:rFonts w:ascii="Times New Roman" w:cs="Times New Roman" w:eastAsia="Times New Roman" w:hAnsi="Times New Roman"/>
          <w:sz w:val="18"/>
          <w:szCs w:val="18"/>
          <w:b w:val="1"/>
          <w:bCs w:val="1"/>
          <w:color w:val="auto"/>
        </w:rPr>
        <w:t>May 28, 2022</w:t>
      </w:r>
    </w:p>
    <w:p>
      <w:pPr>
        <w:spacing w:after="0" w:line="31" w:lineRule="exact"/>
        <w:rPr>
          <w:sz w:val="20"/>
          <w:szCs w:val="20"/>
          <w:color w:val="auto"/>
        </w:rPr>
      </w:pPr>
    </w:p>
    <w:tbl>
      <w:tblPr>
        <w:tblLayout w:type="fixed"/>
        <w:tblInd w:w="1200" w:type="dxa"/>
        <w:tblCellMar>
          <w:top w:w="0" w:type="dxa"/>
          <w:left w:w="0" w:type="dxa"/>
          <w:bottom w:w="0" w:type="dxa"/>
          <w:right w:w="0" w:type="dxa"/>
        </w:tblCellMar>
      </w:tblPr>
      <w:tr>
        <w:trPr>
          <w:trHeight w:val="187"/>
        </w:trPr>
        <w:tc>
          <w:tcPr>
            <w:tcW w:w="1140" w:type="dxa"/>
            <w:vAlign w:val="bottom"/>
            <w:tcBorders>
              <w:top w:val="single" w:sz="8" w:color="auto"/>
            </w:tcBorders>
          </w:tcPr>
          <w:p>
            <w:pPr>
              <w:jc w:val="center"/>
              <w:ind w:left="231"/>
              <w:spacing w:after="0" w:line="188" w:lineRule="exact"/>
              <w:rPr>
                <w:sz w:val="20"/>
                <w:szCs w:val="20"/>
                <w:color w:val="auto"/>
              </w:rPr>
            </w:pPr>
            <w:r>
              <w:rPr>
                <w:rFonts w:ascii="Times New Roman" w:cs="Times New Roman" w:eastAsia="Times New Roman" w:hAnsi="Times New Roman"/>
                <w:sz w:val="18"/>
                <w:szCs w:val="18"/>
                <w:b w:val="1"/>
                <w:bCs w:val="1"/>
                <w:color w:val="auto"/>
              </w:rPr>
              <w:t>Gross</w:t>
            </w:r>
          </w:p>
        </w:tc>
        <w:tc>
          <w:tcPr>
            <w:tcW w:w="32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26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140" w:type="dxa"/>
            <w:vAlign w:val="bottom"/>
          </w:tcPr>
          <w:p>
            <w:pPr>
              <w:jc w:val="center"/>
              <w:ind w:left="231"/>
              <w:spacing w:after="0"/>
              <w:rPr>
                <w:sz w:val="20"/>
                <w:szCs w:val="20"/>
                <w:color w:val="auto"/>
              </w:rPr>
            </w:pPr>
            <w:r>
              <w:rPr>
                <w:rFonts w:ascii="Times New Roman" w:cs="Times New Roman" w:eastAsia="Times New Roman" w:hAnsi="Times New Roman"/>
                <w:sz w:val="18"/>
                <w:szCs w:val="18"/>
                <w:b w:val="1"/>
                <w:bCs w:val="1"/>
                <w:color w:val="auto"/>
                <w:w w:val="98"/>
              </w:rPr>
              <w:t>Carrying</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200" w:type="dxa"/>
            <w:vAlign w:val="bottom"/>
          </w:tcPr>
          <w:p>
            <w:pPr>
              <w:spacing w:after="0"/>
              <w:rPr>
                <w:sz w:val="18"/>
                <w:szCs w:val="18"/>
                <w:color w:val="auto"/>
              </w:rPr>
            </w:pPr>
          </w:p>
        </w:tc>
        <w:tc>
          <w:tcPr>
            <w:tcW w:w="126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8"/>
              </w:rPr>
              <w:t>Intangible</w:t>
            </w:r>
          </w:p>
        </w:tc>
        <w:tc>
          <w:tcPr>
            <w:tcW w:w="0" w:type="dxa"/>
            <w:vAlign w:val="bottom"/>
          </w:tcPr>
          <w:p>
            <w:pPr>
              <w:spacing w:after="0"/>
              <w:rPr>
                <w:sz w:val="1"/>
                <w:szCs w:val="1"/>
                <w:color w:val="auto"/>
              </w:rPr>
            </w:pPr>
          </w:p>
        </w:tc>
      </w:tr>
      <w:tr>
        <w:trPr>
          <w:trHeight w:val="238"/>
        </w:trPr>
        <w:tc>
          <w:tcPr>
            <w:tcW w:w="1140" w:type="dxa"/>
            <w:vAlign w:val="bottom"/>
            <w:tcBorders>
              <w:bottom w:val="single" w:sz="8" w:color="auto"/>
            </w:tcBorders>
          </w:tcPr>
          <w:p>
            <w:pPr>
              <w:jc w:val="center"/>
              <w:ind w:left="231"/>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3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7"/>
              </w:rPr>
              <w:t>Assets, Net</w:t>
            </w:r>
          </w:p>
        </w:tc>
        <w:tc>
          <w:tcPr>
            <w:tcW w:w="0" w:type="dxa"/>
            <w:vAlign w:val="bottom"/>
          </w:tcPr>
          <w:p>
            <w:pPr>
              <w:spacing w:after="0"/>
              <w:rPr>
                <w:sz w:val="1"/>
                <w:szCs w:val="1"/>
                <w:color w:val="auto"/>
              </w:rPr>
            </w:pPr>
          </w:p>
        </w:tc>
      </w:tr>
      <w:tr>
        <w:trPr>
          <w:trHeight w:val="425"/>
        </w:trPr>
        <w:tc>
          <w:tcPr>
            <w:tcW w:w="1140" w:type="dxa"/>
            <w:vAlign w:val="bottom"/>
          </w:tcPr>
          <w:p>
            <w:pPr>
              <w:jc w:val="right"/>
              <w:ind w:right="971"/>
              <w:spacing w:after="0"/>
              <w:rPr>
                <w:sz w:val="20"/>
                <w:szCs w:val="20"/>
                <w:color w:val="auto"/>
              </w:rPr>
            </w:pPr>
            <w:r>
              <w:rPr>
                <w:rFonts w:ascii="Times New Roman" w:cs="Times New Roman" w:eastAsia="Times New Roman" w:hAnsi="Times New Roman"/>
                <w:sz w:val="17"/>
                <w:szCs w:val="17"/>
                <w:color w:val="auto"/>
                <w:w w:val="70"/>
              </w:rPr>
              <w:t>$</w:t>
            </w:r>
          </w:p>
        </w:tc>
        <w:tc>
          <w:tcPr>
            <w:tcW w:w="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512</w:t>
            </w:r>
          </w:p>
        </w:tc>
        <w:tc>
          <w:tcPr>
            <w:tcW w:w="3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gridSpan w:val="2"/>
          </w:tcPr>
          <w:p>
            <w:pPr>
              <w:ind w:left="960"/>
              <w:spacing w:after="0"/>
              <w:rPr>
                <w:sz w:val="20"/>
                <w:szCs w:val="20"/>
                <w:color w:val="auto"/>
              </w:rPr>
            </w:pPr>
            <w:r>
              <w:rPr>
                <w:rFonts w:ascii="Times New Roman" w:cs="Times New Roman" w:eastAsia="Times New Roman" w:hAnsi="Times New Roman"/>
                <w:sz w:val="18"/>
                <w:szCs w:val="18"/>
                <w:color w:val="auto"/>
              </w:rPr>
              <w:t>(251)</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261</w:t>
            </w:r>
          </w:p>
        </w:tc>
        <w:tc>
          <w:tcPr>
            <w:tcW w:w="0" w:type="dxa"/>
            <w:vAlign w:val="bottom"/>
          </w:tcPr>
          <w:p>
            <w:pPr>
              <w:spacing w:after="0"/>
              <w:rPr>
                <w:sz w:val="1"/>
                <w:szCs w:val="1"/>
                <w:color w:val="auto"/>
              </w:rPr>
            </w:pPr>
          </w:p>
        </w:tc>
      </w:tr>
      <w:tr>
        <w:trPr>
          <w:trHeight w:val="20"/>
        </w:trPr>
        <w:tc>
          <w:tcPr>
            <w:tcW w:w="1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6,848</w:t>
            </w:r>
          </w:p>
        </w:tc>
        <w:tc>
          <w:tcPr>
            <w:tcW w:w="0" w:type="dxa"/>
            <w:vAlign w:val="bottom"/>
          </w:tcPr>
          <w:p>
            <w:pPr>
              <w:spacing w:after="0" w:line="20" w:lineRule="exact"/>
              <w:rPr>
                <w:sz w:val="1"/>
                <w:szCs w:val="1"/>
                <w:color w:val="auto"/>
              </w:rPr>
            </w:pPr>
          </w:p>
        </w:tc>
      </w:tr>
      <w:tr>
        <w:trPr>
          <w:trHeight w:val="610"/>
        </w:trPr>
        <w:tc>
          <w:tcPr>
            <w:tcW w:w="1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7,217</w:t>
            </w:r>
          </w:p>
        </w:tc>
        <w:tc>
          <w:tcPr>
            <w:tcW w:w="0" w:type="dxa"/>
            <w:vAlign w:val="bottom"/>
          </w:tcPr>
          <w:p>
            <w:pPr>
              <w:spacing w:after="0"/>
              <w:rPr>
                <w:sz w:val="1"/>
                <w:szCs w:val="1"/>
                <w:color w:val="auto"/>
              </w:rPr>
            </w:pPr>
          </w:p>
        </w:tc>
      </w:tr>
      <w:tr>
        <w:trPr>
          <w:trHeight w:val="425"/>
        </w:trPr>
        <w:tc>
          <w:tcPr>
            <w:tcW w:w="1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14,326</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0" w:type="dxa"/>
            <w:vAlign w:val="bottom"/>
            <w:gridSpan w:val="4"/>
            <w:vMerge w:val="restart"/>
          </w:tcPr>
          <w:p>
            <w:pPr>
              <w:ind w:left="100"/>
              <w:spacing w:after="0"/>
              <w:rPr>
                <w:sz w:val="20"/>
                <w:szCs w:val="20"/>
                <w:color w:val="auto"/>
              </w:rPr>
            </w:pPr>
            <w:r>
              <w:rPr>
                <w:rFonts w:ascii="Times New Roman" w:cs="Times New Roman" w:eastAsia="Times New Roman" w:hAnsi="Times New Roman"/>
                <w:sz w:val="18"/>
                <w:szCs w:val="18"/>
                <w:b w:val="1"/>
                <w:bCs w:val="1"/>
                <w:color w:val="auto"/>
              </w:rPr>
              <w:t>November 27, 2021</w:t>
            </w: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1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gridSpan w:val="4"/>
            <w:vMerge w:val="continue"/>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1140" w:type="dxa"/>
            <w:vAlign w:val="bottom"/>
          </w:tcPr>
          <w:p>
            <w:pPr>
              <w:jc w:val="center"/>
              <w:ind w:left="231"/>
              <w:spacing w:after="0" w:line="188" w:lineRule="exact"/>
              <w:rPr>
                <w:sz w:val="20"/>
                <w:szCs w:val="20"/>
                <w:color w:val="auto"/>
              </w:rPr>
            </w:pPr>
            <w:r>
              <w:rPr>
                <w:rFonts w:ascii="Times New Roman" w:cs="Times New Roman" w:eastAsia="Times New Roman" w:hAnsi="Times New Roman"/>
                <w:sz w:val="18"/>
                <w:szCs w:val="18"/>
                <w:b w:val="1"/>
                <w:bCs w:val="1"/>
                <w:color w:val="auto"/>
              </w:rPr>
              <w:t>Gross</w:t>
            </w: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140" w:type="dxa"/>
            <w:vAlign w:val="bottom"/>
          </w:tcPr>
          <w:p>
            <w:pPr>
              <w:jc w:val="center"/>
              <w:ind w:left="231"/>
              <w:spacing w:after="0"/>
              <w:rPr>
                <w:sz w:val="20"/>
                <w:szCs w:val="20"/>
                <w:color w:val="auto"/>
              </w:rPr>
            </w:pPr>
            <w:r>
              <w:rPr>
                <w:rFonts w:ascii="Times New Roman" w:cs="Times New Roman" w:eastAsia="Times New Roman" w:hAnsi="Times New Roman"/>
                <w:sz w:val="18"/>
                <w:szCs w:val="18"/>
                <w:b w:val="1"/>
                <w:bCs w:val="1"/>
                <w:color w:val="auto"/>
                <w:w w:val="98"/>
              </w:rPr>
              <w:t>Carrying</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200" w:type="dxa"/>
            <w:vAlign w:val="bottom"/>
          </w:tcPr>
          <w:p>
            <w:pPr>
              <w:spacing w:after="0"/>
              <w:rPr>
                <w:sz w:val="18"/>
                <w:szCs w:val="18"/>
                <w:color w:val="auto"/>
              </w:rPr>
            </w:pPr>
          </w:p>
        </w:tc>
        <w:tc>
          <w:tcPr>
            <w:tcW w:w="126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8"/>
              </w:rPr>
              <w:t>Intangible</w:t>
            </w:r>
          </w:p>
        </w:tc>
        <w:tc>
          <w:tcPr>
            <w:tcW w:w="0" w:type="dxa"/>
            <w:vAlign w:val="bottom"/>
          </w:tcPr>
          <w:p>
            <w:pPr>
              <w:spacing w:after="0"/>
              <w:rPr>
                <w:sz w:val="1"/>
                <w:szCs w:val="1"/>
                <w:color w:val="auto"/>
              </w:rPr>
            </w:pPr>
          </w:p>
        </w:tc>
      </w:tr>
      <w:tr>
        <w:trPr>
          <w:trHeight w:val="238"/>
        </w:trPr>
        <w:tc>
          <w:tcPr>
            <w:tcW w:w="1140" w:type="dxa"/>
            <w:vAlign w:val="bottom"/>
            <w:tcBorders>
              <w:bottom w:val="single" w:sz="8" w:color="auto"/>
            </w:tcBorders>
          </w:tcPr>
          <w:p>
            <w:pPr>
              <w:jc w:val="center"/>
              <w:ind w:left="231"/>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3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7"/>
              </w:rPr>
              <w:t>Assets, Net</w:t>
            </w:r>
          </w:p>
        </w:tc>
        <w:tc>
          <w:tcPr>
            <w:tcW w:w="0" w:type="dxa"/>
            <w:vAlign w:val="bottom"/>
          </w:tcPr>
          <w:p>
            <w:pPr>
              <w:spacing w:after="0"/>
              <w:rPr>
                <w:sz w:val="1"/>
                <w:szCs w:val="1"/>
                <w:color w:val="auto"/>
              </w:rPr>
            </w:pPr>
          </w:p>
        </w:tc>
      </w:tr>
      <w:tr>
        <w:trPr>
          <w:trHeight w:val="425"/>
        </w:trPr>
        <w:tc>
          <w:tcPr>
            <w:tcW w:w="1140" w:type="dxa"/>
            <w:vAlign w:val="bottom"/>
          </w:tcPr>
          <w:p>
            <w:pPr>
              <w:jc w:val="right"/>
              <w:ind w:right="971"/>
              <w:spacing w:after="0"/>
              <w:rPr>
                <w:sz w:val="20"/>
                <w:szCs w:val="20"/>
                <w:color w:val="auto"/>
              </w:rPr>
            </w:pPr>
            <w:r>
              <w:rPr>
                <w:rFonts w:ascii="Times New Roman" w:cs="Times New Roman" w:eastAsia="Times New Roman" w:hAnsi="Times New Roman"/>
                <w:sz w:val="17"/>
                <w:szCs w:val="17"/>
                <w:color w:val="auto"/>
                <w:w w:val="70"/>
              </w:rPr>
              <w:t>$</w:t>
            </w:r>
          </w:p>
        </w:tc>
        <w:tc>
          <w:tcPr>
            <w:tcW w:w="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512</w:t>
            </w:r>
          </w:p>
        </w:tc>
        <w:tc>
          <w:tcPr>
            <w:tcW w:w="3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gridSpan w:val="2"/>
          </w:tcPr>
          <w:p>
            <w:pPr>
              <w:ind w:left="960"/>
              <w:spacing w:after="0"/>
              <w:rPr>
                <w:sz w:val="20"/>
                <w:szCs w:val="20"/>
                <w:color w:val="auto"/>
              </w:rPr>
            </w:pPr>
            <w:r>
              <w:rPr>
                <w:rFonts w:ascii="Times New Roman" w:cs="Times New Roman" w:eastAsia="Times New Roman" w:hAnsi="Times New Roman"/>
                <w:sz w:val="18"/>
                <w:szCs w:val="18"/>
                <w:color w:val="auto"/>
              </w:rPr>
              <w:t>(223)</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w:t>
            </w:r>
          </w:p>
        </w:tc>
        <w:tc>
          <w:tcPr>
            <w:tcW w:w="0" w:type="dxa"/>
            <w:vAlign w:val="bottom"/>
          </w:tcPr>
          <w:p>
            <w:pPr>
              <w:spacing w:after="0"/>
              <w:rPr>
                <w:sz w:val="1"/>
                <w:szCs w:val="1"/>
                <w:color w:val="auto"/>
              </w:rPr>
            </w:pPr>
          </w:p>
        </w:tc>
      </w:tr>
      <w:tr>
        <w:trPr>
          <w:trHeight w:val="20"/>
        </w:trPr>
        <w:tc>
          <w:tcPr>
            <w:tcW w:w="1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6,848</w:t>
            </w:r>
          </w:p>
        </w:tc>
        <w:tc>
          <w:tcPr>
            <w:tcW w:w="0" w:type="dxa"/>
            <w:vAlign w:val="bottom"/>
          </w:tcPr>
          <w:p>
            <w:pPr>
              <w:spacing w:after="0" w:line="20" w:lineRule="exact"/>
              <w:rPr>
                <w:sz w:val="1"/>
                <w:szCs w:val="1"/>
                <w:color w:val="auto"/>
              </w:rPr>
            </w:pPr>
          </w:p>
        </w:tc>
      </w:tr>
      <w:tr>
        <w:trPr>
          <w:trHeight w:val="610"/>
        </w:trPr>
        <w:tc>
          <w:tcPr>
            <w:tcW w:w="1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7,217</w:t>
            </w:r>
          </w:p>
        </w:tc>
        <w:tc>
          <w:tcPr>
            <w:tcW w:w="0" w:type="dxa"/>
            <w:vAlign w:val="bottom"/>
          </w:tcPr>
          <w:p>
            <w:pPr>
              <w:spacing w:after="0"/>
              <w:rPr>
                <w:sz w:val="1"/>
                <w:szCs w:val="1"/>
                <w:color w:val="auto"/>
              </w:rPr>
            </w:pPr>
          </w:p>
        </w:tc>
      </w:tr>
      <w:tr>
        <w:trPr>
          <w:trHeight w:val="425"/>
        </w:trPr>
        <w:tc>
          <w:tcPr>
            <w:tcW w:w="1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14,354</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-3245485</wp:posOffset>
            </wp:positionH>
            <wp:positionV relativeFrom="paragraph">
              <wp:posOffset>-3034030</wp:posOffset>
            </wp:positionV>
            <wp:extent cx="7132320" cy="137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-2733675</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-2459355</wp:posOffset>
            </wp:positionV>
            <wp:extent cx="71323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-2176780</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-1156970</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-856615</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-582295</wp:posOffset>
            </wp:positionV>
            <wp:extent cx="71323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-299720</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Page 10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-3245485</wp:posOffset>
            </wp:positionH>
            <wp:positionV relativeFrom="paragraph">
              <wp:posOffset>85725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2">
            <w:col w:w="4600" w:space="520"/>
            <w:col w:w="6120"/>
          </w:cols>
          <w:pgMar w:left="320" w:top="580" w:right="339" w:bottom="1440" w:gutter="0" w:footer="0" w:header="0"/>
          <w:type w:val="continuous"/>
        </w:sectPr>
      </w:pPr>
    </w:p>
    <w:bookmarkStart w:id="10" w:name="page11"/>
    <w:bookmarkEnd w:id="1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carrying amounts of goodwill by reportable segment at both May 28, 2022 and November 27, 2021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4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center"/>
              <w:ind w:right="460"/>
              <w:spacing w:after="0"/>
              <w:rPr>
                <w:sz w:val="20"/>
                <w:szCs w:val="20"/>
                <w:color w:val="auto"/>
              </w:rPr>
            </w:pPr>
            <w:r>
              <w:rPr>
                <w:rFonts w:ascii="Times New Roman" w:cs="Times New Roman" w:eastAsia="Times New Roman" w:hAnsi="Times New Roman"/>
                <w:sz w:val="18"/>
                <w:szCs w:val="18"/>
                <w:color w:val="auto"/>
                <w:w w:val="99"/>
              </w:rPr>
              <w:t>Original</w:t>
            </w:r>
          </w:p>
        </w:tc>
        <w:tc>
          <w:tcPr>
            <w:tcW w:w="180" w:type="dxa"/>
            <w:vAlign w:val="bottom"/>
          </w:tcPr>
          <w:p>
            <w:pPr>
              <w:spacing w:after="0"/>
              <w:rPr>
                <w:sz w:val="18"/>
                <w:szCs w:val="18"/>
                <w:color w:val="auto"/>
              </w:rPr>
            </w:pPr>
          </w:p>
        </w:tc>
        <w:tc>
          <w:tcPr>
            <w:tcW w:w="14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color w:val="auto"/>
                <w:w w:val="99"/>
              </w:rPr>
              <w:t>Accumulated</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44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color w:val="auto"/>
              </w:rPr>
              <w:t>Recorded</w:t>
            </w:r>
          </w:p>
        </w:tc>
        <w:tc>
          <w:tcPr>
            <w:tcW w:w="180" w:type="dxa"/>
            <w:vAlign w:val="bottom"/>
          </w:tcPr>
          <w:p>
            <w:pPr>
              <w:spacing w:after="0"/>
              <w:rPr>
                <w:sz w:val="18"/>
                <w:szCs w:val="18"/>
                <w:color w:val="auto"/>
              </w:rPr>
            </w:pPr>
          </w:p>
        </w:tc>
        <w:tc>
          <w:tcPr>
            <w:tcW w:w="14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color w:val="auto"/>
                <w:w w:val="99"/>
              </w:rPr>
              <w:t>Impairment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color w:val="auto"/>
                <w:w w:val="99"/>
              </w:rPr>
              <w:t>Carrying</w:t>
            </w:r>
          </w:p>
        </w:tc>
      </w:tr>
      <w:tr>
        <w:trPr>
          <w:trHeight w:val="234"/>
        </w:trPr>
        <w:tc>
          <w:tcPr>
            <w:tcW w:w="344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6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color w:val="auto"/>
                <w:w w:val="97"/>
              </w:rPr>
              <w:t>Value</w:t>
            </w:r>
          </w:p>
        </w:tc>
        <w:tc>
          <w:tcPr>
            <w:tcW w:w="180" w:type="dxa"/>
            <w:vAlign w:val="bottom"/>
          </w:tcPr>
          <w:p>
            <w:pPr>
              <w:spacing w:after="0"/>
              <w:rPr>
                <w:sz w:val="20"/>
                <w:szCs w:val="20"/>
                <w:color w:val="auto"/>
              </w:rPr>
            </w:pPr>
          </w:p>
        </w:tc>
        <w:tc>
          <w:tcPr>
            <w:tcW w:w="146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color w:val="auto"/>
              </w:rPr>
              <w:t>Losses</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color w:val="auto"/>
              </w:rPr>
              <w:t>Amount</w:t>
            </w:r>
          </w:p>
        </w:tc>
      </w:tr>
      <w:tr>
        <w:trPr>
          <w:trHeight w:val="209"/>
        </w:trPr>
        <w:tc>
          <w:tcPr>
            <w:tcW w:w="344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24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9,188</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(1,971)</w:t>
            </w:r>
          </w:p>
        </w:tc>
        <w:tc>
          <w:tcPr>
            <w:tcW w:w="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7,217</w:t>
            </w:r>
          </w:p>
        </w:tc>
      </w:tr>
      <w:tr>
        <w:trPr>
          <w:trHeight w:val="216"/>
        </w:trPr>
        <w:tc>
          <w:tcPr>
            <w:tcW w:w="3440" w:type="dxa"/>
            <w:vAlign w:val="bottom"/>
          </w:tcPr>
          <w:p>
            <w:pPr>
              <w:spacing w:after="0"/>
              <w:rPr>
                <w:sz w:val="20"/>
                <w:szCs w:val="20"/>
                <w:color w:val="auto"/>
              </w:rPr>
            </w:pPr>
            <w:r>
              <w:rPr>
                <w:rFonts w:ascii="Times New Roman" w:cs="Times New Roman" w:eastAsia="Times New Roman" w:hAnsi="Times New Roman"/>
                <w:sz w:val="18"/>
                <w:szCs w:val="18"/>
                <w:color w:val="auto"/>
              </w:rPr>
              <w:t>Retail</w:t>
            </w:r>
          </w:p>
        </w:tc>
        <w:tc>
          <w:tcPr>
            <w:tcW w:w="2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1,926</w:t>
            </w:r>
          </w:p>
        </w:tc>
        <w:tc>
          <w:tcPr>
            <w:tcW w:w="18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(1,926)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344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29"/>
        </w:trPr>
        <w:tc>
          <w:tcPr>
            <w:tcW w:w="34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goodwill</w:t>
            </w:r>
          </w:p>
        </w:tc>
        <w:tc>
          <w:tcPr>
            <w:tcW w:w="22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11,114</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(3,897)</w:t>
            </w:r>
          </w:p>
        </w:tc>
        <w:tc>
          <w:tcPr>
            <w:tcW w:w="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7,217</w:t>
            </w:r>
          </w:p>
        </w:tc>
      </w:tr>
      <w:tr>
        <w:trPr>
          <w:trHeight w:val="20"/>
        </w:trPr>
        <w:tc>
          <w:tcPr>
            <w:tcW w:w="3440" w:type="dxa"/>
            <w:vAlign w:val="bottom"/>
            <w:tcBorders>
              <w:top w:val="single" w:sz="8" w:color="CCEEFF"/>
            </w:tcBorders>
            <w:shd w:val="clear" w:color="auto" w:fill="CCEEFF"/>
          </w:tcPr>
          <w:p>
            <w:pPr>
              <w:spacing w:after="0" w:line="20" w:lineRule="exact"/>
              <w:rPr>
                <w:sz w:val="1"/>
                <w:szCs w:val="1"/>
                <w:color w:val="auto"/>
              </w:rPr>
            </w:pPr>
          </w:p>
        </w:tc>
        <w:tc>
          <w:tcPr>
            <w:tcW w:w="222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3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Goodwill and other intangible assets associated with our logistical services segment totaling $9,094 at November 27, 2021 are included in assets of discontinued operations held for sale in the accompanying balance sheet (see Note 12).</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Amortization expense associated with intangible assets during the three and six months ended May 28, 2022 and May 29, 2021 was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120" w:type="dxa"/>
            <w:vAlign w:val="bottom"/>
          </w:tcPr>
          <w:p>
            <w:pPr>
              <w:spacing w:after="0"/>
              <w:rPr>
                <w:sz w:val="20"/>
                <w:szCs w:val="20"/>
                <w:color w:val="auto"/>
              </w:rPr>
            </w:pPr>
          </w:p>
        </w:tc>
        <w:tc>
          <w:tcPr>
            <w:tcW w:w="486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700" w:type="dxa"/>
            <w:vAlign w:val="bottom"/>
            <w:tcBorders>
              <w:bottom w:val="single" w:sz="8" w:color="auto"/>
            </w:tcBorders>
            <w:gridSpan w:val="3"/>
          </w:tcPr>
          <w:p>
            <w:pPr>
              <w:jc w:val="right"/>
              <w:ind w:right="153"/>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44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780" w:type="dxa"/>
            <w:vAlign w:val="bottom"/>
            <w:tcBorders>
              <w:bottom w:val="single" w:sz="8" w:color="auto"/>
            </w:tcBorders>
            <w:gridSpan w:val="4"/>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09"/>
        </w:trPr>
        <w:tc>
          <w:tcPr>
            <w:tcW w:w="1120" w:type="dxa"/>
            <w:vAlign w:val="bottom"/>
          </w:tcPr>
          <w:p>
            <w:pPr>
              <w:spacing w:after="0"/>
              <w:rPr>
                <w:sz w:val="18"/>
                <w:szCs w:val="18"/>
                <w:color w:val="auto"/>
              </w:rPr>
            </w:pPr>
          </w:p>
        </w:tc>
        <w:tc>
          <w:tcPr>
            <w:tcW w:w="4860" w:type="dxa"/>
            <w:vAlign w:val="bottom"/>
          </w:tcPr>
          <w:p>
            <w:pPr>
              <w:spacing w:after="0"/>
              <w:rPr>
                <w:sz w:val="18"/>
                <w:szCs w:val="18"/>
                <w:color w:val="auto"/>
              </w:rPr>
            </w:pPr>
          </w:p>
        </w:tc>
        <w:tc>
          <w:tcPr>
            <w:tcW w:w="1380" w:type="dxa"/>
            <w:vAlign w:val="bottom"/>
            <w:gridSpan w:val="3"/>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14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20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200" w:type="dxa"/>
            <w:vAlign w:val="bottom"/>
          </w:tcPr>
          <w:p>
            <w:pPr>
              <w:spacing w:after="0"/>
              <w:rPr>
                <w:sz w:val="18"/>
                <w:szCs w:val="18"/>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00" w:type="dxa"/>
            <w:vAlign w:val="bottom"/>
          </w:tcPr>
          <w:p>
            <w:pPr>
              <w:spacing w:after="0"/>
              <w:rPr>
                <w:sz w:val="18"/>
                <w:szCs w:val="18"/>
                <w:color w:val="auto"/>
              </w:rPr>
            </w:pPr>
          </w:p>
        </w:tc>
      </w:tr>
      <w:tr>
        <w:trPr>
          <w:trHeight w:val="210"/>
        </w:trPr>
        <w:tc>
          <w:tcPr>
            <w:tcW w:w="1120" w:type="dxa"/>
            <w:vAlign w:val="bottom"/>
          </w:tcPr>
          <w:p>
            <w:pPr>
              <w:spacing w:after="0"/>
              <w:rPr>
                <w:sz w:val="18"/>
                <w:szCs w:val="18"/>
                <w:color w:val="auto"/>
              </w:rPr>
            </w:pPr>
          </w:p>
        </w:tc>
        <w:tc>
          <w:tcPr>
            <w:tcW w:w="486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36"/>
        </w:trPr>
        <w:tc>
          <w:tcPr>
            <w:tcW w:w="59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 amortization expense</w:t>
            </w:r>
          </w:p>
        </w:tc>
        <w:tc>
          <w:tcPr>
            <w:tcW w:w="380" w:type="dxa"/>
            <w:vAlign w:val="bottom"/>
            <w:shd w:val="clear" w:color="auto" w:fill="CCEEFF"/>
          </w:tcPr>
          <w:p>
            <w:pPr>
              <w:jc w:val="right"/>
              <w:ind w:right="213"/>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14</w:t>
            </w:r>
          </w:p>
        </w:tc>
        <w:tc>
          <w:tcPr>
            <w:tcW w:w="700" w:type="dxa"/>
            <w:vAlign w:val="bottom"/>
            <w:shd w:val="clear" w:color="auto" w:fill="CCEEFF"/>
          </w:tcPr>
          <w:p>
            <w:pPr>
              <w:jc w:val="right"/>
              <w:ind w:right="533"/>
              <w:spacing w:after="0"/>
              <w:rPr>
                <w:sz w:val="20"/>
                <w:szCs w:val="20"/>
                <w:color w:val="auto"/>
              </w:rPr>
            </w:pPr>
            <w:r>
              <w:rPr>
                <w:rFonts w:ascii="Times New Roman" w:cs="Times New Roman" w:eastAsia="Times New Roman" w:hAnsi="Times New Roman"/>
                <w:sz w:val="17"/>
                <w:szCs w:val="17"/>
                <w:color w:val="auto"/>
                <w:w w:val="70"/>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500" w:type="dxa"/>
            <w:vAlign w:val="bottom"/>
            <w:gridSpan w:val="2"/>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960" w:type="dxa"/>
            <w:vAlign w:val="bottom"/>
            <w:gridSpan w:val="3"/>
            <w:shd w:val="clear" w:color="auto" w:fill="CCEEFF"/>
          </w:tcPr>
          <w:p>
            <w:pPr>
              <w:jc w:val="right"/>
              <w:ind w:right="66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w:t>
            </w:r>
          </w:p>
        </w:tc>
      </w:tr>
      <w:tr>
        <w:trPr>
          <w:trHeight w:val="20"/>
        </w:trPr>
        <w:tc>
          <w:tcPr>
            <w:tcW w:w="1120" w:type="dxa"/>
            <w:vAlign w:val="bottom"/>
            <w:tcBorders>
              <w:top w:val="single" w:sz="8" w:color="CCEEFF"/>
            </w:tcBorders>
            <w:shd w:val="clear" w:color="auto" w:fill="CCEEFF"/>
          </w:tcPr>
          <w:p>
            <w:pPr>
              <w:spacing w:after="0" w:line="20" w:lineRule="exact"/>
              <w:rPr>
                <w:sz w:val="1"/>
                <w:szCs w:val="1"/>
                <w:color w:val="auto"/>
              </w:rPr>
            </w:pPr>
          </w:p>
        </w:tc>
        <w:tc>
          <w:tcPr>
            <w:tcW w:w="486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413"/>
        </w:trPr>
        <w:tc>
          <w:tcPr>
            <w:tcW w:w="73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Estimated future amortization expense for intangible assets that exist at May 28, 2022 is as follows:</w:t>
            </w: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gridSpan w:val="2"/>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Remainder of fiscal 2022</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28</w:t>
            </w: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Fiscal 2023</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9"/>
              </w:rPr>
              <w:t>57</w:t>
            </w: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Fiscal 2024</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57</w:t>
            </w: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Fiscal 2025</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9"/>
              </w:rPr>
              <w:t>57</w:t>
            </w: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Fiscal 2026</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57</w:t>
            </w: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Fiscal 2027</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
        </w:trPr>
        <w:tc>
          <w:tcPr>
            <w:tcW w:w="1120" w:type="dxa"/>
            <w:vAlign w:val="bottom"/>
          </w:tcPr>
          <w:p>
            <w:pPr>
              <w:spacing w:after="0" w:line="20" w:lineRule="exact"/>
              <w:rPr>
                <w:sz w:val="1"/>
                <w:szCs w:val="1"/>
                <w:color w:val="auto"/>
              </w:rPr>
            </w:pPr>
          </w:p>
        </w:tc>
        <w:tc>
          <w:tcPr>
            <w:tcW w:w="48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2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1120" w:type="dxa"/>
            <w:vAlign w:val="bottom"/>
          </w:tcPr>
          <w:p>
            <w:pPr>
              <w:spacing w:after="0"/>
              <w:rPr>
                <w:sz w:val="19"/>
                <w:szCs w:val="19"/>
                <w:color w:val="auto"/>
              </w:rPr>
            </w:pPr>
          </w:p>
        </w:tc>
        <w:tc>
          <w:tcPr>
            <w:tcW w:w="4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38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440" w:type="dxa"/>
            <w:vAlign w:val="bottom"/>
            <w:tcBorders>
              <w:right w:val="single" w:sz="8" w:color="CCEEFF"/>
            </w:tcBorders>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shd w:val="clear" w:color="auto" w:fill="CCEEFF"/>
          </w:tcPr>
          <w:p>
            <w:pPr>
              <w:spacing w:after="0"/>
              <w:rPr>
                <w:sz w:val="19"/>
                <w:szCs w:val="19"/>
                <w:color w:val="auto"/>
              </w:rPr>
            </w:pPr>
          </w:p>
        </w:tc>
        <w:tc>
          <w:tcPr>
            <w:tcW w:w="110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261</w:t>
            </w:r>
          </w:p>
        </w:tc>
        <w:tc>
          <w:tcPr>
            <w:tcW w:w="6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0"/>
        </w:trPr>
        <w:tc>
          <w:tcPr>
            <w:tcW w:w="1120" w:type="dxa"/>
            <w:vAlign w:val="bottom"/>
          </w:tcPr>
          <w:p>
            <w:pPr>
              <w:spacing w:after="0" w:line="20" w:lineRule="exact"/>
              <w:rPr>
                <w:sz w:val="1"/>
                <w:szCs w:val="1"/>
                <w:color w:val="auto"/>
              </w:rPr>
            </w:pPr>
          </w:p>
        </w:tc>
        <w:tc>
          <w:tcPr>
            <w:tcW w:w="486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74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700" w:type="dxa"/>
            <w:vAlign w:val="bottom"/>
            <w:tcBorders>
              <w:top w:val="single" w:sz="8" w:color="CCEEFF"/>
            </w:tcBorders>
            <w:shd w:val="clear" w:color="auto" w:fill="CCEEFF"/>
          </w:tcPr>
          <w:p>
            <w:pPr>
              <w:spacing w:after="0" w:line="20" w:lineRule="exact"/>
              <w:rPr>
                <w:sz w:val="1"/>
                <w:szCs w:val="1"/>
                <w:color w:val="auto"/>
              </w:rPr>
            </w:pPr>
          </w:p>
        </w:tc>
        <w:tc>
          <w:tcPr>
            <w:tcW w:w="44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Bank Credit Facility</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bank credit facility provides for a line of credit of up to $25,000. At May 28, 2022, we had $3,931 outstanding under standby letters of credit against our line, leaving availability under our credit line of $21,069. In addition, we had outstanding standby letters of credit with another bank totaling $325 at May 28, 2022. The line bears interest at the One-Month Term Secured Overnight Financing Rate (“One-Month Term SOFR”) plus 1.5% and is unsecured. Our bank charges a fee of 0.25% on the daily unused balance of the line, payable quarterly. Under the terms of the facility, we must maintain the following financial covenants, measured quarterly on a rolling twelve-month basis:</w:t>
      </w:r>
    </w:p>
    <w:p>
      <w:pPr>
        <w:spacing w:after="0" w:line="183" w:lineRule="exact"/>
        <w:rPr>
          <w:sz w:val="20"/>
          <w:szCs w:val="20"/>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fixed charge coverage ratio of not less than 1.4 times,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lease-adjusted leverage ratio not to exceed 3.0 times,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Minimum tangible net worth of $140,000.</w:t>
      </w:r>
    </w:p>
    <w:p>
      <w:pPr>
        <w:spacing w:after="0" w:line="22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We were in compliance with these covenants at May 28, 2022 and expect to remain in compliance for the foreseeable future. The credit facility will mature on January 27, 2025, at which time any amounts outstanding under the facility will be due.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11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Post Employment Benefit Obligations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Defined Benefit Plans</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have an unfunded Supplemental Retirement Income Plan (the “Supplemental Plan”) that covers one current and certain former executives. The liability for the Supplemental Plan was $9,105 and $9,192 as of May 28, 2022 and November 27, 2021, respectively.</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have the Bassett Furniture Industries, Incorporated Management Savings Plan (the “Management Savings Plan”) which was established in the second quarter of fiscal 2017. The Management Savings Plan is an unfunded, nonqualified deferred compensation plan maintained for the benefit of certain highly compensated or management level employees. As part of the Management Savings Plan, we have made Long Term Cash Awards (“LTC Awards”) totaling $2,000 to certain management employees in the amount of $400 each. The liability for the LTC Awards was $1,543 and $1,548 as of May 28, 2022 and November 27, 2021, respectively.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combined pension liability for the Supplemental Plan and LTC Awards is recorded as follows in the condensed consolidated balance sheets: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4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May 28,</w:t>
            </w:r>
          </w:p>
        </w:tc>
        <w:tc>
          <w:tcPr>
            <w:tcW w:w="240" w:type="dxa"/>
            <w:vAlign w:val="bottom"/>
          </w:tcPr>
          <w:p>
            <w:pPr>
              <w:spacing w:after="0"/>
              <w:rPr>
                <w:sz w:val="18"/>
                <w:szCs w:val="18"/>
                <w:color w:val="auto"/>
              </w:rPr>
            </w:pPr>
          </w:p>
        </w:tc>
        <w:tc>
          <w:tcPr>
            <w:tcW w:w="146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November 27,</w:t>
            </w:r>
          </w:p>
        </w:tc>
      </w:tr>
      <w:tr>
        <w:trPr>
          <w:trHeight w:val="238"/>
        </w:trPr>
        <w:tc>
          <w:tcPr>
            <w:tcW w:w="56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4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20"/>
                <w:szCs w:val="20"/>
                <w:color w:val="auto"/>
              </w:rPr>
            </w:pPr>
          </w:p>
        </w:tc>
      </w:tr>
      <w:tr>
        <w:trPr>
          <w:trHeight w:val="209"/>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913</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913</w:t>
            </w: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9,735</w:t>
            </w:r>
          </w:p>
        </w:tc>
        <w:tc>
          <w:tcPr>
            <w:tcW w:w="24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9,827</w:t>
            </w:r>
          </w:p>
        </w:tc>
        <w:tc>
          <w:tcPr>
            <w:tcW w:w="80" w:type="dxa"/>
            <w:vAlign w:val="bottom"/>
          </w:tcPr>
          <w:p>
            <w:pPr>
              <w:spacing w:after="0"/>
              <w:rPr>
                <w:sz w:val="18"/>
                <w:szCs w:val="18"/>
                <w:color w:val="auto"/>
              </w:rPr>
            </w:pPr>
          </w:p>
        </w:tc>
      </w:tr>
      <w:tr>
        <w:trPr>
          <w:trHeight w:val="210"/>
        </w:trPr>
        <w:tc>
          <w:tcPr>
            <w:tcW w:w="56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Total pension liability</w:t>
            </w: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10,648</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10,740</w:t>
            </w:r>
          </w:p>
        </w:tc>
        <w:tc>
          <w:tcPr>
            <w:tcW w:w="80" w:type="dxa"/>
            <w:vAlign w:val="bottom"/>
          </w:tcPr>
          <w:p>
            <w:pPr>
              <w:spacing w:after="0"/>
              <w:rPr>
                <w:sz w:val="18"/>
                <w:szCs w:val="18"/>
                <w:color w:val="auto"/>
              </w:rPr>
            </w:pPr>
          </w:p>
        </w:tc>
      </w:tr>
      <w:tr>
        <w:trPr>
          <w:trHeight w:val="20"/>
        </w:trPr>
        <w:tc>
          <w:tcPr>
            <w:tcW w:w="56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Components of net periodic pension costs for our defined benefit plans for the three and six months ended May 28, 2022 and May 29, 2021 are as follows:</w:t>
      </w:r>
    </w:p>
    <w:p>
      <w:pPr>
        <w:sectPr>
          <w:pgSz w:w="11900" w:h="16838" w:orient="portrait"/>
          <w:cols w:equalWidth="0" w:num="1">
            <w:col w:w="11240"/>
          </w:cols>
          <w:pgMar w:left="320" w:top="580" w:right="339" w:bottom="1440" w:gutter="0" w:footer="0" w:header="0"/>
        </w:sectPr>
      </w:pPr>
    </w:p>
    <w:p>
      <w:pPr>
        <w:spacing w:after="0" w:line="221" w:lineRule="exact"/>
        <w:rPr>
          <w:sz w:val="20"/>
          <w:szCs w:val="20"/>
          <w:color w:val="auto"/>
        </w:rPr>
      </w:pPr>
    </w:p>
    <w:p>
      <w:pPr>
        <w:jc w:val="center"/>
        <w:ind w:left="5320"/>
        <w:spacing w:after="0"/>
        <w:rPr>
          <w:sz w:val="20"/>
          <w:szCs w:val="20"/>
          <w:color w:val="auto"/>
        </w:rPr>
      </w:pPr>
      <w:r>
        <w:rPr>
          <w:rFonts w:ascii="Times New Roman" w:cs="Times New Roman" w:eastAsia="Times New Roman" w:hAnsi="Times New Roman"/>
          <w:sz w:val="18"/>
          <w:szCs w:val="18"/>
          <w:b w:val="1"/>
          <w:bCs w:val="1"/>
          <w:color w:val="auto"/>
        </w:rPr>
        <w:t>Quarter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3331210</wp:posOffset>
            </wp:positionH>
            <wp:positionV relativeFrom="paragraph">
              <wp:posOffset>19685</wp:posOffset>
            </wp:positionV>
            <wp:extent cx="16459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11" w:lineRule="exact"/>
        <w:rPr>
          <w:sz w:val="20"/>
          <w:szCs w:val="20"/>
          <w:color w:val="auto"/>
        </w:rPr>
      </w:pPr>
    </w:p>
    <w:p>
      <w:pPr>
        <w:jc w:val="center"/>
        <w:ind w:left="5320"/>
        <w:spacing w:after="0"/>
        <w:tabs>
          <w:tab w:leader="none" w:pos="360" w:val="left"/>
        </w:tabs>
        <w:rPr>
          <w:sz w:val="20"/>
          <w:szCs w:val="20"/>
          <w:color w:val="auto"/>
        </w:rPr>
      </w:pPr>
      <w:r>
        <w:rPr>
          <w:rFonts w:ascii="Times New Roman" w:cs="Times New Roman" w:eastAsia="Times New Roman" w:hAnsi="Times New Roman"/>
          <w:sz w:val="18"/>
          <w:szCs w:val="18"/>
          <w:b w:val="1"/>
          <w:bCs w:val="1"/>
          <w:color w:val="auto"/>
        </w:rPr>
        <w:t>May 28, 2022</w:t>
      </w:r>
      <w:r>
        <w:rPr>
          <w:sz w:val="20"/>
          <w:szCs w:val="20"/>
          <w:color w:val="auto"/>
        </w:rPr>
        <w:tab/>
      </w:r>
      <w:r>
        <w:rPr>
          <w:rFonts w:ascii="Times New Roman" w:cs="Times New Roman" w:eastAsia="Times New Roman" w:hAnsi="Times New Roman"/>
          <w:sz w:val="17"/>
          <w:szCs w:val="17"/>
          <w:b w:val="1"/>
          <w:bCs w:val="1"/>
          <w:color w:val="auto"/>
        </w:rPr>
        <w:t>May 29, 2021</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jc w:val="center"/>
        <w:ind w:right="740"/>
        <w:spacing w:after="0"/>
        <w:rPr>
          <w:sz w:val="20"/>
          <w:szCs w:val="20"/>
          <w:color w:val="auto"/>
        </w:rPr>
      </w:pPr>
      <w:r>
        <w:rPr>
          <w:rFonts w:ascii="Times New Roman" w:cs="Times New Roman" w:eastAsia="Times New Roman" w:hAnsi="Times New Roman"/>
          <w:sz w:val="18"/>
          <w:szCs w:val="18"/>
          <w:b w:val="1"/>
          <w:bCs w:val="1"/>
          <w:color w:val="auto"/>
        </w:rPr>
        <w:t>Six Months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wp:posOffset>
            </wp:positionH>
            <wp:positionV relativeFrom="paragraph">
              <wp:posOffset>19685</wp:posOffset>
            </wp:positionV>
            <wp:extent cx="160274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602740" cy="8255"/>
                    </a:xfrm>
                    <a:prstGeom prst="rect">
                      <a:avLst/>
                    </a:prstGeom>
                    <a:noFill/>
                  </pic:spPr>
                </pic:pic>
              </a:graphicData>
            </a:graphic>
          </wp:anchor>
        </w:drawing>
      </w:r>
    </w:p>
    <w:p>
      <w:pPr>
        <w:spacing w:after="0" w:line="11" w:lineRule="exact"/>
        <w:rPr>
          <w:sz w:val="20"/>
          <w:szCs w:val="20"/>
          <w:color w:val="auto"/>
        </w:rPr>
      </w:pPr>
    </w:p>
    <w:p>
      <w:pPr>
        <w:jc w:val="center"/>
        <w:ind w:right="720"/>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May 28, 2022</w:t>
      </w:r>
      <w:r>
        <w:rPr>
          <w:sz w:val="20"/>
          <w:szCs w:val="20"/>
          <w:color w:val="auto"/>
        </w:rPr>
        <w:tab/>
      </w:r>
      <w:r>
        <w:rPr>
          <w:rFonts w:ascii="Times New Roman" w:cs="Times New Roman" w:eastAsia="Times New Roman" w:hAnsi="Times New Roman"/>
          <w:sz w:val="18"/>
          <w:szCs w:val="18"/>
          <w:b w:val="1"/>
          <w:bCs w:val="1"/>
          <w:color w:val="auto"/>
        </w:rPr>
        <w:t>May 29, 2021</w:t>
      </w:r>
    </w:p>
    <w:p>
      <w:pPr>
        <w:spacing w:after="0" w:line="23" w:lineRule="exact"/>
        <w:rPr>
          <w:sz w:val="20"/>
          <w:szCs w:val="20"/>
          <w:color w:val="auto"/>
        </w:rPr>
      </w:pPr>
    </w:p>
    <w:p>
      <w:pPr>
        <w:sectPr>
          <w:pgSz w:w="11900" w:h="16838" w:orient="portrait"/>
          <w:cols w:equalWidth="0" w:num="2">
            <w:col w:w="7760" w:space="360"/>
            <w:col w:w="3120"/>
          </w:cols>
          <w:pgMar w:left="320" w:top="580" w:right="339" w:bottom="1440" w:gutter="0" w:footer="0" w:header="0"/>
          <w:type w:val="continuous"/>
        </w:sectPr>
      </w:pPr>
    </w:p>
    <w:tbl>
      <w:tblPr>
        <w:tblLayout w:type="fixed"/>
        <w:tblInd w:w="0" w:type="dxa"/>
        <w:tblCellMar>
          <w:top w:w="0" w:type="dxa"/>
          <w:left w:w="0" w:type="dxa"/>
          <w:bottom w:w="0" w:type="dxa"/>
          <w:right w:w="0" w:type="dxa"/>
        </w:tblCellMar>
      </w:tblPr>
      <w:tr>
        <w:trPr>
          <w:trHeight w:val="209"/>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Service cost</w:t>
            </w:r>
          </w:p>
        </w:tc>
        <w:tc>
          <w:tcPr>
            <w:tcW w:w="520" w:type="dxa"/>
            <w:vAlign w:val="bottom"/>
            <w:tcBorders>
              <w:top w:val="single" w:sz="8" w:color="auto"/>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w:t>
            </w:r>
          </w:p>
        </w:tc>
        <w:tc>
          <w:tcPr>
            <w:tcW w:w="620" w:type="dxa"/>
            <w:vAlign w:val="bottom"/>
            <w:tcBorders>
              <w:top w:val="single" w:sz="8" w:color="auto"/>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22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ind w:right="3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w:t>
            </w:r>
          </w:p>
        </w:tc>
        <w:tc>
          <w:tcPr>
            <w:tcW w:w="580" w:type="dxa"/>
            <w:vAlign w:val="bottom"/>
            <w:tcBorders>
              <w:top w:val="single" w:sz="8" w:color="auto"/>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100" w:type="dxa"/>
            <w:vAlign w:val="bottom"/>
            <w:shd w:val="clear" w:color="auto" w:fill="CCEEFF"/>
          </w:tcPr>
          <w:p>
            <w:pPr>
              <w:spacing w:after="0"/>
              <w:rPr>
                <w:sz w:val="18"/>
                <w:szCs w:val="18"/>
                <w:color w:val="auto"/>
              </w:rPr>
            </w:pPr>
          </w:p>
        </w:tc>
      </w:tr>
      <w:tr>
        <w:trPr>
          <w:trHeight w:val="216"/>
        </w:trPr>
        <w:tc>
          <w:tcPr>
            <w:tcW w:w="5240" w:type="dxa"/>
            <w:vAlign w:val="bottom"/>
          </w:tcPr>
          <w:p>
            <w:pPr>
              <w:spacing w:after="0"/>
              <w:rPr>
                <w:sz w:val="20"/>
                <w:szCs w:val="20"/>
                <w:color w:val="auto"/>
              </w:rPr>
            </w:pPr>
            <w:r>
              <w:rPr>
                <w:rFonts w:ascii="Times New Roman" w:cs="Times New Roman" w:eastAsia="Times New Roman" w:hAnsi="Times New Roman"/>
                <w:sz w:val="18"/>
                <w:szCs w:val="18"/>
                <w:color w:val="auto"/>
              </w:rPr>
              <w:t>Interest cost</w:t>
            </w:r>
          </w:p>
        </w:tc>
        <w:tc>
          <w:tcPr>
            <w:tcW w:w="52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58</w:t>
            </w:r>
          </w:p>
        </w:tc>
        <w:tc>
          <w:tcPr>
            <w:tcW w:w="6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115</w:t>
            </w:r>
          </w:p>
        </w:tc>
        <w:tc>
          <w:tcPr>
            <w:tcW w:w="58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98</w:t>
            </w:r>
          </w:p>
        </w:tc>
      </w:tr>
      <w:tr>
        <w:trPr>
          <w:trHeight w:val="216"/>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prior service costs</w:t>
            </w:r>
          </w:p>
        </w:tc>
        <w:tc>
          <w:tcPr>
            <w:tcW w:w="52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w:t>
            </w:r>
          </w:p>
        </w:tc>
        <w:tc>
          <w:tcPr>
            <w:tcW w:w="6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63</w:t>
            </w:r>
          </w:p>
        </w:tc>
        <w:tc>
          <w:tcPr>
            <w:tcW w:w="5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63</w:t>
            </w:r>
          </w:p>
        </w:tc>
      </w:tr>
      <w:tr>
        <w:trPr>
          <w:trHeight w:val="216"/>
        </w:trPr>
        <w:tc>
          <w:tcPr>
            <w:tcW w:w="524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loss</w:t>
            </w:r>
          </w:p>
        </w:tc>
        <w:tc>
          <w:tcPr>
            <w:tcW w:w="52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w:t>
            </w:r>
          </w:p>
        </w:tc>
        <w:tc>
          <w:tcPr>
            <w:tcW w:w="6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67</w:t>
            </w:r>
          </w:p>
        </w:tc>
        <w:tc>
          <w:tcPr>
            <w:tcW w:w="58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30</w:t>
            </w:r>
          </w:p>
        </w:tc>
      </w:tr>
      <w:tr>
        <w:trPr>
          <w:trHeight w:val="209"/>
        </w:trPr>
        <w:tc>
          <w:tcPr>
            <w:tcW w:w="524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240" w:type="dxa"/>
            <w:vAlign w:val="bottom"/>
          </w:tcPr>
          <w:p>
            <w:pPr>
              <w:spacing w:after="0"/>
              <w:rPr>
                <w:sz w:val="20"/>
                <w:szCs w:val="20"/>
                <w:color w:val="auto"/>
              </w:rPr>
            </w:pPr>
            <w:r>
              <w:rPr>
                <w:rFonts w:ascii="Times New Roman" w:cs="Times New Roman" w:eastAsia="Times New Roman" w:hAnsi="Times New Roman"/>
                <w:sz w:val="18"/>
                <w:szCs w:val="18"/>
                <w:color w:val="auto"/>
              </w:rPr>
              <w:t>Net periodic pension cost</w:t>
            </w:r>
          </w:p>
        </w:tc>
        <w:tc>
          <w:tcPr>
            <w:tcW w:w="5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131</w:t>
            </w:r>
          </w:p>
        </w:tc>
        <w:tc>
          <w:tcPr>
            <w:tcW w:w="6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220" w:type="dxa"/>
            <w:vAlign w:val="bottom"/>
          </w:tcPr>
          <w:p>
            <w:pPr>
              <w:spacing w:after="0"/>
              <w:rPr>
                <w:sz w:val="18"/>
                <w:szCs w:val="18"/>
                <w:color w:val="auto"/>
              </w:rPr>
            </w:pPr>
          </w:p>
        </w:tc>
        <w:tc>
          <w:tcPr>
            <w:tcW w:w="500" w:type="dxa"/>
            <w:vAlign w:val="bottom"/>
          </w:tcPr>
          <w:p>
            <w:pPr>
              <w:jc w:val="right"/>
              <w:ind w:right="3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263</w:t>
            </w:r>
          </w:p>
        </w:tc>
        <w:tc>
          <w:tcPr>
            <w:tcW w:w="58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251</w:t>
            </w:r>
          </w:p>
        </w:tc>
      </w:tr>
      <w:tr>
        <w:trPr>
          <w:trHeight w:val="20"/>
        </w:trPr>
        <w:tc>
          <w:tcPr>
            <w:tcW w:w="524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components of net periodic pension cost other than the service cost component, which is included in selling, general and administrative expenses, are included in other loss, net in our condensed consolidated statements of operations.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Deferred Compensation Plans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have an unfunded deferred compensation plan that covers one current executive and certain former executives and provides for voluntary deferral of compensation. This plan has been frozen with no additional participants or deferrals permitted. Our liability under this plan was $1,652 and $1,648 as of May 28, 2022 and November 27, 2021, respectively.</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have an unfunded, nonqualified deferred compensation plan maintained for the benefit of certain highly compensated or management level employees which was established under the Management Savings Plan. Our liability under this plan, including both accrued Company contributions and participant salary deferrals, was $1,964 and $1,789 as of May 28, 2022 and November 27, 2021, respectively.</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12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12" w:name="page13"/>
    <w:bookmarkEnd w:id="1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Our combined liability for all deferred compensation arrangements, including Company contributions and participant deferrals under the Management Savings Plan, is recorded as follows in the condensed consolidated balance sheets:</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May 28,</w:t>
            </w: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November 27,</w:t>
            </w:r>
          </w:p>
        </w:tc>
      </w:tr>
      <w:tr>
        <w:trPr>
          <w:trHeight w:val="238"/>
        </w:trPr>
        <w:tc>
          <w:tcPr>
            <w:tcW w:w="5660" w:type="dxa"/>
            <w:vAlign w:val="bottom"/>
          </w:tcPr>
          <w:p>
            <w:pPr>
              <w:spacing w:after="0"/>
              <w:rPr>
                <w:sz w:val="20"/>
                <w:szCs w:val="20"/>
                <w:color w:val="auto"/>
              </w:rPr>
            </w:pPr>
          </w:p>
        </w:tc>
        <w:tc>
          <w:tcPr>
            <w:tcW w:w="112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5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20"/>
                <w:szCs w:val="20"/>
                <w:color w:val="auto"/>
              </w:rPr>
            </w:pPr>
          </w:p>
        </w:tc>
      </w:tr>
      <w:tr>
        <w:trPr>
          <w:trHeight w:val="210"/>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1120" w:type="dxa"/>
            <w:vAlign w:val="bottom"/>
            <w:shd w:val="clear" w:color="auto" w:fill="CCEEFF"/>
          </w:tcPr>
          <w:p>
            <w:pPr>
              <w:jc w:val="right"/>
              <w:ind w:right="93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112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8"/>
              </w:rPr>
              <w:t>3,320</w:t>
            </w:r>
          </w:p>
        </w:tc>
        <w:tc>
          <w:tcPr>
            <w:tcW w:w="24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3,142</w:t>
            </w:r>
          </w:p>
        </w:tc>
        <w:tc>
          <w:tcPr>
            <w:tcW w:w="80" w:type="dxa"/>
            <w:vAlign w:val="bottom"/>
          </w:tcPr>
          <w:p>
            <w:pPr>
              <w:spacing w:after="0"/>
              <w:rPr>
                <w:sz w:val="18"/>
                <w:szCs w:val="18"/>
                <w:color w:val="auto"/>
              </w:rPr>
            </w:pPr>
          </w:p>
        </w:tc>
      </w:tr>
      <w:tr>
        <w:trPr>
          <w:trHeight w:val="209"/>
        </w:trPr>
        <w:tc>
          <w:tcPr>
            <w:tcW w:w="56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Total deferred compensation liability</w:t>
            </w:r>
          </w:p>
        </w:tc>
        <w:tc>
          <w:tcPr>
            <w:tcW w:w="1120" w:type="dxa"/>
            <w:vAlign w:val="bottom"/>
            <w:tcBorders>
              <w:bottom w:val="single" w:sz="8" w:color="auto"/>
            </w:tcBorders>
          </w:tcPr>
          <w:p>
            <w:pPr>
              <w:jc w:val="right"/>
              <w:ind w:right="93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8"/>
              </w:rPr>
              <w:t>3,616</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3,437</w:t>
            </w:r>
          </w:p>
        </w:tc>
        <w:tc>
          <w:tcPr>
            <w:tcW w:w="80" w:type="dxa"/>
            <w:vAlign w:val="bottom"/>
          </w:tcPr>
          <w:p>
            <w:pPr>
              <w:spacing w:after="0"/>
              <w:rPr>
                <w:sz w:val="18"/>
                <w:szCs w:val="18"/>
                <w:color w:val="auto"/>
              </w:rPr>
            </w:pPr>
          </w:p>
        </w:tc>
      </w:tr>
      <w:tr>
        <w:trPr>
          <w:trHeight w:val="20"/>
        </w:trPr>
        <w:tc>
          <w:tcPr>
            <w:tcW w:w="566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recognized expense under our deferred compensation arrangements during the three and six months ended May 28, 2022 and May 29, 2021 as follows:</w:t>
      </w:r>
    </w:p>
    <w:p>
      <w:pPr>
        <w:sectPr>
          <w:pgSz w:w="11900" w:h="16838" w:orient="portrait"/>
          <w:cols w:equalWidth="0" w:num="1">
            <w:col w:w="11240"/>
          </w:cols>
          <w:pgMar w:left="320" w:top="580" w:right="339" w:bottom="1440" w:gutter="0" w:footer="0" w:header="0"/>
        </w:sectPr>
      </w:pPr>
    </w:p>
    <w:p>
      <w:pPr>
        <w:spacing w:after="0" w:line="221" w:lineRule="exact"/>
        <w:rPr>
          <w:sz w:val="20"/>
          <w:szCs w:val="20"/>
          <w:color w:val="auto"/>
        </w:rPr>
      </w:pPr>
    </w:p>
    <w:p>
      <w:pPr>
        <w:jc w:val="center"/>
        <w:ind w:left="5320"/>
        <w:spacing w:after="0"/>
        <w:rPr>
          <w:sz w:val="20"/>
          <w:szCs w:val="20"/>
          <w:color w:val="auto"/>
        </w:rPr>
      </w:pPr>
      <w:r>
        <w:rPr>
          <w:rFonts w:ascii="Times New Roman" w:cs="Times New Roman" w:eastAsia="Times New Roman" w:hAnsi="Times New Roman"/>
          <w:sz w:val="18"/>
          <w:szCs w:val="18"/>
          <w:b w:val="1"/>
          <w:bCs w:val="1"/>
          <w:color w:val="auto"/>
        </w:rPr>
        <w:t>Quarter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3331210</wp:posOffset>
            </wp:positionH>
            <wp:positionV relativeFrom="paragraph">
              <wp:posOffset>19685</wp:posOffset>
            </wp:positionV>
            <wp:extent cx="16459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11" w:lineRule="exact"/>
        <w:rPr>
          <w:sz w:val="20"/>
          <w:szCs w:val="20"/>
          <w:color w:val="auto"/>
        </w:rPr>
      </w:pPr>
    </w:p>
    <w:p>
      <w:pPr>
        <w:jc w:val="center"/>
        <w:ind w:left="5320"/>
        <w:spacing w:after="0"/>
        <w:tabs>
          <w:tab w:leader="none" w:pos="360" w:val="left"/>
        </w:tabs>
        <w:rPr>
          <w:sz w:val="20"/>
          <w:szCs w:val="20"/>
          <w:color w:val="auto"/>
        </w:rPr>
      </w:pPr>
      <w:r>
        <w:rPr>
          <w:rFonts w:ascii="Times New Roman" w:cs="Times New Roman" w:eastAsia="Times New Roman" w:hAnsi="Times New Roman"/>
          <w:sz w:val="18"/>
          <w:szCs w:val="18"/>
          <w:b w:val="1"/>
          <w:bCs w:val="1"/>
          <w:color w:val="auto"/>
        </w:rPr>
        <w:t>May 28, 2022</w:t>
      </w:r>
      <w:r>
        <w:rPr>
          <w:sz w:val="20"/>
          <w:szCs w:val="20"/>
          <w:color w:val="auto"/>
        </w:rPr>
        <w:tab/>
      </w:r>
      <w:r>
        <w:rPr>
          <w:rFonts w:ascii="Times New Roman" w:cs="Times New Roman" w:eastAsia="Times New Roman" w:hAnsi="Times New Roman"/>
          <w:sz w:val="17"/>
          <w:szCs w:val="17"/>
          <w:b w:val="1"/>
          <w:bCs w:val="1"/>
          <w:color w:val="auto"/>
        </w:rPr>
        <w:t>May 29,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3331210</wp:posOffset>
            </wp:positionH>
            <wp:positionV relativeFrom="paragraph">
              <wp:posOffset>14605</wp:posOffset>
            </wp:positionV>
            <wp:extent cx="16459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jc w:val="center"/>
        <w:ind w:right="740"/>
        <w:spacing w:after="0"/>
        <w:rPr>
          <w:sz w:val="20"/>
          <w:szCs w:val="20"/>
          <w:color w:val="auto"/>
        </w:rPr>
      </w:pPr>
      <w:r>
        <w:rPr>
          <w:rFonts w:ascii="Times New Roman" w:cs="Times New Roman" w:eastAsia="Times New Roman" w:hAnsi="Times New Roman"/>
          <w:sz w:val="18"/>
          <w:szCs w:val="18"/>
          <w:b w:val="1"/>
          <w:bCs w:val="1"/>
          <w:color w:val="auto"/>
        </w:rPr>
        <w:t>Six Months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wp:posOffset>
            </wp:positionH>
            <wp:positionV relativeFrom="paragraph">
              <wp:posOffset>19685</wp:posOffset>
            </wp:positionV>
            <wp:extent cx="160274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602740" cy="8255"/>
                    </a:xfrm>
                    <a:prstGeom prst="rect">
                      <a:avLst/>
                    </a:prstGeom>
                    <a:noFill/>
                  </pic:spPr>
                </pic:pic>
              </a:graphicData>
            </a:graphic>
          </wp:anchor>
        </w:drawing>
      </w:r>
    </w:p>
    <w:p>
      <w:pPr>
        <w:spacing w:after="0" w:line="11" w:lineRule="exact"/>
        <w:rPr>
          <w:sz w:val="20"/>
          <w:szCs w:val="20"/>
          <w:color w:val="auto"/>
        </w:rPr>
      </w:pPr>
    </w:p>
    <w:p>
      <w:pPr>
        <w:jc w:val="center"/>
        <w:ind w:right="720"/>
        <w:spacing w:after="0"/>
        <w:tabs>
          <w:tab w:leader="none" w:pos="300" w:val="left"/>
        </w:tabs>
        <w:rPr>
          <w:sz w:val="20"/>
          <w:szCs w:val="20"/>
          <w:color w:val="auto"/>
        </w:rPr>
      </w:pPr>
      <w:r>
        <w:rPr>
          <w:rFonts w:ascii="Times New Roman" w:cs="Times New Roman" w:eastAsia="Times New Roman" w:hAnsi="Times New Roman"/>
          <w:sz w:val="18"/>
          <w:szCs w:val="18"/>
          <w:b w:val="1"/>
          <w:bCs w:val="1"/>
          <w:color w:val="auto"/>
        </w:rPr>
        <w:t>May 28, 2022</w:t>
      </w:r>
      <w:r>
        <w:rPr>
          <w:sz w:val="20"/>
          <w:szCs w:val="20"/>
          <w:color w:val="auto"/>
        </w:rPr>
        <w:tab/>
      </w:r>
      <w:r>
        <w:rPr>
          <w:rFonts w:ascii="Times New Roman" w:cs="Times New Roman" w:eastAsia="Times New Roman" w:hAnsi="Times New Roman"/>
          <w:sz w:val="18"/>
          <w:szCs w:val="18"/>
          <w:b w:val="1"/>
          <w:bCs w:val="1"/>
          <w:color w:val="auto"/>
        </w:rPr>
        <w:t>May 29,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wp:posOffset>
            </wp:positionH>
            <wp:positionV relativeFrom="paragraph">
              <wp:posOffset>14605</wp:posOffset>
            </wp:positionV>
            <wp:extent cx="160274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602740" cy="8255"/>
                    </a:xfrm>
                    <a:prstGeom prst="rect">
                      <a:avLst/>
                    </a:prstGeom>
                    <a:noFill/>
                  </pic:spPr>
                </pic:pic>
              </a:graphicData>
            </a:graphic>
          </wp:anchor>
        </w:drawing>
      </w:r>
    </w:p>
    <w:p>
      <w:pPr>
        <w:spacing w:after="0" w:line="23" w:lineRule="exact"/>
        <w:rPr>
          <w:sz w:val="20"/>
          <w:szCs w:val="20"/>
          <w:color w:val="auto"/>
        </w:rPr>
      </w:pPr>
    </w:p>
    <w:p>
      <w:pPr>
        <w:sectPr>
          <w:pgSz w:w="11900" w:h="16838" w:orient="portrait"/>
          <w:cols w:equalWidth="0" w:num="2">
            <w:col w:w="7760" w:space="360"/>
            <w:col w:w="3120"/>
          </w:cols>
          <w:pgMar w:left="320" w:top="580" w:right="339" w:bottom="1440" w:gutter="0" w:footer="0" w:header="0"/>
          <w:type w:val="continuous"/>
        </w:sectPr>
      </w:pPr>
    </w:p>
    <w:p>
      <w:pPr>
        <w:spacing w:after="0"/>
        <w:tabs>
          <w:tab w:leader="none" w:pos="5220" w:val="left"/>
          <w:tab w:leader="none" w:pos="6320" w:val="left"/>
          <w:tab w:leader="none" w:pos="6640" w:val="left"/>
          <w:tab w:leader="none" w:pos="7540" w:val="left"/>
          <w:tab w:leader="none" w:pos="8040" w:val="left"/>
          <w:tab w:leader="none" w:pos="9020" w:val="left"/>
          <w:tab w:leader="none" w:pos="9400" w:val="left"/>
          <w:tab w:leader="none" w:pos="10280" w:val="left"/>
        </w:tabs>
        <w:rPr>
          <w:sz w:val="20"/>
          <w:szCs w:val="20"/>
          <w:color w:val="auto"/>
        </w:rPr>
      </w:pPr>
      <w:r>
        <w:rPr>
          <w:rFonts w:ascii="Times New Roman" w:cs="Times New Roman" w:eastAsia="Times New Roman" w:hAnsi="Times New Roman"/>
          <w:sz w:val="18"/>
          <w:szCs w:val="18"/>
          <w:color w:val="auto"/>
        </w:rPr>
        <w:t>Deferred compensation expense</w:t>
      </w:r>
      <w:r>
        <w:rPr>
          <w:sz w:val="20"/>
          <w:szCs w:val="20"/>
          <w:color w:val="auto"/>
        </w:rPr>
        <w:tab/>
      </w:r>
      <w:r>
        <w:rPr>
          <w:rFonts w:ascii="Times New Roman" w:cs="Times New Roman" w:eastAsia="Times New Roman" w:hAnsi="Times New Roman"/>
          <w:sz w:val="36"/>
          <w:szCs w:val="36"/>
          <w:color w:val="auto"/>
          <w:vertAlign w:val="superscript"/>
        </w:rPr>
        <w:t>$</w:t>
      </w:r>
      <w:r>
        <w:rPr>
          <w:sz w:val="20"/>
          <w:szCs w:val="20"/>
          <w:color w:val="auto"/>
        </w:rPr>
        <w:tab/>
      </w:r>
      <w:r>
        <w:rPr>
          <w:rFonts w:ascii="Times New Roman" w:cs="Times New Roman" w:eastAsia="Times New Roman" w:hAnsi="Times New Roman"/>
          <w:sz w:val="36"/>
          <w:szCs w:val="36"/>
          <w:color w:val="auto"/>
          <w:vertAlign w:val="superscript"/>
        </w:rPr>
        <w:t>7</w:t>
      </w:r>
      <w:r>
        <w:rPr>
          <w:rFonts w:ascii="Times New Roman" w:cs="Times New Roman" w:eastAsia="Times New Roman" w:hAnsi="Times New Roman"/>
          <w:sz w:val="36"/>
          <w:szCs w:val="36"/>
          <w:color w:val="auto"/>
        </w:rPr>
        <w:tab/>
      </w:r>
      <w:r>
        <w:rPr>
          <w:rFonts w:ascii="Times New Roman" w:cs="Times New Roman" w:eastAsia="Times New Roman" w:hAnsi="Times New Roman"/>
          <w:sz w:val="36"/>
          <w:szCs w:val="36"/>
          <w:color w:val="auto"/>
          <w:vertAlign w:val="superscript"/>
        </w:rPr>
        <w:t>$</w:t>
      </w:r>
      <w:r>
        <w:rPr>
          <w:sz w:val="20"/>
          <w:szCs w:val="20"/>
          <w:color w:val="auto"/>
        </w:rPr>
        <w:tab/>
      </w:r>
      <w:r>
        <w:rPr>
          <w:rFonts w:ascii="Times New Roman" w:cs="Times New Roman" w:eastAsia="Times New Roman" w:hAnsi="Times New Roman"/>
          <w:sz w:val="36"/>
          <w:szCs w:val="36"/>
          <w:color w:val="auto"/>
          <w:vertAlign w:val="superscript"/>
        </w:rPr>
        <w:t>202</w:t>
      </w:r>
      <w:r>
        <w:rPr>
          <w:rFonts w:ascii="Times New Roman" w:cs="Times New Roman" w:eastAsia="Times New Roman" w:hAnsi="Times New Roman"/>
          <w:sz w:val="36"/>
          <w:szCs w:val="36"/>
          <w:color w:val="auto"/>
        </w:rPr>
        <w:tab/>
      </w:r>
      <w:r>
        <w:rPr>
          <w:rFonts w:ascii="Times New Roman" w:cs="Times New Roman" w:eastAsia="Times New Roman" w:hAnsi="Times New Roman"/>
          <w:sz w:val="36"/>
          <w:szCs w:val="36"/>
          <w:color w:val="auto"/>
          <w:vertAlign w:val="superscript"/>
        </w:rPr>
        <w:t>$</w:t>
      </w:r>
      <w:r>
        <w:rPr>
          <w:sz w:val="20"/>
          <w:szCs w:val="20"/>
          <w:color w:val="auto"/>
        </w:rPr>
        <w:tab/>
      </w:r>
      <w:r>
        <w:rPr>
          <w:rFonts w:ascii="Times New Roman" w:cs="Times New Roman" w:eastAsia="Times New Roman" w:hAnsi="Times New Roman"/>
          <w:sz w:val="36"/>
          <w:szCs w:val="36"/>
          <w:color w:val="auto"/>
          <w:vertAlign w:val="superscript"/>
        </w:rPr>
        <w:t>61</w:t>
      </w:r>
      <w:r>
        <w:rPr>
          <w:rFonts w:ascii="Times New Roman" w:cs="Times New Roman" w:eastAsia="Times New Roman" w:hAnsi="Times New Roman"/>
          <w:sz w:val="36"/>
          <w:szCs w:val="36"/>
          <w:color w:val="auto"/>
        </w:rPr>
        <w:tab/>
      </w:r>
      <w:r>
        <w:rPr>
          <w:rFonts w:ascii="Times New Roman" w:cs="Times New Roman" w:eastAsia="Times New Roman" w:hAnsi="Times New Roman"/>
          <w:sz w:val="36"/>
          <w:szCs w:val="36"/>
          <w:color w:val="auto"/>
          <w:vertAlign w:val="superscript"/>
        </w:rPr>
        <w:t>$</w:t>
      </w:r>
      <w:r>
        <w:rPr>
          <w:sz w:val="20"/>
          <w:szCs w:val="20"/>
          <w:color w:val="auto"/>
        </w:rPr>
        <w:tab/>
      </w:r>
      <w:r>
        <w:rPr>
          <w:rFonts w:ascii="Times New Roman" w:cs="Times New Roman" w:eastAsia="Times New Roman" w:hAnsi="Times New Roman"/>
          <w:sz w:val="28"/>
          <w:szCs w:val="28"/>
          <w:color w:val="auto"/>
          <w:vertAlign w:val="superscript"/>
        </w:rPr>
        <w:t>355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6772275" cy="16319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772275" cy="163195"/>
                    </a:xfrm>
                    <a:prstGeom prst="rect">
                      <a:avLst/>
                    </a:prstGeom>
                    <a:noFill/>
                  </pic:spPr>
                </pic:pic>
              </a:graphicData>
            </a:graphic>
          </wp:anchor>
        </w:drawing>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Commitments and Contingencies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we believe that the final resolution of these matters will not have a material adverse effect on our financial position or future results of operations.</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Lease Guarantees</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have guaranteed certain lease obligations of licensee operators. Lease guarantees range from one to three years. We were contingently liable under licensee lease obligation guarantees in the amounts of $1,863 and $1,845 at May 28, 2022 and November 27, 2021, respectively.</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the event of default by an independent dealer under the guaranteed lease, we believe that the risk of loss is mitigated through a combination of options that include, but are not limited to, arranging for a replacement dealer or liquidating the collateral (primarily inventory). The proceeds of the above options are expected to cover the estimated amount of our future payments under the guarantee obligations, net of recorded reserves. The fair value of lease guarantees (an estimate of the cost to the Company to perform on these guarantees) at May 28, 2022 and November 27, 2021 was not material.</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Page 13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13" w:name="page14"/>
    <w:bookmarkEnd w:id="1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11. Earnings Per Share</w:t>
            </w:r>
          </w:p>
        </w:tc>
        <w:tc>
          <w:tcPr>
            <w:tcW w:w="9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The following reconciles basic and diluted earnings per share:</w:t>
            </w: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2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4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Weighted Average</w:t>
            </w:r>
          </w:p>
        </w:tc>
        <w:tc>
          <w:tcPr>
            <w:tcW w:w="300" w:type="dxa"/>
            <w:vAlign w:val="bottom"/>
          </w:tcPr>
          <w:p>
            <w:pPr>
              <w:spacing w:after="0"/>
              <w:rPr>
                <w:sz w:val="24"/>
                <w:szCs w:val="24"/>
                <w:color w:val="auto"/>
              </w:rPr>
            </w:pPr>
          </w:p>
        </w:tc>
        <w:tc>
          <w:tcPr>
            <w:tcW w:w="13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Net Income</w:t>
            </w:r>
          </w:p>
        </w:tc>
      </w:tr>
      <w:tr>
        <w:trPr>
          <w:trHeight w:val="234"/>
        </w:trPr>
        <w:tc>
          <w:tcPr>
            <w:tcW w:w="2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2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Net Income</w:t>
            </w:r>
          </w:p>
        </w:tc>
        <w:tc>
          <w:tcPr>
            <w:tcW w:w="1640" w:type="dxa"/>
            <w:vAlign w:val="bottom"/>
          </w:tcPr>
          <w:p>
            <w:pPr>
              <w:jc w:val="right"/>
              <w:ind w:right="510"/>
              <w:spacing w:after="0"/>
              <w:rPr>
                <w:sz w:val="20"/>
                <w:szCs w:val="20"/>
                <w:color w:val="auto"/>
              </w:rPr>
            </w:pPr>
            <w:r>
              <w:rPr>
                <w:rFonts w:ascii="Times New Roman" w:cs="Times New Roman" w:eastAsia="Times New Roman" w:hAnsi="Times New Roman"/>
                <w:sz w:val="18"/>
                <w:szCs w:val="18"/>
                <w:color w:val="auto"/>
              </w:rPr>
              <w:t>Shares</w:t>
            </w:r>
          </w:p>
        </w:tc>
        <w:tc>
          <w:tcPr>
            <w:tcW w:w="300" w:type="dxa"/>
            <w:vAlign w:val="bottom"/>
          </w:tcPr>
          <w:p>
            <w:pPr>
              <w:spacing w:after="0"/>
              <w:rPr>
                <w:sz w:val="20"/>
                <w:szCs w:val="20"/>
                <w:color w:val="auto"/>
              </w:rPr>
            </w:pPr>
          </w:p>
        </w:tc>
        <w:tc>
          <w:tcPr>
            <w:tcW w:w="136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Per Share</w:t>
            </w:r>
          </w:p>
        </w:tc>
      </w:tr>
      <w:tr>
        <w:trPr>
          <w:trHeight w:val="189"/>
        </w:trPr>
        <w:tc>
          <w:tcPr>
            <w:tcW w:w="5400" w:type="dxa"/>
            <w:vAlign w:val="bottom"/>
            <w:gridSpan w:val="3"/>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For the quarter ended May 28, 2022:</w:t>
            </w:r>
          </w:p>
        </w:tc>
        <w:tc>
          <w:tcPr>
            <w:tcW w:w="920" w:type="dxa"/>
            <w:vAlign w:val="bottom"/>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142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126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16"/>
        </w:trPr>
        <w:tc>
          <w:tcPr>
            <w:tcW w:w="266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2480" w:type="dxa"/>
            <w:vAlign w:val="bottom"/>
            <w:tcBorders>
              <w:top w:val="single" w:sz="8" w:color="CCEEFF"/>
            </w:tcBorders>
          </w:tcPr>
          <w:p>
            <w:pPr>
              <w:spacing w:after="0"/>
              <w:rPr>
                <w:sz w:val="18"/>
                <w:szCs w:val="18"/>
                <w:color w:val="auto"/>
              </w:rPr>
            </w:pPr>
          </w:p>
        </w:tc>
        <w:tc>
          <w:tcPr>
            <w:tcW w:w="9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20" w:type="dxa"/>
            <w:vAlign w:val="bottom"/>
            <w:tcBorders>
              <w:top w:val="single" w:sz="8" w:color="CCEEFF"/>
            </w:tcBorders>
          </w:tcPr>
          <w:p>
            <w:pPr>
              <w:spacing w:after="0"/>
              <w:rPr>
                <w:sz w:val="18"/>
                <w:szCs w:val="18"/>
                <w:color w:val="auto"/>
              </w:rPr>
            </w:pPr>
          </w:p>
        </w:tc>
        <w:tc>
          <w:tcPr>
            <w:tcW w:w="164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12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 - continuing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7,743</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9,521,085</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0.81</w:t>
            </w: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4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Restricted shares</w:t>
            </w:r>
          </w:p>
        </w:tc>
        <w:tc>
          <w:tcPr>
            <w:tcW w:w="9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12,938</w:t>
            </w:r>
          </w:p>
        </w:tc>
        <w:tc>
          <w:tcPr>
            <w:tcW w:w="3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Diluted earnings per share - continuing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7,743</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9,534,023</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0.81</w:t>
            </w:r>
          </w:p>
        </w:tc>
      </w:tr>
      <w:tr>
        <w:trPr>
          <w:trHeight w:val="20"/>
        </w:trPr>
        <w:tc>
          <w:tcPr>
            <w:tcW w:w="2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26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Basic earnings per share - discontinued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39,375</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9,521,085</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4.14</w:t>
            </w: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Restricted shares</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12,938</w:t>
            </w:r>
          </w:p>
        </w:tc>
        <w:tc>
          <w:tcPr>
            <w:tcW w:w="300" w:type="dxa"/>
            <w:vAlign w:val="bottom"/>
          </w:tcPr>
          <w:p>
            <w:pPr>
              <w:spacing w:after="0"/>
              <w:rPr>
                <w:sz w:val="18"/>
                <w:szCs w:val="18"/>
                <w:color w:val="auto"/>
              </w:rPr>
            </w:pPr>
          </w:p>
        </w:tc>
        <w:tc>
          <w:tcPr>
            <w:tcW w:w="13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r>
      <w:tr>
        <w:trPr>
          <w:trHeight w:val="20"/>
        </w:trPr>
        <w:tc>
          <w:tcPr>
            <w:tcW w:w="2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9"/>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 - discontinued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39,375</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9,534,023</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4.13</w:t>
            </w:r>
          </w:p>
        </w:tc>
      </w:tr>
      <w:tr>
        <w:trPr>
          <w:trHeight w:val="197"/>
        </w:trPr>
        <w:tc>
          <w:tcPr>
            <w:tcW w:w="266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480" w:type="dxa"/>
            <w:vAlign w:val="bottom"/>
            <w:tcBorders>
              <w:top w:val="single" w:sz="8" w:color="CCEEFF"/>
            </w:tcBorders>
          </w:tcPr>
          <w:p>
            <w:pPr>
              <w:spacing w:after="0"/>
              <w:rPr>
                <w:sz w:val="17"/>
                <w:szCs w:val="17"/>
                <w:color w:val="auto"/>
              </w:rPr>
            </w:pPr>
          </w:p>
        </w:tc>
        <w:tc>
          <w:tcPr>
            <w:tcW w:w="9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420" w:type="dxa"/>
            <w:vAlign w:val="bottom"/>
            <w:tcBorders>
              <w:top w:val="single" w:sz="8" w:color="auto"/>
            </w:tcBorders>
          </w:tcPr>
          <w:p>
            <w:pPr>
              <w:spacing w:after="0"/>
              <w:rPr>
                <w:sz w:val="17"/>
                <w:szCs w:val="17"/>
                <w:color w:val="auto"/>
              </w:rPr>
            </w:pPr>
          </w:p>
        </w:tc>
        <w:tc>
          <w:tcPr>
            <w:tcW w:w="164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196"/>
        </w:trPr>
        <w:tc>
          <w:tcPr>
            <w:tcW w:w="54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For the quarter ended May 29, 2021:</w:t>
            </w: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66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2480" w:type="dxa"/>
            <w:vAlign w:val="bottom"/>
            <w:tcBorders>
              <w:top w:val="single" w:sz="8" w:color="CCEEFF"/>
            </w:tcBorders>
          </w:tcPr>
          <w:p>
            <w:pPr>
              <w:spacing w:after="0"/>
              <w:rPr>
                <w:sz w:val="18"/>
                <w:szCs w:val="18"/>
                <w:color w:val="auto"/>
              </w:rPr>
            </w:pPr>
          </w:p>
        </w:tc>
        <w:tc>
          <w:tcPr>
            <w:tcW w:w="9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20" w:type="dxa"/>
            <w:vAlign w:val="bottom"/>
            <w:tcBorders>
              <w:top w:val="single" w:sz="8" w:color="CCEEFF"/>
            </w:tcBorders>
          </w:tcPr>
          <w:p>
            <w:pPr>
              <w:spacing w:after="0"/>
              <w:rPr>
                <w:sz w:val="18"/>
                <w:szCs w:val="18"/>
                <w:color w:val="auto"/>
              </w:rPr>
            </w:pPr>
          </w:p>
        </w:tc>
        <w:tc>
          <w:tcPr>
            <w:tcW w:w="164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12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 - continuing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5,077</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9,894,627</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0.51</w:t>
            </w: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4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9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5,476</w:t>
            </w:r>
          </w:p>
        </w:tc>
        <w:tc>
          <w:tcPr>
            <w:tcW w:w="3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Diluted earnings per share - continuing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5,077</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9,900,103</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0.51</w:t>
            </w:r>
          </w:p>
        </w:tc>
      </w:tr>
      <w:tr>
        <w:trPr>
          <w:trHeight w:val="20"/>
        </w:trPr>
        <w:tc>
          <w:tcPr>
            <w:tcW w:w="2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26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Basic earnings per share - discontinued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897</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9,894,627</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0.09</w:t>
            </w: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9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5,476</w:t>
            </w: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50"/>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 - discontinued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897</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9,900,103</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0.09</w:t>
            </w:r>
          </w:p>
        </w:tc>
      </w:tr>
      <w:tr>
        <w:trPr>
          <w:trHeight w:val="196"/>
        </w:trPr>
        <w:tc>
          <w:tcPr>
            <w:tcW w:w="266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480" w:type="dxa"/>
            <w:vAlign w:val="bottom"/>
            <w:tcBorders>
              <w:top w:val="single" w:sz="8" w:color="CCEEFF"/>
            </w:tcBorders>
          </w:tcPr>
          <w:p>
            <w:pPr>
              <w:spacing w:after="0"/>
              <w:rPr>
                <w:sz w:val="17"/>
                <w:szCs w:val="17"/>
                <w:color w:val="auto"/>
              </w:rPr>
            </w:pPr>
          </w:p>
        </w:tc>
        <w:tc>
          <w:tcPr>
            <w:tcW w:w="9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420" w:type="dxa"/>
            <w:vAlign w:val="bottom"/>
            <w:tcBorders>
              <w:top w:val="single" w:sz="8" w:color="auto"/>
            </w:tcBorders>
          </w:tcPr>
          <w:p>
            <w:pPr>
              <w:spacing w:after="0"/>
              <w:rPr>
                <w:sz w:val="17"/>
                <w:szCs w:val="17"/>
                <w:color w:val="auto"/>
              </w:rPr>
            </w:pPr>
          </w:p>
        </w:tc>
        <w:tc>
          <w:tcPr>
            <w:tcW w:w="164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196"/>
        </w:trPr>
        <w:tc>
          <w:tcPr>
            <w:tcW w:w="54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For the six months ended May 28, 2022:</w:t>
            </w: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66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480" w:type="dxa"/>
            <w:vAlign w:val="bottom"/>
            <w:tcBorders>
              <w:top w:val="single" w:sz="8" w:color="CCEEFF"/>
            </w:tcBorders>
          </w:tcPr>
          <w:p>
            <w:pPr>
              <w:spacing w:after="0"/>
              <w:rPr>
                <w:sz w:val="18"/>
                <w:szCs w:val="18"/>
                <w:color w:val="auto"/>
              </w:rPr>
            </w:pPr>
          </w:p>
        </w:tc>
        <w:tc>
          <w:tcPr>
            <w:tcW w:w="9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20" w:type="dxa"/>
            <w:vAlign w:val="bottom"/>
            <w:tcBorders>
              <w:top w:val="single" w:sz="8" w:color="CCEEFF"/>
            </w:tcBorders>
          </w:tcPr>
          <w:p>
            <w:pPr>
              <w:spacing w:after="0"/>
              <w:rPr>
                <w:sz w:val="18"/>
                <w:szCs w:val="18"/>
                <w:color w:val="auto"/>
              </w:rPr>
            </w:pPr>
          </w:p>
        </w:tc>
        <w:tc>
          <w:tcPr>
            <w:tcW w:w="164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12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 - continuing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12,034</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9,636,813</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1.25</w:t>
            </w: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4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Restricted shares</w:t>
            </w:r>
          </w:p>
        </w:tc>
        <w:tc>
          <w:tcPr>
            <w:tcW w:w="9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2,917</w:t>
            </w:r>
          </w:p>
        </w:tc>
        <w:tc>
          <w:tcPr>
            <w:tcW w:w="3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Diluted earnings per share - continuing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12,034</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9,639,730</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1.25</w:t>
            </w:r>
          </w:p>
        </w:tc>
      </w:tr>
      <w:tr>
        <w:trPr>
          <w:trHeight w:val="20"/>
        </w:trPr>
        <w:tc>
          <w:tcPr>
            <w:tcW w:w="2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6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Basic earnings per share - discontinued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40,657</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9,636,813</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4.22</w:t>
            </w: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Restricted shares</w:t>
            </w:r>
          </w:p>
        </w:tc>
        <w:tc>
          <w:tcPr>
            <w:tcW w:w="9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2,917</w:t>
            </w: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49"/>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 - discontinued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40,657</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9,639,730</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4.22</w:t>
            </w:r>
          </w:p>
        </w:tc>
      </w:tr>
      <w:tr>
        <w:trPr>
          <w:trHeight w:val="197"/>
        </w:trPr>
        <w:tc>
          <w:tcPr>
            <w:tcW w:w="266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480" w:type="dxa"/>
            <w:vAlign w:val="bottom"/>
            <w:tcBorders>
              <w:top w:val="single" w:sz="8" w:color="CCEEFF"/>
            </w:tcBorders>
          </w:tcPr>
          <w:p>
            <w:pPr>
              <w:spacing w:after="0"/>
              <w:rPr>
                <w:sz w:val="17"/>
                <w:szCs w:val="17"/>
                <w:color w:val="auto"/>
              </w:rPr>
            </w:pPr>
          </w:p>
        </w:tc>
        <w:tc>
          <w:tcPr>
            <w:tcW w:w="9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420" w:type="dxa"/>
            <w:vAlign w:val="bottom"/>
            <w:tcBorders>
              <w:top w:val="single" w:sz="8" w:color="auto"/>
            </w:tcBorders>
          </w:tcPr>
          <w:p>
            <w:pPr>
              <w:spacing w:after="0"/>
              <w:rPr>
                <w:sz w:val="17"/>
                <w:szCs w:val="17"/>
                <w:color w:val="auto"/>
              </w:rPr>
            </w:pPr>
          </w:p>
        </w:tc>
        <w:tc>
          <w:tcPr>
            <w:tcW w:w="164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196"/>
        </w:trPr>
        <w:tc>
          <w:tcPr>
            <w:tcW w:w="54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For the six months ended May 29, 2021:</w:t>
            </w: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66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480" w:type="dxa"/>
            <w:vAlign w:val="bottom"/>
            <w:tcBorders>
              <w:top w:val="single" w:sz="8" w:color="CCEEFF"/>
            </w:tcBorders>
          </w:tcPr>
          <w:p>
            <w:pPr>
              <w:spacing w:after="0"/>
              <w:rPr>
                <w:sz w:val="18"/>
                <w:szCs w:val="18"/>
                <w:color w:val="auto"/>
              </w:rPr>
            </w:pPr>
          </w:p>
        </w:tc>
        <w:tc>
          <w:tcPr>
            <w:tcW w:w="9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20" w:type="dxa"/>
            <w:vAlign w:val="bottom"/>
            <w:tcBorders>
              <w:top w:val="single" w:sz="8" w:color="CCEEFF"/>
            </w:tcBorders>
          </w:tcPr>
          <w:p>
            <w:pPr>
              <w:spacing w:after="0"/>
              <w:rPr>
                <w:sz w:val="18"/>
                <w:szCs w:val="18"/>
                <w:color w:val="auto"/>
              </w:rPr>
            </w:pPr>
          </w:p>
        </w:tc>
        <w:tc>
          <w:tcPr>
            <w:tcW w:w="164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12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 - continuing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8,774</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9,907,073</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0.89</w:t>
            </w: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4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9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12,629</w:t>
            </w:r>
          </w:p>
        </w:tc>
        <w:tc>
          <w:tcPr>
            <w:tcW w:w="3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Diluted earnings per share - continuing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8,774</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9,919,702</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0.89</w:t>
            </w:r>
          </w:p>
        </w:tc>
      </w:tr>
      <w:tr>
        <w:trPr>
          <w:trHeight w:val="20"/>
        </w:trPr>
        <w:tc>
          <w:tcPr>
            <w:tcW w:w="2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6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Basic earnings per share - discontinued operations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1,211</w:t>
            </w:r>
          </w:p>
        </w:tc>
        <w:tc>
          <w:tcPr>
            <w:tcW w:w="1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9,907,073</w:t>
            </w:r>
          </w:p>
        </w:tc>
        <w:tc>
          <w:tcPr>
            <w:tcW w:w="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0.12</w:t>
            </w:r>
          </w:p>
        </w:tc>
      </w:tr>
      <w:tr>
        <w:trPr>
          <w:trHeight w:val="216"/>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9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12,629</w:t>
            </w: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30"/>
        </w:trPr>
        <w:tc>
          <w:tcPr>
            <w:tcW w:w="54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 - discontinued operations</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1,211</w:t>
            </w:r>
          </w:p>
        </w:tc>
        <w:tc>
          <w:tcPr>
            <w:tcW w:w="1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9,919,702</w:t>
            </w:r>
          </w:p>
        </w:tc>
        <w:tc>
          <w:tcPr>
            <w:tcW w:w="3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0.12</w:t>
            </w:r>
          </w:p>
        </w:tc>
      </w:tr>
      <w:tr>
        <w:trPr>
          <w:trHeight w:val="20"/>
        </w:trPr>
        <w:tc>
          <w:tcPr>
            <w:tcW w:w="26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248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164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For the three and six months ended May 28, 2022 and May 29, 2021, the following potentially dilutive shares were excluded from the computations as their effect was anti-dilutive:</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2720" w:type="dxa"/>
            <w:vAlign w:val="bottom"/>
            <w:gridSpan w:val="3"/>
          </w:tcPr>
          <w:p>
            <w:pPr>
              <w:ind w:left="66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540" w:type="dxa"/>
            <w:vAlign w:val="bottom"/>
            <w:gridSpan w:val="3"/>
          </w:tcPr>
          <w:p>
            <w:pPr>
              <w:ind w:left="50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209"/>
        </w:trPr>
        <w:tc>
          <w:tcPr>
            <w:tcW w:w="5980" w:type="dxa"/>
            <w:vAlign w:val="bottom"/>
          </w:tcPr>
          <w:p>
            <w:pPr>
              <w:spacing w:after="0"/>
              <w:rPr>
                <w:sz w:val="18"/>
                <w:szCs w:val="18"/>
                <w:color w:val="auto"/>
              </w:rPr>
            </w:pPr>
          </w:p>
        </w:tc>
        <w:tc>
          <w:tcPr>
            <w:tcW w:w="1280" w:type="dxa"/>
            <w:vAlign w:val="bottom"/>
            <w:tcBorders>
              <w:top w:val="single" w:sz="8" w:color="auto"/>
              <w:bottom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220" w:type="dxa"/>
            <w:vAlign w:val="bottom"/>
            <w:tcBorders>
              <w:top w:val="single" w:sz="8" w:color="auto"/>
              <w:bottom w:val="single" w:sz="8" w:color="auto"/>
            </w:tcBorders>
          </w:tcPr>
          <w:p>
            <w:pPr>
              <w:ind w:left="14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220" w:type="dxa"/>
            <w:vAlign w:val="bottom"/>
          </w:tcPr>
          <w:p>
            <w:pPr>
              <w:spacing w:after="0"/>
              <w:rPr>
                <w:sz w:val="18"/>
                <w:szCs w:val="18"/>
                <w:color w:val="auto"/>
              </w:rPr>
            </w:pPr>
          </w:p>
        </w:tc>
        <w:tc>
          <w:tcPr>
            <w:tcW w:w="124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00" w:type="dxa"/>
            <w:vAlign w:val="bottom"/>
          </w:tcPr>
          <w:p>
            <w:pPr>
              <w:spacing w:after="0"/>
              <w:rPr>
                <w:sz w:val="18"/>
                <w:szCs w:val="18"/>
                <w:color w:val="auto"/>
              </w:rPr>
            </w:pPr>
          </w:p>
        </w:tc>
      </w:tr>
      <w:tr>
        <w:trPr>
          <w:trHeight w:val="210"/>
        </w:trPr>
        <w:tc>
          <w:tcPr>
            <w:tcW w:w="59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Unvested shares</w:t>
            </w:r>
          </w:p>
        </w:tc>
        <w:tc>
          <w:tcPr>
            <w:tcW w:w="128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15,799</w:t>
            </w:r>
          </w:p>
        </w:tc>
        <w:tc>
          <w:tcPr>
            <w:tcW w:w="14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67,099</w:t>
            </w:r>
          </w:p>
        </w:tc>
        <w:tc>
          <w:tcPr>
            <w:tcW w:w="13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7,105</w:t>
            </w:r>
          </w:p>
        </w:tc>
      </w:tr>
      <w:tr>
        <w:trPr>
          <w:trHeight w:val="20"/>
        </w:trPr>
        <w:tc>
          <w:tcPr>
            <w:tcW w:w="5980" w:type="dxa"/>
            <w:vAlign w:val="bottom"/>
            <w:tcBorders>
              <w:top w:val="single" w:sz="8" w:color="CCEEFF"/>
            </w:tcBorders>
            <w:shd w:val="clear" w:color="auto" w:fill="CCEEFF"/>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Discontinued Operations &amp; Assets Held for Sale</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Discontinued Operations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January 31, 2022, we entered into a definitive agreement to sell substantially all of the assets of Zenith to J.B. Hunt. The sale was completed 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28, 2022, at which time we received the following net proceeds:</w:t>
      </w:r>
    </w:p>
    <w:p>
      <w:pPr>
        <w:sectPr>
          <w:pgSz w:w="11900" w:h="16838" w:orient="portrait"/>
          <w:cols w:equalWidth="0" w:num="1">
            <w:col w:w="11240"/>
          </w:cols>
          <w:pgMar w:left="320" w:top="580" w:right="339" w:bottom="1440" w:gutter="0" w:footer="0" w:header="0"/>
        </w:sectPr>
      </w:pP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Sales price prior to post-closing working capital adjustment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-119380</wp:posOffset>
            </wp:positionV>
            <wp:extent cx="6412230" cy="137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Less: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5715</wp:posOffset>
            </wp:positionV>
            <wp:extent cx="6412230" cy="137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ind w:left="820"/>
        <w:spacing w:after="0"/>
        <w:rPr>
          <w:sz w:val="20"/>
          <w:szCs w:val="20"/>
          <w:color w:val="auto"/>
        </w:rPr>
      </w:pPr>
      <w:r>
        <w:rPr>
          <w:rFonts w:ascii="Times New Roman" w:cs="Times New Roman" w:eastAsia="Times New Roman" w:hAnsi="Times New Roman"/>
          <w:sz w:val="17"/>
          <w:szCs w:val="17"/>
          <w:color w:val="auto"/>
        </w:rPr>
        <w:t>Amount held in escrow for contingencies related to representations and warranties (1)</w:t>
      </w:r>
    </w:p>
    <w:p>
      <w:pPr>
        <w:spacing w:after="0" w:line="2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18"/>
          <w:szCs w:val="18"/>
          <w:color w:val="auto"/>
        </w:rPr>
        <w:t>Seller expenses paid at closing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14605</wp:posOffset>
            </wp:positionV>
            <wp:extent cx="6412230" cy="1371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24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Net proceeds from the sale (2)</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ind w:left="1020" w:hanging="1013"/>
        <w:spacing w:after="0"/>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86,939</w:t>
      </w:r>
    </w:p>
    <w:p>
      <w:pPr>
        <w:spacing w:after="0" w:line="225" w:lineRule="exact"/>
        <w:rPr>
          <w:sz w:val="20"/>
          <w:szCs w:val="20"/>
          <w:color w:val="auto"/>
        </w:rPr>
      </w:pPr>
    </w:p>
    <w:p>
      <w:pPr>
        <w:jc w:val="right"/>
        <w:ind w:right="580"/>
        <w:spacing w:after="0"/>
        <w:rPr>
          <w:sz w:val="20"/>
          <w:szCs w:val="20"/>
          <w:color w:val="auto"/>
        </w:rPr>
      </w:pPr>
      <w:r>
        <w:rPr>
          <w:rFonts w:ascii="Times New Roman" w:cs="Times New Roman" w:eastAsia="Times New Roman" w:hAnsi="Times New Roman"/>
          <w:sz w:val="18"/>
          <w:szCs w:val="18"/>
          <w:color w:val="auto"/>
        </w:rPr>
        <w:t>1,000</w:t>
      </w:r>
    </w:p>
    <w:p>
      <w:pPr>
        <w:spacing w:after="0" w:line="27" w:lineRule="exact"/>
        <w:rPr>
          <w:sz w:val="20"/>
          <w:szCs w:val="20"/>
          <w:color w:val="auto"/>
        </w:rPr>
      </w:pPr>
    </w:p>
    <w:p>
      <w:pPr>
        <w:jc w:val="right"/>
        <w:ind w:right="580"/>
        <w:spacing w:after="0"/>
        <w:rPr>
          <w:sz w:val="20"/>
          <w:szCs w:val="20"/>
          <w:color w:val="auto"/>
        </w:rPr>
      </w:pPr>
      <w:r>
        <w:rPr>
          <w:rFonts w:ascii="Times New Roman" w:cs="Times New Roman" w:eastAsia="Times New Roman" w:hAnsi="Times New Roman"/>
          <w:sz w:val="18"/>
          <w:szCs w:val="18"/>
          <w:color w:val="auto"/>
        </w:rPr>
        <w:t>418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5715</wp:posOffset>
            </wp:positionV>
            <wp:extent cx="9601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960120" cy="8890"/>
                    </a:xfrm>
                    <a:prstGeom prst="rect">
                      <a:avLst/>
                    </a:prstGeom>
                    <a:noFill/>
                  </pic:spPr>
                </pic:pic>
              </a:graphicData>
            </a:graphic>
          </wp:anchor>
        </w:drawing>
      </w:r>
    </w:p>
    <w:p>
      <w:pPr>
        <w:spacing w:after="0" w:line="200" w:lineRule="exact"/>
        <w:rPr>
          <w:sz w:val="20"/>
          <w:szCs w:val="20"/>
          <w:color w:val="auto"/>
        </w:rPr>
      </w:pPr>
    </w:p>
    <w:p>
      <w:pPr>
        <w:ind w:left="1020" w:hanging="1013"/>
        <w:spacing w:after="0"/>
        <w:tabs>
          <w:tab w:leader="none" w:pos="102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85,521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17145</wp:posOffset>
            </wp:positionV>
            <wp:extent cx="9601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960120" cy="825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34290</wp:posOffset>
            </wp:positionV>
            <wp:extent cx="9601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960120" cy="8255"/>
                    </a:xfrm>
                    <a:prstGeom prst="rect">
                      <a:avLst/>
                    </a:prstGeom>
                    <a:noFill/>
                  </pic:spPr>
                </pic:pic>
              </a:graphicData>
            </a:graphic>
          </wp:anchor>
        </w:drawing>
      </w:r>
    </w:p>
    <w:p>
      <w:pPr>
        <w:spacing w:after="0" w:line="240" w:lineRule="exact"/>
        <w:rPr>
          <w:sz w:val="20"/>
          <w:szCs w:val="20"/>
          <w:color w:val="auto"/>
        </w:rPr>
      </w:pPr>
    </w:p>
    <w:p>
      <w:pPr>
        <w:sectPr>
          <w:pgSz w:w="11900" w:h="16838" w:orient="portrait"/>
          <w:cols w:equalWidth="0" w:num="2">
            <w:col w:w="8420" w:space="720"/>
            <w:col w:w="2100"/>
          </w:cols>
          <w:pgMar w:left="320" w:top="580" w:right="339" w:bottom="1440" w:gutter="0" w:footer="0" w:header="0"/>
          <w:type w:val="continuous"/>
        </w:sectPr>
      </w:pPr>
    </w:p>
    <w:p>
      <w:pPr>
        <w:spacing w:after="0" w:line="25" w:lineRule="exact"/>
        <w:rPr>
          <w:sz w:val="20"/>
          <w:szCs w:val="20"/>
          <w:color w:val="auto"/>
        </w:rPr>
      </w:pPr>
    </w:p>
    <w:p>
      <w:pPr>
        <w:ind w:left="1300" w:right="20" w:hanging="320"/>
        <w:spacing w:after="0" w:line="266" w:lineRule="auto"/>
        <w:tabs>
          <w:tab w:leader="none" w:pos="13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held in escrow until the first anniversary of the sale, at which time any amount not distributed or reserved for specified claims will be released to the Company. This amount is included in other current assets in the accompanying condensed consolidated balance sheet at May 28, 2022.</w:t>
      </w:r>
    </w:p>
    <w:p>
      <w:pPr>
        <w:spacing w:after="0" w:line="175" w:lineRule="exact"/>
        <w:rPr>
          <w:rFonts w:ascii="Times New Roman" w:cs="Times New Roman" w:eastAsia="Times New Roman" w:hAnsi="Times New Roman"/>
          <w:sz w:val="18"/>
          <w:szCs w:val="18"/>
          <w:color w:val="auto"/>
        </w:rPr>
      </w:pPr>
    </w:p>
    <w:p>
      <w:pPr>
        <w:ind w:left="1300" w:right="120" w:hanging="320"/>
        <w:spacing w:after="0" w:line="282" w:lineRule="auto"/>
        <w:tabs>
          <w:tab w:leader="none" w:pos="13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Included in cash flows from investing activities in the accompanying condensed consolidated statement of cash flows for the six months ended May 28, 2022.</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sales price is subject to a customary post-closing working capital adjustment which will be paid during the third quarter of fiscal 2022. Including the estimated effect of the working capital adjustment, we recognized a pre-tax gain from the sale of Zenith of $53,254.</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operations of our logistical services segment, which consisted entirely of the operations of Zenith, are presented in the accompanying condensed consolidated statements of income as discontinued operations, and the assets sold to and liabilities assumed by J.B. Hunt are presented in the accompanying condensed consolidated balance sheet as assets and liabilities of discontinued operations held for sale as of November 27, 2021.</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Page 15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15" w:name="page16"/>
    <w:bookmarkEnd w:id="15"/>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major classes of assets and liabilities of the discontinued operations held for sale as reported in the condensed consolidated balance sheet as of November 27, 2021:</w:t>
      </w:r>
    </w:p>
    <w:p>
      <w:pPr>
        <w:sectPr>
          <w:pgSz w:w="11900" w:h="16838" w:orient="portrait"/>
          <w:cols w:equalWidth="0" w:num="1">
            <w:col w:w="11240"/>
          </w:cols>
          <w:pgMar w:left="320" w:top="580" w:right="339" w:bottom="1440" w:gutter="0" w:footer="0" w:header="0"/>
        </w:sectPr>
      </w:pPr>
    </w:p>
    <w:p>
      <w:pPr>
        <w:spacing w:after="0" w:line="3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Carrying amounts of major classes of assets included as part of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6412230" cy="1371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Accounts receivable,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641223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ind w:left="340"/>
        <w:spacing w:after="0"/>
        <w:rPr>
          <w:sz w:val="20"/>
          <w:szCs w:val="20"/>
          <w:color w:val="auto"/>
        </w:rPr>
      </w:pPr>
      <w:r>
        <w:rPr>
          <w:rFonts w:ascii="Times New Roman" w:cs="Times New Roman" w:eastAsia="Times New Roman" w:hAnsi="Times New Roman"/>
          <w:sz w:val="18"/>
          <w:szCs w:val="18"/>
          <w:color w:val="auto"/>
        </w:rPr>
        <w:t>Other current assets</w:t>
      </w:r>
    </w:p>
    <w:p>
      <w:pPr>
        <w:spacing w:after="0" w:line="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Property and equipment,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6412230" cy="1371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ind w:left="340"/>
        <w:spacing w:after="0"/>
        <w:rPr>
          <w:sz w:val="20"/>
          <w:szCs w:val="20"/>
          <w:color w:val="auto"/>
        </w:rPr>
      </w:pPr>
      <w:r>
        <w:rPr>
          <w:rFonts w:ascii="Times New Roman" w:cs="Times New Roman" w:eastAsia="Times New Roman" w:hAnsi="Times New Roman"/>
          <w:sz w:val="18"/>
          <w:szCs w:val="18"/>
          <w:color w:val="auto"/>
        </w:rPr>
        <w:t>Goodwill and other intangible assets</w:t>
      </w:r>
    </w:p>
    <w:p>
      <w:pPr>
        <w:spacing w:after="0" w:line="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Right of use assets under operating leases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6412230" cy="1460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412230" cy="146050"/>
                    </a:xfrm>
                    <a:prstGeom prst="rect">
                      <a:avLst/>
                    </a:prstGeom>
                    <a:noFill/>
                  </pic:spPr>
                </pic:pic>
              </a:graphicData>
            </a:graphic>
          </wp:anchor>
        </w:drawing>
      </w:r>
    </w:p>
    <w:p>
      <w:pPr>
        <w:ind w:left="340"/>
        <w:spacing w:after="0"/>
        <w:rPr>
          <w:sz w:val="20"/>
          <w:szCs w:val="20"/>
          <w:color w:val="auto"/>
        </w:rPr>
      </w:pPr>
      <w:r>
        <w:rPr>
          <w:rFonts w:ascii="Times New Roman" w:cs="Times New Roman" w:eastAsia="Times New Roman" w:hAnsi="Times New Roman"/>
          <w:sz w:val="18"/>
          <w:szCs w:val="18"/>
          <w:color w:val="auto"/>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6412230" cy="1371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Balance sheet classification: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6412230" cy="1371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Current assets of discontinued operations held for sale</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Long-term assets of discontinued operations held for sale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6412230" cy="1631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412230" cy="163195"/>
                    </a:xfrm>
                    <a:prstGeom prst="rect">
                      <a:avLst/>
                    </a:prstGeom>
                    <a:noFill/>
                  </pic:spPr>
                </pic:pic>
              </a:graphicData>
            </a:graphic>
          </wp:anchor>
        </w:drawing>
      </w:r>
    </w:p>
    <w:p>
      <w:pPr>
        <w:spacing w:after="0" w:line="2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Total assets of discontinued operations held for sale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Carrying amounts of major classes of liabilities included as part of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6412230" cy="1371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Accounts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6412230" cy="1371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ind w:left="340"/>
        <w:spacing w:after="0"/>
        <w:rPr>
          <w:sz w:val="20"/>
          <w:szCs w:val="20"/>
          <w:color w:val="auto"/>
        </w:rPr>
      </w:pPr>
      <w:r>
        <w:rPr>
          <w:rFonts w:ascii="Times New Roman" w:cs="Times New Roman" w:eastAsia="Times New Roman" w:hAnsi="Times New Roman"/>
          <w:sz w:val="18"/>
          <w:szCs w:val="18"/>
          <w:color w:val="auto"/>
        </w:rPr>
        <w:t>Accrued compensation and benefits</w:t>
      </w:r>
    </w:p>
    <w:p>
      <w:pPr>
        <w:spacing w:after="0" w:line="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Current portion operating lease obligations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6412230" cy="137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ind w:left="340"/>
        <w:spacing w:after="0"/>
        <w:rPr>
          <w:sz w:val="20"/>
          <w:szCs w:val="20"/>
          <w:color w:val="auto"/>
        </w:rPr>
      </w:pPr>
      <w:r>
        <w:rPr>
          <w:rFonts w:ascii="Times New Roman" w:cs="Times New Roman" w:eastAsia="Times New Roman" w:hAnsi="Times New Roman"/>
          <w:sz w:val="18"/>
          <w:szCs w:val="18"/>
          <w:color w:val="auto"/>
        </w:rPr>
        <w:t>Other current liabilites and accrued expenses</w:t>
      </w:r>
    </w:p>
    <w:p>
      <w:pPr>
        <w:spacing w:after="0" w:line="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Long-term portion of operating lease obligations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6412230" cy="1460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412230" cy="146050"/>
                    </a:xfrm>
                    <a:prstGeom prst="rect">
                      <a:avLst/>
                    </a:prstGeom>
                    <a:noFill/>
                  </pic:spPr>
                </pic:pic>
              </a:graphicData>
            </a:graphic>
          </wp:anchor>
        </w:drawing>
      </w:r>
    </w:p>
    <w:p>
      <w:pPr>
        <w:ind w:left="500"/>
        <w:spacing w:after="0"/>
        <w:rPr>
          <w:sz w:val="20"/>
          <w:szCs w:val="20"/>
          <w:color w:val="auto"/>
        </w:rPr>
      </w:pPr>
      <w:r>
        <w:rPr>
          <w:rFonts w:ascii="Times New Roman" w:cs="Times New Roman" w:eastAsia="Times New Roman" w:hAnsi="Times New Roman"/>
          <w:sz w:val="18"/>
          <w:szCs w:val="18"/>
          <w:color w:val="auto"/>
        </w:rPr>
        <w:t>Other long-term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6412230" cy="13716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Balance sheet classification: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6412230" cy="1371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412230" cy="137160"/>
                    </a:xfrm>
                    <a:prstGeom prst="rect">
                      <a:avLst/>
                    </a:prstGeom>
                    <a:noFill/>
                  </pic:spPr>
                </pic:pic>
              </a:graphicData>
            </a:graphic>
          </wp:anchor>
        </w:drawing>
      </w:r>
    </w:p>
    <w:p>
      <w:pPr>
        <w:spacing w:after="0" w:line="7" w:lineRule="exact"/>
        <w:rPr>
          <w:sz w:val="20"/>
          <w:szCs w:val="20"/>
          <w:color w:val="auto"/>
        </w:rPr>
      </w:pPr>
    </w:p>
    <w:p>
      <w:pPr>
        <w:ind w:left="180" w:right="3253"/>
        <w:spacing w:after="0" w:line="287" w:lineRule="auto"/>
        <w:rPr>
          <w:sz w:val="20"/>
          <w:szCs w:val="20"/>
          <w:color w:val="auto"/>
        </w:rPr>
      </w:pPr>
      <w:r>
        <w:rPr>
          <w:rFonts w:ascii="Times New Roman" w:cs="Times New Roman" w:eastAsia="Times New Roman" w:hAnsi="Times New Roman"/>
          <w:sz w:val="17"/>
          <w:szCs w:val="17"/>
          <w:color w:val="auto"/>
        </w:rPr>
        <w:t>Current liabilities of discontinued operations held for sale Long-term liabilities of discontinued operations held for sale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6412230" cy="16319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412230" cy="163195"/>
                    </a:xfrm>
                    <a:prstGeom prst="rect">
                      <a:avLst/>
                    </a:prstGeom>
                    <a:noFill/>
                  </pic:spPr>
                </pic:pic>
              </a:graphicData>
            </a:graphic>
          </wp:anchor>
        </w:drawing>
      </w:r>
    </w:p>
    <w:p>
      <w:pPr>
        <w:ind w:left="180"/>
        <w:spacing w:after="0"/>
        <w:rPr>
          <w:sz w:val="20"/>
          <w:szCs w:val="20"/>
          <w:color w:val="auto"/>
        </w:rPr>
      </w:pPr>
      <w:r>
        <w:rPr>
          <w:rFonts w:ascii="Times New Roman" w:cs="Times New Roman" w:eastAsia="Times New Roman" w:hAnsi="Times New Roman"/>
          <w:sz w:val="18"/>
          <w:szCs w:val="18"/>
          <w:color w:val="auto"/>
        </w:rPr>
        <w:t>Total liabilities of discontinued operations held for sale</w:t>
      </w:r>
    </w:p>
    <w:p>
      <w:pPr>
        <w:spacing w:after="0" w:line="20" w:lineRule="exact"/>
        <w:rPr>
          <w:sz w:val="20"/>
          <w:szCs w:val="20"/>
          <w:color w:val="auto"/>
        </w:rPr>
      </w:pPr>
      <w:r>
        <w:rPr>
          <w:sz w:val="20"/>
          <w:szCs w:val="20"/>
          <w:color w:val="auto"/>
        </w:rPr>
        <w:br w:type="column"/>
      </w:r>
    </w:p>
    <w:p>
      <w:pPr>
        <w:spacing w:after="0" w:line="138" w:lineRule="exact"/>
        <w:rPr>
          <w:sz w:val="20"/>
          <w:szCs w:val="20"/>
          <w:color w:val="auto"/>
        </w:rPr>
      </w:pPr>
    </w:p>
    <w:p>
      <w:pPr>
        <w:ind w:left="7"/>
        <w:spacing w:after="0"/>
        <w:rPr>
          <w:sz w:val="20"/>
          <w:szCs w:val="20"/>
          <w:color w:val="auto"/>
        </w:rPr>
      </w:pPr>
      <w:r>
        <w:rPr>
          <w:rFonts w:ascii="Times New Roman" w:cs="Times New Roman" w:eastAsia="Times New Roman" w:hAnsi="Times New Roman"/>
          <w:sz w:val="18"/>
          <w:szCs w:val="18"/>
          <w:b w:val="1"/>
          <w:bCs w:val="1"/>
          <w:u w:val="single" w:color="auto"/>
          <w:color w:val="auto"/>
        </w:rPr>
        <w:t>November 27, 2021</w:t>
      </w:r>
    </w:p>
    <w:p>
      <w:pPr>
        <w:spacing w:after="0" w:line="243" w:lineRule="exact"/>
        <w:rPr>
          <w:sz w:val="20"/>
          <w:szCs w:val="20"/>
          <w:color w:val="auto"/>
        </w:rPr>
      </w:pPr>
    </w:p>
    <w:p>
      <w:pPr>
        <w:ind w:left="1087" w:hanging="1087"/>
        <w:spacing w:after="0"/>
        <w:tabs>
          <w:tab w:leader="none" w:pos="1087"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7,601</w:t>
      </w:r>
    </w:p>
    <w:p>
      <w:pPr>
        <w:spacing w:after="0" w:line="27" w:lineRule="exact"/>
        <w:rPr>
          <w:rFonts w:ascii="Times New Roman" w:cs="Times New Roman" w:eastAsia="Times New Roman" w:hAnsi="Times New Roman"/>
          <w:sz w:val="18"/>
          <w:szCs w:val="18"/>
          <w:color w:val="auto"/>
        </w:rPr>
      </w:pPr>
    </w:p>
    <w:p>
      <w:pPr>
        <w:ind w:left="1087"/>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3,463</w:t>
      </w:r>
    </w:p>
    <w:p>
      <w:pPr>
        <w:spacing w:after="0" w:line="9" w:lineRule="exact"/>
        <w:rPr>
          <w:sz w:val="20"/>
          <w:szCs w:val="20"/>
          <w:color w:val="auto"/>
        </w:rPr>
      </w:pPr>
    </w:p>
    <w:p>
      <w:pPr>
        <w:jc w:val="right"/>
        <w:ind w:right="1220"/>
        <w:spacing w:after="0"/>
        <w:rPr>
          <w:sz w:val="20"/>
          <w:szCs w:val="20"/>
          <w:color w:val="auto"/>
        </w:rPr>
      </w:pPr>
      <w:r>
        <w:rPr>
          <w:rFonts w:ascii="Times New Roman" w:cs="Times New Roman" w:eastAsia="Times New Roman" w:hAnsi="Times New Roman"/>
          <w:sz w:val="18"/>
          <w:szCs w:val="18"/>
          <w:color w:val="auto"/>
        </w:rPr>
        <w:t>24,898</w:t>
      </w:r>
    </w:p>
    <w:p>
      <w:pPr>
        <w:spacing w:after="0" w:line="9" w:lineRule="exact"/>
        <w:rPr>
          <w:sz w:val="20"/>
          <w:szCs w:val="20"/>
          <w:color w:val="auto"/>
        </w:rPr>
      </w:pPr>
    </w:p>
    <w:p>
      <w:pPr>
        <w:jc w:val="right"/>
        <w:ind w:right="1220"/>
        <w:spacing w:after="0"/>
        <w:rPr>
          <w:sz w:val="20"/>
          <w:szCs w:val="20"/>
          <w:color w:val="auto"/>
        </w:rPr>
      </w:pPr>
      <w:r>
        <w:rPr>
          <w:rFonts w:ascii="Times New Roman" w:cs="Times New Roman" w:eastAsia="Times New Roman" w:hAnsi="Times New Roman"/>
          <w:sz w:val="18"/>
          <w:szCs w:val="18"/>
          <w:color w:val="auto"/>
        </w:rPr>
        <w:t>9,094</w:t>
      </w:r>
    </w:p>
    <w:p>
      <w:pPr>
        <w:spacing w:after="0" w:line="9" w:lineRule="exact"/>
        <w:rPr>
          <w:sz w:val="20"/>
          <w:szCs w:val="20"/>
          <w:color w:val="auto"/>
        </w:rPr>
      </w:pPr>
    </w:p>
    <w:p>
      <w:pPr>
        <w:jc w:val="right"/>
        <w:ind w:right="1220"/>
        <w:spacing w:after="0"/>
        <w:rPr>
          <w:sz w:val="20"/>
          <w:szCs w:val="20"/>
          <w:color w:val="auto"/>
        </w:rPr>
      </w:pPr>
      <w:r>
        <w:rPr>
          <w:rFonts w:ascii="Times New Roman" w:cs="Times New Roman" w:eastAsia="Times New Roman" w:hAnsi="Times New Roman"/>
          <w:sz w:val="18"/>
          <w:szCs w:val="18"/>
          <w:color w:val="auto"/>
        </w:rPr>
        <w:t>18,193</w:t>
      </w:r>
    </w:p>
    <w:p>
      <w:pPr>
        <w:spacing w:after="0" w:line="9" w:lineRule="exact"/>
        <w:rPr>
          <w:sz w:val="20"/>
          <w:szCs w:val="20"/>
          <w:color w:val="auto"/>
        </w:rPr>
      </w:pPr>
    </w:p>
    <w:p>
      <w:pPr>
        <w:jc w:val="right"/>
        <w:ind w:right="1220"/>
        <w:spacing w:after="0"/>
        <w:rPr>
          <w:sz w:val="20"/>
          <w:szCs w:val="20"/>
          <w:color w:val="auto"/>
        </w:rPr>
      </w:pPr>
      <w:r>
        <w:rPr>
          <w:rFonts w:ascii="Times New Roman" w:cs="Times New Roman" w:eastAsia="Times New Roman" w:hAnsi="Times New Roman"/>
          <w:sz w:val="18"/>
          <w:szCs w:val="18"/>
          <w:color w:val="auto"/>
        </w:rPr>
        <w:t>572</w:t>
      </w:r>
    </w:p>
    <w:p>
      <w:pPr>
        <w:spacing w:after="0" w:line="9" w:lineRule="exact"/>
        <w:rPr>
          <w:sz w:val="20"/>
          <w:szCs w:val="20"/>
          <w:color w:val="auto"/>
        </w:rPr>
      </w:pPr>
    </w:p>
    <w:p>
      <w:pPr>
        <w:ind w:left="1007" w:hanging="1007"/>
        <w:spacing w:after="0"/>
        <w:tabs>
          <w:tab w:leader="none" w:pos="1007"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63,821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95123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95123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31750</wp:posOffset>
            </wp:positionV>
            <wp:extent cx="95123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951230" cy="8890"/>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ind w:left="1007" w:hanging="1007"/>
        <w:spacing w:after="0"/>
        <w:tabs>
          <w:tab w:leader="none" w:pos="1007"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11,064</w:t>
      </w:r>
    </w:p>
    <w:p>
      <w:pPr>
        <w:spacing w:after="0" w:line="27" w:lineRule="exact"/>
        <w:rPr>
          <w:rFonts w:ascii="Times New Roman" w:cs="Times New Roman" w:eastAsia="Times New Roman" w:hAnsi="Times New Roman"/>
          <w:sz w:val="18"/>
          <w:szCs w:val="18"/>
          <w:color w:val="auto"/>
        </w:rPr>
      </w:pPr>
    </w:p>
    <w:p>
      <w:pPr>
        <w:ind w:left="1007"/>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52,757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5715</wp:posOffset>
            </wp:positionV>
            <wp:extent cx="95123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951230" cy="8255"/>
                    </a:xfrm>
                    <a:prstGeom prst="rect">
                      <a:avLst/>
                    </a:prstGeom>
                    <a:noFill/>
                  </pic:spPr>
                </pic:pic>
              </a:graphicData>
            </a:graphic>
          </wp:anchor>
        </w:drawing>
      </w:r>
    </w:p>
    <w:p>
      <w:pPr>
        <w:ind w:left="1007" w:hanging="1007"/>
        <w:spacing w:after="0"/>
        <w:tabs>
          <w:tab w:leader="none" w:pos="1007"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63,821</w:t>
      </w:r>
    </w:p>
    <w:p>
      <w:pPr>
        <w:spacing w:after="0" w:line="200" w:lineRule="exact"/>
        <w:rPr>
          <w:sz w:val="20"/>
          <w:szCs w:val="20"/>
          <w:color w:val="auto"/>
        </w:rPr>
      </w:pPr>
    </w:p>
    <w:p>
      <w:pPr>
        <w:spacing w:after="0" w:line="277" w:lineRule="exact"/>
        <w:rPr>
          <w:sz w:val="20"/>
          <w:szCs w:val="20"/>
          <w:color w:val="auto"/>
        </w:rPr>
      </w:pPr>
    </w:p>
    <w:p>
      <w:pPr>
        <w:ind w:left="1087" w:hanging="1087"/>
        <w:spacing w:after="0"/>
        <w:tabs>
          <w:tab w:leader="none" w:pos="1087"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4,336</w:t>
      </w:r>
    </w:p>
    <w:p>
      <w:pPr>
        <w:spacing w:after="0" w:line="27" w:lineRule="exact"/>
        <w:rPr>
          <w:rFonts w:ascii="Times New Roman" w:cs="Times New Roman" w:eastAsia="Times New Roman" w:hAnsi="Times New Roman"/>
          <w:sz w:val="18"/>
          <w:szCs w:val="18"/>
          <w:color w:val="auto"/>
        </w:rPr>
      </w:pPr>
    </w:p>
    <w:p>
      <w:pPr>
        <w:ind w:left="1087"/>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3,295</w:t>
      </w:r>
    </w:p>
    <w:p>
      <w:pPr>
        <w:spacing w:after="0" w:line="9" w:lineRule="exact"/>
        <w:rPr>
          <w:rFonts w:ascii="Times New Roman" w:cs="Times New Roman" w:eastAsia="Times New Roman" w:hAnsi="Times New Roman"/>
          <w:sz w:val="18"/>
          <w:szCs w:val="18"/>
          <w:color w:val="auto"/>
        </w:rPr>
      </w:pPr>
    </w:p>
    <w:p>
      <w:pPr>
        <w:ind w:left="1087"/>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7,458</w:t>
      </w:r>
    </w:p>
    <w:p>
      <w:pPr>
        <w:spacing w:after="0" w:line="9" w:lineRule="exact"/>
        <w:rPr>
          <w:rFonts w:ascii="Times New Roman" w:cs="Times New Roman" w:eastAsia="Times New Roman" w:hAnsi="Times New Roman"/>
          <w:sz w:val="18"/>
          <w:szCs w:val="18"/>
          <w:color w:val="auto"/>
        </w:rPr>
      </w:pPr>
    </w:p>
    <w:p>
      <w:pPr>
        <w:ind w:left="1087"/>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1,006</w:t>
      </w:r>
    </w:p>
    <w:p>
      <w:pPr>
        <w:spacing w:after="0" w:line="9" w:lineRule="exact"/>
        <w:rPr>
          <w:sz w:val="20"/>
          <w:szCs w:val="20"/>
          <w:color w:val="auto"/>
        </w:rPr>
      </w:pPr>
    </w:p>
    <w:p>
      <w:pPr>
        <w:jc w:val="right"/>
        <w:ind w:right="1220"/>
        <w:spacing w:after="0"/>
        <w:rPr>
          <w:sz w:val="20"/>
          <w:szCs w:val="20"/>
          <w:color w:val="auto"/>
        </w:rPr>
      </w:pPr>
      <w:r>
        <w:rPr>
          <w:rFonts w:ascii="Times New Roman" w:cs="Times New Roman" w:eastAsia="Times New Roman" w:hAnsi="Times New Roman"/>
          <w:sz w:val="18"/>
          <w:szCs w:val="18"/>
          <w:color w:val="auto"/>
        </w:rPr>
        <w:t>10,996</w:t>
      </w:r>
    </w:p>
    <w:p>
      <w:pPr>
        <w:spacing w:after="0" w:line="9" w:lineRule="exact"/>
        <w:rPr>
          <w:sz w:val="20"/>
          <w:szCs w:val="20"/>
          <w:color w:val="auto"/>
        </w:rPr>
      </w:pPr>
    </w:p>
    <w:p>
      <w:pPr>
        <w:jc w:val="right"/>
        <w:ind w:right="1220"/>
        <w:spacing w:after="0"/>
        <w:rPr>
          <w:sz w:val="20"/>
          <w:szCs w:val="20"/>
          <w:color w:val="auto"/>
        </w:rPr>
      </w:pPr>
      <w:r>
        <w:rPr>
          <w:rFonts w:ascii="Times New Roman" w:cs="Times New Roman" w:eastAsia="Times New Roman" w:hAnsi="Times New Roman"/>
          <w:sz w:val="18"/>
          <w:szCs w:val="18"/>
          <w:color w:val="auto"/>
        </w:rPr>
        <w:t>5,214</w:t>
      </w:r>
    </w:p>
    <w:p>
      <w:pPr>
        <w:spacing w:after="0" w:line="9" w:lineRule="exact"/>
        <w:rPr>
          <w:sz w:val="20"/>
          <w:szCs w:val="20"/>
          <w:color w:val="auto"/>
        </w:rPr>
      </w:pPr>
    </w:p>
    <w:p>
      <w:pPr>
        <w:ind w:left="1007" w:hanging="1007"/>
        <w:spacing w:after="0"/>
        <w:tabs>
          <w:tab w:leader="none" w:pos="1007"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32,305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95123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95123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31750</wp:posOffset>
            </wp:positionV>
            <wp:extent cx="95123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951230" cy="825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ind w:left="1007" w:hanging="1007"/>
        <w:spacing w:after="0"/>
        <w:tabs>
          <w:tab w:leader="none" w:pos="1007"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16,095</w:t>
      </w:r>
    </w:p>
    <w:p>
      <w:pPr>
        <w:spacing w:after="0" w:line="27" w:lineRule="exact"/>
        <w:rPr>
          <w:rFonts w:ascii="Times New Roman" w:cs="Times New Roman" w:eastAsia="Times New Roman" w:hAnsi="Times New Roman"/>
          <w:sz w:val="18"/>
          <w:szCs w:val="18"/>
          <w:color w:val="auto"/>
        </w:rPr>
      </w:pPr>
    </w:p>
    <w:p>
      <w:pPr>
        <w:ind w:left="1007"/>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16,210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5715</wp:posOffset>
            </wp:positionV>
            <wp:extent cx="95123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951230" cy="8255"/>
                    </a:xfrm>
                    <a:prstGeom prst="rect">
                      <a:avLst/>
                    </a:prstGeom>
                    <a:noFill/>
                  </pic:spPr>
                </pic:pic>
              </a:graphicData>
            </a:graphic>
          </wp:anchor>
        </w:drawing>
      </w:r>
    </w:p>
    <w:p>
      <w:pPr>
        <w:ind w:left="1007" w:hanging="1007"/>
        <w:spacing w:after="0"/>
        <w:tabs>
          <w:tab w:leader="none" w:pos="1007"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32,305</w:t>
      </w:r>
    </w:p>
    <w:p>
      <w:pPr>
        <w:spacing w:after="0" w:line="235" w:lineRule="exact"/>
        <w:rPr>
          <w:sz w:val="20"/>
          <w:szCs w:val="20"/>
          <w:color w:val="auto"/>
        </w:rPr>
      </w:pPr>
    </w:p>
    <w:p>
      <w:pPr>
        <w:sectPr>
          <w:pgSz w:w="11900" w:h="16838" w:orient="portrait"/>
          <w:cols w:equalWidth="0" w:num="2">
            <w:col w:w="7793" w:space="720"/>
            <w:col w:w="2727"/>
          </w:cols>
          <w:pgMar w:left="320" w:top="580" w:right="339" w:bottom="1440" w:gutter="0" w:footer="0" w:header="0"/>
          <w:type w:val="continuous"/>
        </w:sectPr>
      </w:pPr>
    </w:p>
    <w:p>
      <w:pPr>
        <w:spacing w:after="0" w:line="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Following the sale of Zenith, certain of Zenith’s liabilities primarily representing reserves and accrued liabilities for pre-disposal workers’ compensation, health insurance, auto liability claims and certain accrued compensation and benefits were retained by Bassett. These reserves and accruals total $1,390 at May 28, 2022 and are included in other current liabilities and accrued expenses in the accompanying condensed consolidated balance sheet.</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Page 16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16" w:name="page17"/>
    <w:bookmarkEnd w:id="1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major classes of line items constituting income of the discontinued operations, as reported in the condensed consolidated statements of income for the three and six months ended May 28, 2022 and May 29, 2021:</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0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56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5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09"/>
        </w:trPr>
        <w:tc>
          <w:tcPr>
            <w:tcW w:w="6060" w:type="dxa"/>
            <w:vAlign w:val="bottom"/>
          </w:tcPr>
          <w:p>
            <w:pPr>
              <w:spacing w:after="0"/>
              <w:rPr>
                <w:sz w:val="18"/>
                <w:szCs w:val="18"/>
                <w:color w:val="auto"/>
              </w:rPr>
            </w:pPr>
          </w:p>
        </w:tc>
        <w:tc>
          <w:tcPr>
            <w:tcW w:w="132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1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220" w:type="dxa"/>
            <w:vAlign w:val="bottom"/>
          </w:tcPr>
          <w:p>
            <w:pPr>
              <w:spacing w:after="0"/>
              <w:rPr>
                <w:sz w:val="18"/>
                <w:szCs w:val="18"/>
                <w:color w:val="auto"/>
              </w:rPr>
            </w:pPr>
          </w:p>
        </w:tc>
        <w:tc>
          <w:tcPr>
            <w:tcW w:w="132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00" w:type="dxa"/>
            <w:vAlign w:val="bottom"/>
          </w:tcPr>
          <w:p>
            <w:pPr>
              <w:spacing w:after="0"/>
              <w:rPr>
                <w:sz w:val="18"/>
                <w:szCs w:val="18"/>
                <w:color w:val="auto"/>
              </w:rPr>
            </w:pPr>
          </w:p>
        </w:tc>
      </w:tr>
      <w:tr>
        <w:trPr>
          <w:trHeight w:val="210"/>
        </w:trPr>
        <w:tc>
          <w:tcPr>
            <w:tcW w:w="6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Major line items constituting pretax income of discontinued operations:</w:t>
            </w:r>
          </w:p>
        </w:tc>
        <w:tc>
          <w:tcPr>
            <w:tcW w:w="34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0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Logistical services revenue</w:t>
            </w:r>
          </w:p>
        </w:tc>
        <w:tc>
          <w:tcPr>
            <w:tcW w:w="340" w:type="dxa"/>
            <w:vAlign w:val="bottom"/>
          </w:tcPr>
          <w:p>
            <w:pPr>
              <w:jc w:val="right"/>
              <w:ind w:right="174"/>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jc w:val="right"/>
              <w:ind w:right="374"/>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14,062</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16,776</w:t>
            </w:r>
          </w:p>
        </w:tc>
        <w:tc>
          <w:tcPr>
            <w:tcW w:w="62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96"/>
              </w:rPr>
              <w:t>26,080</w:t>
            </w:r>
          </w:p>
        </w:tc>
      </w:tr>
      <w:tr>
        <w:trPr>
          <w:trHeight w:val="216"/>
        </w:trPr>
        <w:tc>
          <w:tcPr>
            <w:tcW w:w="60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Cost of logistical services</w:t>
            </w:r>
          </w:p>
        </w:tc>
        <w:tc>
          <w:tcPr>
            <w:tcW w:w="3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12,768</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15,001</w:t>
            </w:r>
          </w:p>
        </w:tc>
        <w:tc>
          <w:tcPr>
            <w:tcW w:w="6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6"/>
              </w:rPr>
              <w:t>24,327</w:t>
            </w:r>
          </w:p>
        </w:tc>
      </w:tr>
      <w:tr>
        <w:trPr>
          <w:trHeight w:val="216"/>
        </w:trPr>
        <w:tc>
          <w:tcPr>
            <w:tcW w:w="60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Other loss, net</w:t>
            </w:r>
          </w:p>
        </w:tc>
        <w:tc>
          <w:tcPr>
            <w:tcW w:w="34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(72)</w:t>
            </w:r>
          </w:p>
        </w:tc>
        <w:tc>
          <w:tcPr>
            <w:tcW w:w="3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(63)</w:t>
            </w:r>
          </w:p>
        </w:tc>
        <w:tc>
          <w:tcPr>
            <w:tcW w:w="62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(109)</w:t>
            </w:r>
          </w:p>
        </w:tc>
      </w:tr>
      <w:tr>
        <w:trPr>
          <w:trHeight w:val="210"/>
        </w:trPr>
        <w:tc>
          <w:tcPr>
            <w:tcW w:w="606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060" w:type="dxa"/>
            <w:vAlign w:val="bottom"/>
          </w:tcPr>
          <w:p>
            <w:pPr>
              <w:spacing w:after="0"/>
              <w:rPr>
                <w:sz w:val="20"/>
                <w:szCs w:val="20"/>
                <w:color w:val="auto"/>
              </w:rPr>
            </w:pPr>
            <w:r>
              <w:rPr>
                <w:rFonts w:ascii="Times New Roman" w:cs="Times New Roman" w:eastAsia="Times New Roman" w:hAnsi="Times New Roman"/>
                <w:sz w:val="18"/>
                <w:szCs w:val="18"/>
                <w:color w:val="auto"/>
              </w:rPr>
              <w:t>Income from operations of logistical services</w:t>
            </w:r>
          </w:p>
        </w:tc>
        <w:tc>
          <w:tcPr>
            <w:tcW w:w="34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1,222</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1,712</w:t>
            </w:r>
          </w:p>
        </w:tc>
        <w:tc>
          <w:tcPr>
            <w:tcW w:w="62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1,644</w:t>
            </w:r>
          </w:p>
        </w:tc>
      </w:tr>
      <w:tr>
        <w:trPr>
          <w:trHeight w:val="216"/>
        </w:trPr>
        <w:tc>
          <w:tcPr>
            <w:tcW w:w="6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Gain on disposal</w:t>
            </w:r>
          </w:p>
        </w:tc>
        <w:tc>
          <w:tcPr>
            <w:tcW w:w="3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53,254</w:t>
            </w:r>
          </w:p>
        </w:tc>
        <w:tc>
          <w:tcPr>
            <w:tcW w:w="5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53,254</w:t>
            </w:r>
          </w:p>
        </w:tc>
        <w:tc>
          <w:tcPr>
            <w:tcW w:w="6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606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6060" w:type="dxa"/>
            <w:vAlign w:val="bottom"/>
          </w:tcPr>
          <w:p>
            <w:pPr>
              <w:spacing w:after="0"/>
              <w:rPr>
                <w:sz w:val="20"/>
                <w:szCs w:val="20"/>
                <w:color w:val="auto"/>
              </w:rPr>
            </w:pPr>
            <w:r>
              <w:rPr>
                <w:rFonts w:ascii="Times New Roman" w:cs="Times New Roman" w:eastAsia="Times New Roman" w:hAnsi="Times New Roman"/>
                <w:sz w:val="18"/>
                <w:szCs w:val="18"/>
                <w:color w:val="auto"/>
              </w:rPr>
              <w:t>Pretax income of discontinued operations</w:t>
            </w:r>
          </w:p>
        </w:tc>
        <w:tc>
          <w:tcPr>
            <w:tcW w:w="34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53,254</w:t>
            </w:r>
          </w:p>
        </w:tc>
        <w:tc>
          <w:tcPr>
            <w:tcW w:w="54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1,222</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54,966</w:t>
            </w:r>
          </w:p>
        </w:tc>
        <w:tc>
          <w:tcPr>
            <w:tcW w:w="62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1,644</w:t>
            </w:r>
          </w:p>
        </w:tc>
      </w:tr>
      <w:tr>
        <w:trPr>
          <w:trHeight w:val="216"/>
        </w:trPr>
        <w:tc>
          <w:tcPr>
            <w:tcW w:w="6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tax expense</w:t>
            </w:r>
          </w:p>
        </w:tc>
        <w:tc>
          <w:tcPr>
            <w:tcW w:w="3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13,879</w:t>
            </w:r>
          </w:p>
        </w:tc>
        <w:tc>
          <w:tcPr>
            <w:tcW w:w="5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325</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14,309</w:t>
            </w:r>
          </w:p>
        </w:tc>
        <w:tc>
          <w:tcPr>
            <w:tcW w:w="6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433</w:t>
            </w:r>
          </w:p>
        </w:tc>
      </w:tr>
      <w:tr>
        <w:trPr>
          <w:trHeight w:val="209"/>
        </w:trPr>
        <w:tc>
          <w:tcPr>
            <w:tcW w:w="606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36"/>
        </w:trPr>
        <w:tc>
          <w:tcPr>
            <w:tcW w:w="6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discontinued operations, net of tax</w:t>
            </w:r>
          </w:p>
        </w:tc>
        <w:tc>
          <w:tcPr>
            <w:tcW w:w="340" w:type="dxa"/>
            <w:vAlign w:val="bottom"/>
            <w:shd w:val="clear" w:color="auto" w:fill="CCEEFF"/>
          </w:tcPr>
          <w:p>
            <w:pPr>
              <w:jc w:val="right"/>
              <w:ind w:right="174"/>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39,375</w:t>
            </w:r>
          </w:p>
        </w:tc>
        <w:tc>
          <w:tcPr>
            <w:tcW w:w="540" w:type="dxa"/>
            <w:vAlign w:val="bottom"/>
            <w:shd w:val="clear" w:color="auto" w:fill="CCEEFF"/>
          </w:tcPr>
          <w:p>
            <w:pPr>
              <w:jc w:val="right"/>
              <w:ind w:right="374"/>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897</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40,657</w:t>
            </w:r>
          </w:p>
        </w:tc>
        <w:tc>
          <w:tcPr>
            <w:tcW w:w="620" w:type="dxa"/>
            <w:vAlign w:val="bottom"/>
            <w:shd w:val="clear" w:color="auto" w:fill="CCEEFF"/>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1,211</w:t>
            </w:r>
          </w:p>
        </w:tc>
      </w:tr>
      <w:tr>
        <w:trPr>
          <w:trHeight w:val="20"/>
        </w:trPr>
        <w:tc>
          <w:tcPr>
            <w:tcW w:w="60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amounts for revenue and costs of logistical services shown above represent the results of Zenith’s business transactions with third parties. Zenith also charged Bassett for logistical services provided to our wholesale segment in the amount of $9,121 during the six months ended May 28, 2022, and $8,182 and $16,245, respectively, for the three and six months ended May 29, 2021. We have entered into a service agreement with J.B. Hunt for the continuation of these services for a period of seven years following the sale of Zenith. Subsequent to the sale, we incurred $9,546 of expense during the three months ended May 28, 2022 for the performance of logistical services of which $7,893 had been paid in cash as of May 28, 2022.</w:t>
      </w:r>
    </w:p>
    <w:p>
      <w:pPr>
        <w:spacing w:after="0" w:line="183"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Included in other loss, net, is interest arising from finance leases assumed by J.B. Hunt as part of the transaction. Such interest amounted to $78 for the six months ended May 28, 2022, and $78 and $121, respectively, for the three and six months ended May 29, 2021.</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cash flows generated by discontinued operations during the six months ended May 28, 2022 and May 29, 2021:</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320" w:type="dxa"/>
            <w:vAlign w:val="bottom"/>
          </w:tcPr>
          <w:p>
            <w:pPr>
              <w:spacing w:after="0"/>
              <w:rPr>
                <w:sz w:val="20"/>
                <w:szCs w:val="20"/>
                <w:color w:val="auto"/>
              </w:rPr>
            </w:pPr>
          </w:p>
        </w:tc>
        <w:tc>
          <w:tcPr>
            <w:tcW w:w="44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140" w:type="dxa"/>
            <w:vAlign w:val="bottom"/>
            <w:gridSpan w:val="5"/>
          </w:tcPr>
          <w:p>
            <w:pPr>
              <w:jc w:val="right"/>
              <w:ind w:right="100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210"/>
        </w:trPr>
        <w:tc>
          <w:tcPr>
            <w:tcW w:w="232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200" w:type="dxa"/>
            <w:vAlign w:val="bottom"/>
            <w:tcBorders>
              <w:top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80" w:type="dxa"/>
            <w:vAlign w:val="bottom"/>
          </w:tcPr>
          <w:p>
            <w:pPr>
              <w:spacing w:after="0"/>
              <w:rPr>
                <w:sz w:val="18"/>
                <w:szCs w:val="18"/>
                <w:color w:val="auto"/>
              </w:rPr>
            </w:pPr>
          </w:p>
        </w:tc>
      </w:tr>
      <w:tr>
        <w:trPr>
          <w:trHeight w:val="210"/>
        </w:trPr>
        <w:tc>
          <w:tcPr>
            <w:tcW w:w="6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provided by operating activities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1,681</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3,646</w:t>
            </w:r>
          </w:p>
        </w:tc>
      </w:tr>
      <w:tr>
        <w:trPr>
          <w:trHeight w:val="216"/>
        </w:trPr>
        <w:tc>
          <w:tcPr>
            <w:tcW w:w="6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Cash used in investing activities</w:t>
            </w:r>
          </w:p>
        </w:tc>
        <w:tc>
          <w:tcPr>
            <w:tcW w:w="18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(81)</w:t>
            </w:r>
          </w:p>
        </w:tc>
        <w:tc>
          <w:tcPr>
            <w:tcW w:w="160" w:type="dxa"/>
            <w:vAlign w:val="bottom"/>
          </w:tcPr>
          <w:p>
            <w:pPr>
              <w:spacing w:after="0"/>
              <w:rPr>
                <w:sz w:val="18"/>
                <w:szCs w:val="18"/>
                <w:color w:val="auto"/>
              </w:rPr>
            </w:pPr>
          </w:p>
        </w:tc>
        <w:tc>
          <w:tcPr>
            <w:tcW w:w="14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(1,138)</w:t>
            </w:r>
          </w:p>
        </w:tc>
      </w:tr>
      <w:tr>
        <w:trPr>
          <w:trHeight w:val="216"/>
        </w:trPr>
        <w:tc>
          <w:tcPr>
            <w:tcW w:w="6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used in financing activities</w:t>
            </w:r>
          </w:p>
        </w:tc>
        <w:tc>
          <w:tcPr>
            <w:tcW w:w="1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(371)</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(467)</w:t>
            </w:r>
          </w:p>
        </w:tc>
      </w:tr>
      <w:tr>
        <w:trPr>
          <w:trHeight w:val="209"/>
        </w:trPr>
        <w:tc>
          <w:tcPr>
            <w:tcW w:w="2320" w:type="dxa"/>
            <w:vAlign w:val="bottom"/>
            <w:tcBorders>
              <w:top w:val="single" w:sz="8" w:color="CCEEFF"/>
            </w:tcBorders>
          </w:tcPr>
          <w:p>
            <w:pPr>
              <w:spacing w:after="0"/>
              <w:rPr>
                <w:sz w:val="18"/>
                <w:szCs w:val="18"/>
                <w:color w:val="auto"/>
              </w:rPr>
            </w:pPr>
          </w:p>
        </w:tc>
        <w:tc>
          <w:tcPr>
            <w:tcW w:w="446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56"/>
        </w:trPr>
        <w:tc>
          <w:tcPr>
            <w:tcW w:w="67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provided by discontinued operations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1,229</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2,041</w:t>
            </w:r>
          </w:p>
        </w:tc>
      </w:tr>
      <w:tr>
        <w:trPr>
          <w:trHeight w:val="372"/>
        </w:trPr>
        <w:tc>
          <w:tcPr>
            <w:tcW w:w="2320" w:type="dxa"/>
            <w:vAlign w:val="bottom"/>
            <w:tcBorders>
              <w:top w:val="single" w:sz="8" w:color="CCEEFF"/>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w w:val="99"/>
              </w:rPr>
              <w:t>Retail Real Estate Held for Sale</w:t>
            </w:r>
          </w:p>
        </w:tc>
        <w:tc>
          <w:tcPr>
            <w:tcW w:w="4460" w:type="dxa"/>
            <w:vAlign w:val="bottom"/>
            <w:tcBorders>
              <w:top w:val="single" w:sz="8" w:color="CCEEFF"/>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200" w:type="dxa"/>
            <w:vAlign w:val="bottom"/>
            <w:tcBorders>
              <w:top w:val="single" w:sz="8" w:color="CCEEFF"/>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r>
    </w:tbl>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During the second quarter of fiscal 2022, we entered into a contract to sell one of our Company-owned store locations in Houston, Texas for approximately $8,200 net of closing costs. Accordingly, the $3,623 carrying value of the real property at that location is classified as retail real estate held for sale in the accompanying condensed consolidated balance sheet as of May 28, 2022. The sale closed on June 24, 2022, and we expect to vacate the premises by the end of the third quarter of fiscal 2022. This store will be relocated to a new leased store in the Houston market that we expect to open during the second quarter of fiscal 2023.</w:t>
      </w:r>
    </w:p>
    <w:p>
      <w:pPr>
        <w:spacing w:after="0" w:line="18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This sale, together with our recent purchase of real property in Tampa, Florida for $7,668 in cash during the second quarter of fiscal 2022 will be treated as an exchange of like-kind property under Section 1031 of the Internal Revenue Code of 1986, as amended, for the purpose of deferring the majority of the taxable gain of approximately $4,800 arising from the sale of the Houston property. A VIE was established during the second quarter of fiscal 2022 for purposes of acquiring the Tampa, Florida property, of which the Company is the primary beneficiary by virtue of our control over the activities that most significantly impact the entity's economic performance. We plan to remodel the Tampa property and open as a Company-owned store in the second quarter of fiscal 2023.</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17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Segment Information</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We have strategically aligned our business into two reportable segments as defined in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and as described below:</w:t>
      </w:r>
    </w:p>
    <w:p>
      <w:pPr>
        <w:spacing w:after="0" w:line="223" w:lineRule="exact"/>
        <w:rPr>
          <w:sz w:val="20"/>
          <w:szCs w:val="20"/>
          <w:color w:val="auto"/>
        </w:rPr>
      </w:pPr>
    </w:p>
    <w:p>
      <w:pPr>
        <w:jc w:val="both"/>
        <w:ind w:left="660" w:hanging="328"/>
        <w:spacing w:after="0" w:line="257"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furniture products to a network of Bassett stores (Company-owned and licensee-owned retail stores) and independent furniture retailers. Our wholesale segment includes our wood and upholstery operations, which include Lane Venture,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loss, net, in our condensed consolidated statements of operations.</w:t>
      </w:r>
    </w:p>
    <w:p>
      <w:pPr>
        <w:spacing w:after="0" w:line="182" w:lineRule="exact"/>
        <w:rPr>
          <w:rFonts w:ascii="Times New Roman" w:cs="Times New Roman" w:eastAsia="Times New Roman" w:hAnsi="Times New Roman"/>
          <w:sz w:val="18"/>
          <w:szCs w:val="18"/>
          <w:color w:val="auto"/>
        </w:rPr>
      </w:pPr>
    </w:p>
    <w:p>
      <w:pPr>
        <w:jc w:val="both"/>
        <w:ind w:left="660" w:hanging="328"/>
        <w:spacing w:after="0" w:line="268"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Retail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Company-owned stores. </w:t>
      </w:r>
      <w:r>
        <w:rPr>
          <w:rFonts w:ascii="Times New Roman" w:cs="Times New Roman" w:eastAsia="Times New Roman" w:hAnsi="Times New Roman"/>
          <w:sz w:val="18"/>
          <w:szCs w:val="18"/>
          <w:color w:val="auto"/>
        </w:rPr>
        <w:t>Our retail segment consists of Company-owned stores and includes the revenues, expenses, assets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liabilities and capital expenditures directly related to these stores and the Company-owned distribution network utilized to deliver products to our retail customers.</w:t>
      </w:r>
    </w:p>
    <w:p>
      <w:pPr>
        <w:spacing w:after="0" w:line="1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Inter-company net sales elimination represents the elimination of wholesale sales to our Company-owned stores.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former logistical services segment which represented the operations of Zenith is now presented as a discontinued operation in the accompanying condensed consolidated balances sheets and statements of income (see Note 12).</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18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The following table presents our segment information:</w:t>
            </w:r>
          </w:p>
        </w:tc>
        <w:tc>
          <w:tcPr>
            <w:tcW w:w="3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9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5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40" w:type="dxa"/>
            <w:vAlign w:val="bottom"/>
            <w:gridSpan w:val="4"/>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209"/>
        </w:trPr>
        <w:tc>
          <w:tcPr>
            <w:tcW w:w="5980" w:type="dxa"/>
            <w:vAlign w:val="bottom"/>
          </w:tcPr>
          <w:p>
            <w:pPr>
              <w:spacing w:after="0"/>
              <w:rPr>
                <w:sz w:val="18"/>
                <w:szCs w:val="18"/>
                <w:color w:val="auto"/>
              </w:rPr>
            </w:pPr>
          </w:p>
        </w:tc>
        <w:tc>
          <w:tcPr>
            <w:tcW w:w="1280" w:type="dxa"/>
            <w:vAlign w:val="bottom"/>
            <w:tcBorders>
              <w:top w:val="single" w:sz="8" w:color="auto"/>
              <w:bottom w:val="single" w:sz="8" w:color="auto"/>
            </w:tcBorders>
            <w:gridSpan w:val="2"/>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2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200" w:type="dxa"/>
            <w:vAlign w:val="bottom"/>
          </w:tcPr>
          <w:p>
            <w:pPr>
              <w:spacing w:after="0"/>
              <w:rPr>
                <w:sz w:val="18"/>
                <w:szCs w:val="18"/>
                <w:color w:val="auto"/>
              </w:rPr>
            </w:pPr>
          </w:p>
        </w:tc>
        <w:tc>
          <w:tcPr>
            <w:tcW w:w="1240" w:type="dxa"/>
            <w:vAlign w:val="bottom"/>
            <w:tcBorders>
              <w:top w:val="single" w:sz="8" w:color="auto"/>
              <w:bottom w:val="single" w:sz="8" w:color="auto"/>
            </w:tcBorders>
            <w:gridSpan w:val="2"/>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20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00" w:type="dxa"/>
            <w:vAlign w:val="bottom"/>
          </w:tcPr>
          <w:p>
            <w:pPr>
              <w:spacing w:after="0"/>
              <w:rPr>
                <w:sz w:val="18"/>
                <w:szCs w:val="18"/>
                <w:color w:val="auto"/>
              </w:rPr>
            </w:pPr>
          </w:p>
        </w:tc>
      </w:tr>
      <w:tr>
        <w:trPr>
          <w:trHeight w:val="210"/>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Sales Revenue</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Wholesale sales of furniture and accessories</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87,501</w:t>
            </w:r>
          </w:p>
        </w:tc>
        <w:tc>
          <w:tcPr>
            <w:tcW w:w="60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76,034</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170,986</w:t>
            </w:r>
          </w:p>
        </w:tc>
        <w:tc>
          <w:tcPr>
            <w:tcW w:w="40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146,298</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Sales to retail segment</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(34,415)</w:t>
            </w:r>
          </w:p>
        </w:tc>
        <w:tc>
          <w:tcPr>
            <w:tcW w:w="6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(28,520)</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(64,143)</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(57,524)</w:t>
            </w:r>
          </w:p>
        </w:tc>
      </w:tr>
      <w:tr>
        <w:trPr>
          <w:trHeight w:val="20"/>
        </w:trPr>
        <w:tc>
          <w:tcPr>
            <w:tcW w:w="59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40" w:type="dxa"/>
            <w:vAlign w:val="bottom"/>
            <w:tcBorders>
              <w:right w:val="single" w:sz="8" w:color="CCEEFF"/>
            </w:tcBorders>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Wholesale sales to external customers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53,086</w:t>
            </w:r>
          </w:p>
        </w:tc>
        <w:tc>
          <w:tcPr>
            <w:tcW w:w="60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47,514</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106,843</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88,774</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sales of furniture and accessories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75,620</w:t>
            </w:r>
          </w:p>
        </w:tc>
        <w:tc>
          <w:tcPr>
            <w:tcW w:w="6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62,483</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139,727</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122,878</w:t>
            </w:r>
          </w:p>
        </w:tc>
      </w:tr>
      <w:tr>
        <w:trPr>
          <w:trHeight w:val="209"/>
        </w:trPr>
        <w:tc>
          <w:tcPr>
            <w:tcW w:w="59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Consolidated net sales of furniture and accessories</w:t>
            </w:r>
          </w:p>
        </w:tc>
        <w:tc>
          <w:tcPr>
            <w:tcW w:w="320" w:type="dxa"/>
            <w:vAlign w:val="bottom"/>
            <w:tcBorders>
              <w:top w:val="single" w:sz="8" w:color="auto"/>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128,706</w:t>
            </w:r>
          </w:p>
        </w:tc>
        <w:tc>
          <w:tcPr>
            <w:tcW w:w="60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109,997</w:t>
            </w:r>
          </w:p>
        </w:tc>
        <w:tc>
          <w:tcPr>
            <w:tcW w:w="200" w:type="dxa"/>
            <w:vAlign w:val="bottom"/>
            <w:tcBorders>
              <w:top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246,570</w:t>
            </w:r>
          </w:p>
        </w:tc>
        <w:tc>
          <w:tcPr>
            <w:tcW w:w="40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211,652</w:t>
            </w:r>
          </w:p>
        </w:tc>
        <w:tc>
          <w:tcPr>
            <w:tcW w:w="100" w:type="dxa"/>
            <w:vAlign w:val="bottom"/>
            <w:tcBorders>
              <w:top w:val="single" w:sz="8" w:color="CCEEFF"/>
            </w:tcBorders>
          </w:tcPr>
          <w:p>
            <w:pPr>
              <w:spacing w:after="0"/>
              <w:rPr>
                <w:sz w:val="18"/>
                <w:szCs w:val="18"/>
                <w:color w:val="auto"/>
              </w:rPr>
            </w:pPr>
          </w:p>
        </w:tc>
      </w:tr>
      <w:tr>
        <w:trPr>
          <w:trHeight w:val="20"/>
        </w:trPr>
        <w:tc>
          <w:tcPr>
            <w:tcW w:w="59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59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40" w:type="dxa"/>
            <w:vAlign w:val="bottom"/>
            <w:tcBorders>
              <w:right w:val="single" w:sz="8" w:color="CCEEFF"/>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from Operations</w:t>
            </w:r>
          </w:p>
        </w:tc>
        <w:tc>
          <w:tcPr>
            <w:tcW w:w="3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3,434</w:t>
            </w:r>
          </w:p>
        </w:tc>
        <w:tc>
          <w:tcPr>
            <w:tcW w:w="600" w:type="dxa"/>
            <w:vAlign w:val="bottom"/>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5,359</w:t>
            </w: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6,819</w:t>
            </w:r>
          </w:p>
        </w:tc>
        <w:tc>
          <w:tcPr>
            <w:tcW w:w="40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10,156</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7,875</w:t>
            </w:r>
          </w:p>
        </w:tc>
        <w:tc>
          <w:tcPr>
            <w:tcW w:w="6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1,652</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11,225</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2,746</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Inter-company elimination</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(297)</w:t>
            </w:r>
          </w:p>
        </w:tc>
        <w:tc>
          <w:tcPr>
            <w:tcW w:w="600" w:type="dxa"/>
            <w:vAlign w:val="bottom"/>
            <w:shd w:val="clear" w:color="auto" w:fill="CCEEFF"/>
          </w:tcPr>
          <w:p>
            <w:pPr>
              <w:spacing w:after="0"/>
              <w:rPr>
                <w:sz w:val="18"/>
                <w:szCs w:val="18"/>
                <w:color w:val="auto"/>
              </w:rPr>
            </w:pPr>
          </w:p>
        </w:tc>
        <w:tc>
          <w:tcPr>
            <w:tcW w:w="6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w:t>
            </w: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(554)</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(255)</w:t>
            </w:r>
          </w:p>
        </w:tc>
      </w:tr>
      <w:tr>
        <w:trPr>
          <w:trHeight w:val="209"/>
        </w:trPr>
        <w:tc>
          <w:tcPr>
            <w:tcW w:w="59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20" w:type="dxa"/>
            <w:vAlign w:val="bottom"/>
            <w:tcBorders>
              <w:top w:val="single" w:sz="8" w:color="auto"/>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11,012</w:t>
            </w:r>
          </w:p>
        </w:tc>
        <w:tc>
          <w:tcPr>
            <w:tcW w:w="60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7,085</w:t>
            </w:r>
          </w:p>
        </w:tc>
        <w:tc>
          <w:tcPr>
            <w:tcW w:w="200" w:type="dxa"/>
            <w:vAlign w:val="bottom"/>
            <w:tcBorders>
              <w:top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17,490</w:t>
            </w:r>
          </w:p>
        </w:tc>
        <w:tc>
          <w:tcPr>
            <w:tcW w:w="40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12,647</w:t>
            </w:r>
          </w:p>
        </w:tc>
        <w:tc>
          <w:tcPr>
            <w:tcW w:w="100" w:type="dxa"/>
            <w:vAlign w:val="bottom"/>
            <w:tcBorders>
              <w:top w:val="single" w:sz="8" w:color="CCEEFF"/>
            </w:tcBorders>
          </w:tcPr>
          <w:p>
            <w:pPr>
              <w:spacing w:after="0"/>
              <w:rPr>
                <w:sz w:val="18"/>
                <w:szCs w:val="18"/>
                <w:color w:val="auto"/>
              </w:rPr>
            </w:pPr>
          </w:p>
        </w:tc>
      </w:tr>
      <w:tr>
        <w:trPr>
          <w:trHeight w:val="20"/>
        </w:trPr>
        <w:tc>
          <w:tcPr>
            <w:tcW w:w="59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59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40" w:type="dxa"/>
            <w:vAlign w:val="bottom"/>
            <w:tcBorders>
              <w:right w:val="single" w:sz="8" w:color="CCEEFF"/>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Depreciation and Amortization</w:t>
            </w:r>
          </w:p>
        </w:tc>
        <w:tc>
          <w:tcPr>
            <w:tcW w:w="3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931</w:t>
            </w:r>
          </w:p>
        </w:tc>
        <w:tc>
          <w:tcPr>
            <w:tcW w:w="600" w:type="dxa"/>
            <w:vAlign w:val="bottom"/>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823</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1,825</w:t>
            </w:r>
          </w:p>
        </w:tc>
        <w:tc>
          <w:tcPr>
            <w:tcW w:w="40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1,621</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3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1,479</w:t>
            </w:r>
          </w:p>
        </w:tc>
        <w:tc>
          <w:tcPr>
            <w:tcW w:w="6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1,581</w:t>
            </w:r>
          </w:p>
        </w:tc>
        <w:tc>
          <w:tcPr>
            <w:tcW w:w="2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2,974</w:t>
            </w:r>
          </w:p>
        </w:tc>
        <w:tc>
          <w:tcPr>
            <w:tcW w:w="4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3,097</w:t>
            </w:r>
          </w:p>
        </w:tc>
        <w:tc>
          <w:tcPr>
            <w:tcW w:w="100" w:type="dxa"/>
            <w:vAlign w:val="bottom"/>
          </w:tcPr>
          <w:p>
            <w:pPr>
              <w:spacing w:after="0"/>
              <w:rPr>
                <w:sz w:val="18"/>
                <w:szCs w:val="18"/>
                <w:color w:val="auto"/>
              </w:rPr>
            </w:pPr>
          </w:p>
        </w:tc>
      </w:tr>
      <w:tr>
        <w:trPr>
          <w:trHeight w:val="250"/>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2,410</w:t>
            </w:r>
          </w:p>
        </w:tc>
        <w:tc>
          <w:tcPr>
            <w:tcW w:w="600" w:type="dxa"/>
            <w:vAlign w:val="bottom"/>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2,404</w:t>
            </w:r>
          </w:p>
        </w:tc>
        <w:tc>
          <w:tcPr>
            <w:tcW w:w="20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4,799</w:t>
            </w:r>
          </w:p>
        </w:tc>
        <w:tc>
          <w:tcPr>
            <w:tcW w:w="40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4,718</w:t>
            </w:r>
          </w:p>
        </w:tc>
      </w:tr>
      <w:tr>
        <w:trPr>
          <w:trHeight w:val="196"/>
        </w:trPr>
        <w:tc>
          <w:tcPr>
            <w:tcW w:w="59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Capital Expenditures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9,578</w:t>
            </w:r>
          </w:p>
        </w:tc>
        <w:tc>
          <w:tcPr>
            <w:tcW w:w="60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1,409</w:t>
            </w:r>
          </w:p>
        </w:tc>
        <w:tc>
          <w:tcPr>
            <w:tcW w:w="20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11,905</w:t>
            </w:r>
          </w:p>
        </w:tc>
        <w:tc>
          <w:tcPr>
            <w:tcW w:w="40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2,166</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717</w:t>
            </w:r>
          </w:p>
        </w:tc>
        <w:tc>
          <w:tcPr>
            <w:tcW w:w="6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119</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733</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137</w:t>
            </w:r>
          </w:p>
        </w:tc>
      </w:tr>
      <w:tr>
        <w:trPr>
          <w:trHeight w:val="210"/>
        </w:trPr>
        <w:tc>
          <w:tcPr>
            <w:tcW w:w="59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20" w:type="dxa"/>
            <w:vAlign w:val="bottom"/>
            <w:tcBorders>
              <w:top w:val="single" w:sz="8" w:color="auto"/>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10,295</w:t>
            </w:r>
          </w:p>
        </w:tc>
        <w:tc>
          <w:tcPr>
            <w:tcW w:w="60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1,528</w:t>
            </w:r>
          </w:p>
        </w:tc>
        <w:tc>
          <w:tcPr>
            <w:tcW w:w="200" w:type="dxa"/>
            <w:vAlign w:val="bottom"/>
            <w:tcBorders>
              <w:top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12,638</w:t>
            </w:r>
          </w:p>
        </w:tc>
        <w:tc>
          <w:tcPr>
            <w:tcW w:w="40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2,303</w:t>
            </w:r>
          </w:p>
        </w:tc>
        <w:tc>
          <w:tcPr>
            <w:tcW w:w="100" w:type="dxa"/>
            <w:vAlign w:val="bottom"/>
            <w:tcBorders>
              <w:top w:val="single" w:sz="8" w:color="CCEEFF"/>
            </w:tcBorders>
          </w:tcPr>
          <w:p>
            <w:pPr>
              <w:spacing w:after="0"/>
              <w:rPr>
                <w:sz w:val="18"/>
                <w:szCs w:val="18"/>
                <w:color w:val="auto"/>
              </w:rPr>
            </w:pPr>
          </w:p>
        </w:tc>
      </w:tr>
      <w:tr>
        <w:trPr>
          <w:trHeight w:val="20"/>
        </w:trPr>
        <w:tc>
          <w:tcPr>
            <w:tcW w:w="59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2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6"/>
              </w:rPr>
              <w:t>As of</w:t>
            </w:r>
          </w:p>
        </w:tc>
        <w:tc>
          <w:tcPr>
            <w:tcW w:w="180" w:type="dxa"/>
            <w:vAlign w:val="bottom"/>
          </w:tcPr>
          <w:p>
            <w:pPr>
              <w:spacing w:after="0"/>
              <w:rPr>
                <w:sz w:val="18"/>
                <w:szCs w:val="18"/>
                <w:color w:val="auto"/>
              </w:rPr>
            </w:pPr>
          </w:p>
        </w:tc>
        <w:tc>
          <w:tcPr>
            <w:tcW w:w="132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6"/>
              </w:rPr>
              <w:t>As of</w:t>
            </w:r>
          </w:p>
        </w:tc>
      </w:tr>
      <w:tr>
        <w:trPr>
          <w:trHeight w:val="216"/>
        </w:trPr>
        <w:tc>
          <w:tcPr>
            <w:tcW w:w="6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2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9"/>
              </w:rPr>
              <w:t>May 28,</w:t>
            </w:r>
          </w:p>
        </w:tc>
        <w:tc>
          <w:tcPr>
            <w:tcW w:w="180" w:type="dxa"/>
            <w:vAlign w:val="bottom"/>
          </w:tcPr>
          <w:p>
            <w:pPr>
              <w:spacing w:after="0"/>
              <w:rPr>
                <w:sz w:val="18"/>
                <w:szCs w:val="18"/>
                <w:color w:val="auto"/>
              </w:rPr>
            </w:pPr>
          </w:p>
        </w:tc>
        <w:tc>
          <w:tcPr>
            <w:tcW w:w="132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November 27,</w:t>
            </w:r>
          </w:p>
        </w:tc>
      </w:tr>
      <w:tr>
        <w:trPr>
          <w:trHeight w:val="238"/>
        </w:trPr>
        <w:tc>
          <w:tcPr>
            <w:tcW w:w="60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center"/>
              <w:ind w:right="21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80" w:type="dxa"/>
            <w:vAlign w:val="bottom"/>
          </w:tcPr>
          <w:p>
            <w:pPr>
              <w:spacing w:after="0"/>
              <w:rPr>
                <w:sz w:val="20"/>
                <w:szCs w:val="20"/>
                <w:color w:val="auto"/>
              </w:rPr>
            </w:pPr>
          </w:p>
        </w:tc>
      </w:tr>
      <w:tr>
        <w:trPr>
          <w:trHeight w:val="210"/>
        </w:trPr>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Identifiable Assets</w:t>
            </w: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6020" w:type="dxa"/>
            <w:vAlign w:val="bottom"/>
          </w:tcPr>
          <w:p>
            <w:pPr>
              <w:spacing w:after="0"/>
              <w:rPr>
                <w:sz w:val="20"/>
                <w:szCs w:val="20"/>
                <w:color w:val="auto"/>
              </w:rPr>
            </w:pPr>
            <w:r>
              <w:rPr>
                <w:rFonts w:ascii="Times New Roman" w:cs="Times New Roman" w:eastAsia="Times New Roman" w:hAnsi="Times New Roman"/>
                <w:sz w:val="18"/>
                <w:szCs w:val="18"/>
                <w:color w:val="auto"/>
              </w:rPr>
              <w:t>Wholesale</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248,046</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196,853</w:t>
            </w:r>
          </w:p>
        </w:tc>
      </w:tr>
      <w:tr>
        <w:trPr>
          <w:trHeight w:val="216"/>
        </w:trPr>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165,707</w:t>
            </w: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160,986</w:t>
            </w:r>
          </w:p>
        </w:tc>
      </w:tr>
      <w:tr>
        <w:trPr>
          <w:trHeight w:val="216"/>
        </w:trPr>
        <w:tc>
          <w:tcPr>
            <w:tcW w:w="6020" w:type="dxa"/>
            <w:vAlign w:val="bottom"/>
          </w:tcPr>
          <w:p>
            <w:pPr>
              <w:spacing w:after="0"/>
              <w:rPr>
                <w:sz w:val="20"/>
                <w:szCs w:val="20"/>
                <w:color w:val="auto"/>
              </w:rPr>
            </w:pPr>
            <w:r>
              <w:rPr>
                <w:rFonts w:ascii="Times New Roman" w:cs="Times New Roman" w:eastAsia="Times New Roman" w:hAnsi="Times New Roman"/>
                <w:sz w:val="18"/>
                <w:szCs w:val="18"/>
                <w:color w:val="auto"/>
              </w:rPr>
              <w:t>Discontinued Operations</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3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63,821</w:t>
            </w:r>
          </w:p>
        </w:tc>
      </w:tr>
      <w:tr>
        <w:trPr>
          <w:trHeight w:val="20"/>
        </w:trPr>
        <w:tc>
          <w:tcPr>
            <w:tcW w:w="60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0"/>
        </w:trPr>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413,753</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421,660</w:t>
            </w:r>
          </w:p>
        </w:tc>
      </w:tr>
      <w:tr>
        <w:trPr>
          <w:trHeight w:val="20"/>
        </w:trPr>
        <w:tc>
          <w:tcPr>
            <w:tcW w:w="60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See Note 14, Revenue Recognition, for disaggregated revenue information regarding sales of furniture and accessories by product type for the wholesale and retail segments.</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Revenue Recognition</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recognize revenue when we transfer promised goods or services to our customers in an amount that reflects the consideration we expect to receive in exchange for those goods or services. For our wholesale and retail segments, revenue is recognized when the risks and rewards of ownership and title to the product have transferred to the buyer. At wholesale, transfer occurs and revenue is recognized upon the shipment of goods to independent dealers and licensee-owned BHF stores. At retail, transfer occurs and revenue is recognized upon delivery of goods to the customer. All wholesale and retail revenues are recorded net of estimated returns and allowances based on historical patterns. We typically collect a significant portion of the purchase price from our retail customers as a deposit upon order, with the balance typically collected upon delivery. These customer deposits are carried on our balance sheet as a current liability until delivery is fulfilled and amounted to $46,391 and $51,492 as of May 28, 2022 and November 27, 2021, respectively. Approximately 90% of the customer deposits held at November 27, 2021 related to performance obligations that were satisfied during the current year-to-date period and have therefore been recognized in revenue for the three and six months ended May 28, 2022.</w:t>
      </w:r>
    </w:p>
    <w:p>
      <w:pPr>
        <w:spacing w:after="0" w:line="18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Sales commissions are expensed as part of selling, general and administrative expenses at the time revenue is recognized because the amortization period would have been one year or less. Sales commissions at wholesale are accrued upon the shipment of goods. Sales commissions at retail are accrued at the time a sale is written (i.e. – when the customer’s order is placed) and are carried as prepaid commissions in other current assets until the goods are delivered and revenue is recognized. At May 28, 2022 and November 27, 2021, our balance of prepaid commissions included in other current assets was $5,258 and $6,221, respectively.</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19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We exclude from revenue all amounts collected from customers for sales tax. We do not disclose amounts allocated to remaining unsatisfied performance obligations as they are expected to be satisfied within one year or less.</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Disaggregated revenue information for sales of furniture and accessories by product category for the three and six months ended May 28, 2022 and May 29, 2021, excluding intercompany transactions between our segments, is a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2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2340" w:type="dxa"/>
            <w:vAlign w:val="bottom"/>
            <w:tcBorders>
              <w:bottom w:val="single" w:sz="8" w:color="auto"/>
            </w:tcBorders>
            <w:gridSpan w:val="5"/>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3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32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gridSpan w:val="2"/>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gridSpan w:val="2"/>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rPr>
              <w:t>Retail</w:t>
            </w: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Total</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rPr>
              <w:t>Retail</w:t>
            </w: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Total</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Upholstery</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33,838</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45,376</w:t>
            </w:r>
          </w:p>
        </w:tc>
        <w:tc>
          <w:tcPr>
            <w:tcW w:w="3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79,214</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25,960</w:t>
            </w:r>
          </w:p>
        </w:tc>
        <w:tc>
          <w:tcPr>
            <w:tcW w:w="3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35,378</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61,338</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9,859</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292</w:t>
            </w:r>
          </w:p>
        </w:tc>
        <w:tc>
          <w:tcPr>
            <w:tcW w:w="36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10,151</w:t>
            </w: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10,201</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228</w:t>
            </w:r>
          </w:p>
        </w:tc>
        <w:tc>
          <w:tcPr>
            <w:tcW w:w="3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10,429</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5,660</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11,237</w:t>
            </w:r>
          </w:p>
        </w:tc>
        <w:tc>
          <w:tcPr>
            <w:tcW w:w="3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16,897</w:t>
            </w: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6,839</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7,624</w:t>
            </w:r>
          </w:p>
        </w:tc>
        <w:tc>
          <w:tcPr>
            <w:tcW w:w="3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14,463</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3,729</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9,188</w:t>
            </w:r>
          </w:p>
        </w:tc>
        <w:tc>
          <w:tcPr>
            <w:tcW w:w="36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12,917</w:t>
            </w: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4,514</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10,704</w:t>
            </w:r>
          </w:p>
        </w:tc>
        <w:tc>
          <w:tcPr>
            <w:tcW w:w="3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15,218</w:t>
            </w:r>
          </w:p>
        </w:tc>
        <w:tc>
          <w:tcPr>
            <w:tcW w:w="0" w:type="dxa"/>
            <w:vAlign w:val="bottom"/>
          </w:tcPr>
          <w:p>
            <w:pPr>
              <w:spacing w:after="0"/>
              <w:rPr>
                <w:sz w:val="1"/>
                <w:szCs w:val="1"/>
                <w:color w:val="auto"/>
              </w:rPr>
            </w:pPr>
          </w:p>
        </w:tc>
      </w:tr>
      <w:tr>
        <w:trPr>
          <w:trHeight w:val="216"/>
        </w:trPr>
        <w:tc>
          <w:tcPr>
            <w:tcW w:w="32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Accessories, mattresses and other (1)</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9,527</w:t>
            </w:r>
          </w:p>
        </w:tc>
        <w:tc>
          <w:tcPr>
            <w:tcW w:w="3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9,527</w:t>
            </w:r>
          </w:p>
        </w:tc>
        <w:tc>
          <w:tcPr>
            <w:tcW w:w="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8,549</w:t>
            </w:r>
          </w:p>
        </w:tc>
        <w:tc>
          <w:tcPr>
            <w:tcW w:w="3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8,549</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328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Consolidated net sales of furniture and</w:t>
            </w: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53,086</w:t>
            </w:r>
          </w:p>
        </w:tc>
        <w:tc>
          <w:tcPr>
            <w:tcW w:w="34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75,620</w:t>
            </w:r>
          </w:p>
        </w:tc>
        <w:tc>
          <w:tcPr>
            <w:tcW w:w="36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128,706</w:t>
            </w:r>
          </w:p>
        </w:tc>
        <w:tc>
          <w:tcPr>
            <w:tcW w:w="200" w:type="dxa"/>
            <w:vAlign w:val="bottom"/>
          </w:tcPr>
          <w:p>
            <w:pPr>
              <w:spacing w:after="0"/>
              <w:rPr>
                <w:sz w:val="16"/>
                <w:szCs w:val="16"/>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47,514</w:t>
            </w:r>
          </w:p>
        </w:tc>
        <w:tc>
          <w:tcPr>
            <w:tcW w:w="32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62,483</w:t>
            </w:r>
          </w:p>
        </w:tc>
        <w:tc>
          <w:tcPr>
            <w:tcW w:w="34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109,997</w:t>
            </w:r>
          </w:p>
        </w:tc>
        <w:tc>
          <w:tcPr>
            <w:tcW w:w="0" w:type="dxa"/>
            <w:vAlign w:val="bottom"/>
          </w:tcPr>
          <w:p>
            <w:pPr>
              <w:spacing w:after="0"/>
              <w:rPr>
                <w:sz w:val="1"/>
                <w:szCs w:val="1"/>
                <w:color w:val="auto"/>
              </w:rPr>
            </w:pPr>
          </w:p>
        </w:tc>
      </w:tr>
      <w:tr>
        <w:trPr>
          <w:trHeight w:val="194"/>
        </w:trPr>
        <w:tc>
          <w:tcPr>
            <w:tcW w:w="3280" w:type="dxa"/>
            <w:vAlign w:val="bottom"/>
          </w:tcPr>
          <w:p>
            <w:pPr>
              <w:spacing w:after="0" w:line="194" w:lineRule="exact"/>
              <w:rPr>
                <w:sz w:val="20"/>
                <w:szCs w:val="20"/>
                <w:color w:val="auto"/>
              </w:rPr>
            </w:pPr>
            <w:r>
              <w:rPr>
                <w:rFonts w:ascii="Times New Roman" w:cs="Times New Roman" w:eastAsia="Times New Roman" w:hAnsi="Times New Roman"/>
                <w:sz w:val="18"/>
                <w:szCs w:val="18"/>
                <w:color w:val="auto"/>
              </w:rPr>
              <w:t>accessories</w:t>
            </w:r>
          </w:p>
        </w:tc>
        <w:tc>
          <w:tcPr>
            <w:tcW w:w="140" w:type="dxa"/>
            <w:vAlign w:val="bottom"/>
            <w:vMerge w:val="continue"/>
          </w:tcPr>
          <w:p>
            <w:pPr>
              <w:spacing w:after="0"/>
              <w:rPr>
                <w:sz w:val="16"/>
                <w:szCs w:val="16"/>
                <w:color w:val="auto"/>
              </w:rPr>
            </w:pPr>
          </w:p>
        </w:tc>
        <w:tc>
          <w:tcPr>
            <w:tcW w:w="1120" w:type="dxa"/>
            <w:vAlign w:val="bottom"/>
            <w:vMerge w:val="continue"/>
          </w:tcPr>
          <w:p>
            <w:pPr>
              <w:spacing w:after="0"/>
              <w:rPr>
                <w:sz w:val="16"/>
                <w:szCs w:val="16"/>
                <w:color w:val="auto"/>
              </w:rPr>
            </w:pPr>
          </w:p>
        </w:tc>
        <w:tc>
          <w:tcPr>
            <w:tcW w:w="340" w:type="dxa"/>
            <w:vAlign w:val="bottom"/>
            <w:vMerge w:val="continue"/>
          </w:tcPr>
          <w:p>
            <w:pPr>
              <w:spacing w:after="0"/>
              <w:rPr>
                <w:sz w:val="16"/>
                <w:szCs w:val="16"/>
                <w:color w:val="auto"/>
              </w:rPr>
            </w:pPr>
          </w:p>
        </w:tc>
        <w:tc>
          <w:tcPr>
            <w:tcW w:w="1020" w:type="dxa"/>
            <w:vAlign w:val="bottom"/>
            <w:vMerge w:val="continue"/>
          </w:tcPr>
          <w:p>
            <w:pPr>
              <w:spacing w:after="0"/>
              <w:rPr>
                <w:sz w:val="16"/>
                <w:szCs w:val="16"/>
                <w:color w:val="auto"/>
              </w:rPr>
            </w:pPr>
          </w:p>
        </w:tc>
        <w:tc>
          <w:tcPr>
            <w:tcW w:w="360" w:type="dxa"/>
            <w:vAlign w:val="bottom"/>
            <w:vMerge w:val="continue"/>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vMerge w:val="continue"/>
          </w:tcPr>
          <w:p>
            <w:pPr>
              <w:spacing w:after="0"/>
              <w:rPr>
                <w:sz w:val="16"/>
                <w:szCs w:val="16"/>
                <w:color w:val="auto"/>
              </w:rPr>
            </w:pPr>
          </w:p>
        </w:tc>
        <w:tc>
          <w:tcPr>
            <w:tcW w:w="1080" w:type="dxa"/>
            <w:vAlign w:val="bottom"/>
            <w:vMerge w:val="continue"/>
          </w:tcPr>
          <w:p>
            <w:pPr>
              <w:spacing w:after="0"/>
              <w:rPr>
                <w:sz w:val="16"/>
                <w:szCs w:val="16"/>
                <w:color w:val="auto"/>
              </w:rPr>
            </w:pPr>
          </w:p>
        </w:tc>
        <w:tc>
          <w:tcPr>
            <w:tcW w:w="320" w:type="dxa"/>
            <w:vAlign w:val="bottom"/>
            <w:vMerge w:val="continue"/>
          </w:tcPr>
          <w:p>
            <w:pPr>
              <w:spacing w:after="0"/>
              <w:rPr>
                <w:sz w:val="16"/>
                <w:szCs w:val="16"/>
                <w:color w:val="auto"/>
              </w:rPr>
            </w:pPr>
          </w:p>
        </w:tc>
        <w:tc>
          <w:tcPr>
            <w:tcW w:w="1000" w:type="dxa"/>
            <w:vAlign w:val="bottom"/>
            <w:vMerge w:val="continue"/>
          </w:tcPr>
          <w:p>
            <w:pPr>
              <w:spacing w:after="0"/>
              <w:rPr>
                <w:sz w:val="16"/>
                <w:szCs w:val="16"/>
                <w:color w:val="auto"/>
              </w:rPr>
            </w:pPr>
          </w:p>
        </w:tc>
        <w:tc>
          <w:tcPr>
            <w:tcW w:w="340" w:type="dxa"/>
            <w:vAlign w:val="bottom"/>
            <w:vMerge w:val="continue"/>
          </w:tcPr>
          <w:p>
            <w:pPr>
              <w:spacing w:after="0"/>
              <w:rPr>
                <w:sz w:val="16"/>
                <w:szCs w:val="16"/>
                <w:color w:val="auto"/>
              </w:rPr>
            </w:pPr>
          </w:p>
        </w:tc>
        <w:tc>
          <w:tcPr>
            <w:tcW w:w="98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2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2340" w:type="dxa"/>
            <w:vAlign w:val="bottom"/>
            <w:tcBorders>
              <w:bottom w:val="single" w:sz="8" w:color="auto"/>
            </w:tcBorders>
            <w:gridSpan w:val="5"/>
          </w:tcPr>
          <w:p>
            <w:pPr>
              <w:jc w:val="right"/>
              <w:ind w:right="59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3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32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gridSpan w:val="2"/>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gridSpan w:val="2"/>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rPr>
              <w:t>Retail</w:t>
            </w: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Total</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rPr>
              <w:t>Retail</w:t>
            </w: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Total</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Upholstery</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65,750</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83,194</w:t>
            </w:r>
          </w:p>
        </w:tc>
        <w:tc>
          <w:tcPr>
            <w:tcW w:w="3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148,944</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50,858</w:t>
            </w:r>
          </w:p>
        </w:tc>
        <w:tc>
          <w:tcPr>
            <w:tcW w:w="3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69,839</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120,697</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22,821</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532</w:t>
            </w:r>
          </w:p>
        </w:tc>
        <w:tc>
          <w:tcPr>
            <w:tcW w:w="36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23,353</w:t>
            </w: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17,756</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480</w:t>
            </w:r>
          </w:p>
        </w:tc>
        <w:tc>
          <w:tcPr>
            <w:tcW w:w="3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18,236</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11,643</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20,644</w:t>
            </w:r>
          </w:p>
        </w:tc>
        <w:tc>
          <w:tcPr>
            <w:tcW w:w="3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32,287</w:t>
            </w: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12,176</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13,082</w:t>
            </w:r>
          </w:p>
        </w:tc>
        <w:tc>
          <w:tcPr>
            <w:tcW w:w="3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25,258</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6,629</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17,480</w:t>
            </w:r>
          </w:p>
        </w:tc>
        <w:tc>
          <w:tcPr>
            <w:tcW w:w="36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24,109</w:t>
            </w: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7,984</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21,781</w:t>
            </w:r>
          </w:p>
        </w:tc>
        <w:tc>
          <w:tcPr>
            <w:tcW w:w="3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29,765</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Accessories, mattresses and other (1)</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17,877</w:t>
            </w:r>
          </w:p>
        </w:tc>
        <w:tc>
          <w:tcPr>
            <w:tcW w:w="3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17,877</w:t>
            </w: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17,696</w:t>
            </w:r>
          </w:p>
        </w:tc>
        <w:tc>
          <w:tcPr>
            <w:tcW w:w="3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17,696</w:t>
            </w:r>
          </w:p>
        </w:tc>
        <w:tc>
          <w:tcPr>
            <w:tcW w:w="0" w:type="dxa"/>
            <w:vAlign w:val="bottom"/>
          </w:tcPr>
          <w:p>
            <w:pPr>
              <w:spacing w:after="0"/>
              <w:rPr>
                <w:sz w:val="1"/>
                <w:szCs w:val="1"/>
                <w:color w:val="auto"/>
              </w:rPr>
            </w:pPr>
          </w:p>
        </w:tc>
      </w:tr>
      <w:tr>
        <w:trPr>
          <w:trHeight w:val="191"/>
        </w:trPr>
        <w:tc>
          <w:tcPr>
            <w:tcW w:w="3280" w:type="dxa"/>
            <w:vAlign w:val="bottom"/>
            <w:tcBorders>
              <w:top w:val="single" w:sz="8" w:color="CCEEFF"/>
            </w:tcBorders>
          </w:tcPr>
          <w:p>
            <w:pPr>
              <w:spacing w:after="0" w:line="191" w:lineRule="exact"/>
              <w:rPr>
                <w:sz w:val="20"/>
                <w:szCs w:val="20"/>
                <w:color w:val="auto"/>
              </w:rPr>
            </w:pPr>
            <w:r>
              <w:rPr>
                <w:rFonts w:ascii="Times New Roman" w:cs="Times New Roman" w:eastAsia="Times New Roman" w:hAnsi="Times New Roman"/>
                <w:sz w:val="18"/>
                <w:szCs w:val="18"/>
                <w:color w:val="auto"/>
              </w:rPr>
              <w:t>Consolidated net sales of furniture and</w:t>
            </w:r>
          </w:p>
        </w:tc>
        <w:tc>
          <w:tcPr>
            <w:tcW w:w="1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tcBorders>
              <w:top w:val="single" w:sz="8" w:color="auto"/>
            </w:tcBorders>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106,843</w:t>
            </w:r>
          </w:p>
        </w:tc>
        <w:tc>
          <w:tcPr>
            <w:tcW w:w="340" w:type="dxa"/>
            <w:vAlign w:val="bottom"/>
            <w:tcBorders>
              <w:top w:val="single" w:sz="8" w:color="auto"/>
            </w:tcBorders>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top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139,727</w:t>
            </w:r>
          </w:p>
        </w:tc>
        <w:tc>
          <w:tcPr>
            <w:tcW w:w="360" w:type="dxa"/>
            <w:vAlign w:val="bottom"/>
            <w:tcBorders>
              <w:top w:val="single" w:sz="8" w:color="auto"/>
            </w:tcBorders>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246,570</w:t>
            </w:r>
          </w:p>
        </w:tc>
        <w:tc>
          <w:tcPr>
            <w:tcW w:w="20" w:type="dxa"/>
            <w:vAlign w:val="bottom"/>
            <w:tcBorders>
              <w:top w:val="single" w:sz="8" w:color="CCEEFF"/>
            </w:tcBorders>
            <w:vMerge w:val="restart"/>
          </w:tcPr>
          <w:p>
            <w:pPr>
              <w:spacing w:after="0"/>
              <w:rPr>
                <w:sz w:val="16"/>
                <w:szCs w:val="16"/>
                <w:color w:val="auto"/>
              </w:rPr>
            </w:pPr>
          </w:p>
        </w:tc>
        <w:tc>
          <w:tcPr>
            <w:tcW w:w="200" w:type="dxa"/>
            <w:vAlign w:val="bottom"/>
            <w:tcBorders>
              <w:top w:val="single" w:sz="8" w:color="CCEEFF"/>
            </w:tcBorders>
          </w:tcPr>
          <w:p>
            <w:pPr>
              <w:spacing w:after="0"/>
              <w:rPr>
                <w:sz w:val="16"/>
                <w:szCs w:val="16"/>
                <w:color w:val="auto"/>
              </w:rPr>
            </w:pPr>
          </w:p>
        </w:tc>
        <w:tc>
          <w:tcPr>
            <w:tcW w:w="1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tcBorders>
              <w:top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88,774</w:t>
            </w:r>
          </w:p>
        </w:tc>
        <w:tc>
          <w:tcPr>
            <w:tcW w:w="320" w:type="dxa"/>
            <w:vAlign w:val="bottom"/>
            <w:tcBorders>
              <w:top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top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122,878</w:t>
            </w:r>
          </w:p>
        </w:tc>
        <w:tc>
          <w:tcPr>
            <w:tcW w:w="340" w:type="dxa"/>
            <w:vAlign w:val="bottom"/>
            <w:tcBorders>
              <w:top w:val="single" w:sz="8" w:color="auto"/>
            </w:tcBorders>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211,652</w:t>
            </w:r>
          </w:p>
        </w:tc>
        <w:tc>
          <w:tcPr>
            <w:tcW w:w="100" w:type="dxa"/>
            <w:vAlign w:val="bottom"/>
            <w:tcBorders>
              <w:top w:val="single" w:sz="8" w:color="CCEEFF"/>
            </w:tcBorders>
            <w:vMerge w:val="restart"/>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3280" w:type="dxa"/>
            <w:vAlign w:val="bottom"/>
          </w:tcPr>
          <w:p>
            <w:pPr>
              <w:spacing w:after="0" w:line="194" w:lineRule="exact"/>
              <w:rPr>
                <w:sz w:val="20"/>
                <w:szCs w:val="20"/>
                <w:color w:val="auto"/>
              </w:rPr>
            </w:pPr>
            <w:r>
              <w:rPr>
                <w:rFonts w:ascii="Times New Roman" w:cs="Times New Roman" w:eastAsia="Times New Roman" w:hAnsi="Times New Roman"/>
                <w:sz w:val="18"/>
                <w:szCs w:val="18"/>
                <w:color w:val="auto"/>
              </w:rPr>
              <w:t>accessories</w:t>
            </w:r>
          </w:p>
        </w:tc>
        <w:tc>
          <w:tcPr>
            <w:tcW w:w="140" w:type="dxa"/>
            <w:vAlign w:val="bottom"/>
            <w:tcBorders>
              <w:bottom w:val="single" w:sz="8" w:color="auto"/>
            </w:tcBorders>
            <w:vMerge w:val="continue"/>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340" w:type="dxa"/>
            <w:vAlign w:val="bottom"/>
            <w:tcBorders>
              <w:bottom w:val="single" w:sz="8" w:color="auto"/>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360" w:type="dxa"/>
            <w:vAlign w:val="bottom"/>
            <w:tcBorders>
              <w:bottom w:val="single" w:sz="8" w:color="auto"/>
            </w:tcBorders>
            <w:vMerge w:val="continue"/>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20" w:type="dxa"/>
            <w:vAlign w:val="bottom"/>
            <w:tcBorders>
              <w:bottom w:val="single" w:sz="8" w:color="auto"/>
            </w:tcBorders>
            <w:vMerge w:val="continue"/>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Borders>
              <w:bottom w:val="single" w:sz="8" w:color="auto"/>
            </w:tcBorders>
            <w:vMerge w:val="continue"/>
          </w:tcPr>
          <w:p>
            <w:pPr>
              <w:spacing w:after="0"/>
              <w:rPr>
                <w:sz w:val="16"/>
                <w:szCs w:val="16"/>
                <w:color w:val="auto"/>
              </w:rPr>
            </w:pPr>
          </w:p>
        </w:tc>
        <w:tc>
          <w:tcPr>
            <w:tcW w:w="1080" w:type="dxa"/>
            <w:vAlign w:val="bottom"/>
            <w:tcBorders>
              <w:bottom w:val="single" w:sz="8" w:color="auto"/>
            </w:tcBorders>
            <w:vMerge w:val="continue"/>
          </w:tcPr>
          <w:p>
            <w:pPr>
              <w:spacing w:after="0"/>
              <w:rPr>
                <w:sz w:val="16"/>
                <w:szCs w:val="16"/>
                <w:color w:val="auto"/>
              </w:rPr>
            </w:pPr>
          </w:p>
        </w:tc>
        <w:tc>
          <w:tcPr>
            <w:tcW w:w="320" w:type="dxa"/>
            <w:vAlign w:val="bottom"/>
            <w:tcBorders>
              <w:bottom w:val="single" w:sz="8" w:color="auto"/>
            </w:tcBorders>
            <w:vMerge w:val="continue"/>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340" w:type="dxa"/>
            <w:vAlign w:val="bottom"/>
            <w:tcBorders>
              <w:bottom w:val="single" w:sz="8" w:color="auto"/>
            </w:tcBorders>
            <w:vMerge w:val="continue"/>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ind w:left="340" w:right="440" w:hanging="332"/>
        <w:spacing w:after="0" w:line="282" w:lineRule="auto"/>
        <w:tabs>
          <w:tab w:leader="none" w:pos="34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sale of goods other than Bassett-branded products, such as accessories and bedding, and also includes the sale of furniture protection plans.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20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Changes to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changes in our stockholders’ equity occurred during the three and six months ended May 28, 2022 and May 29, 2021:</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80" w:type="dxa"/>
            <w:vAlign w:val="bottom"/>
            <w:gridSpan w:val="5"/>
          </w:tcPr>
          <w:p>
            <w:pPr>
              <w:jc w:val="right"/>
              <w:ind w:right="88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40" w:type="dxa"/>
            <w:vAlign w:val="bottom"/>
          </w:tcPr>
          <w:p>
            <w:pPr>
              <w:spacing w:after="0"/>
              <w:rPr>
                <w:sz w:val="20"/>
                <w:szCs w:val="20"/>
                <w:color w:val="auto"/>
              </w:rPr>
            </w:pPr>
          </w:p>
        </w:tc>
        <w:tc>
          <w:tcPr>
            <w:tcW w:w="2300" w:type="dxa"/>
            <w:vAlign w:val="bottom"/>
            <w:gridSpan w:val="5"/>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209"/>
        </w:trPr>
        <w:tc>
          <w:tcPr>
            <w:tcW w:w="5980" w:type="dxa"/>
            <w:vAlign w:val="bottom"/>
          </w:tcPr>
          <w:p>
            <w:pPr>
              <w:spacing w:after="0"/>
              <w:rPr>
                <w:sz w:val="18"/>
                <w:szCs w:val="18"/>
                <w:color w:val="auto"/>
              </w:rPr>
            </w:pPr>
          </w:p>
        </w:tc>
        <w:tc>
          <w:tcPr>
            <w:tcW w:w="1380" w:type="dxa"/>
            <w:vAlign w:val="bottom"/>
            <w:tcBorders>
              <w:top w:val="single" w:sz="8" w:color="auto"/>
            </w:tcBorders>
            <w:gridSpan w:val="3"/>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12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220" w:type="dxa"/>
            <w:vAlign w:val="bottom"/>
          </w:tcPr>
          <w:p>
            <w:pPr>
              <w:spacing w:after="0"/>
              <w:rPr>
                <w:sz w:val="18"/>
                <w:szCs w:val="18"/>
                <w:color w:val="auto"/>
              </w:rPr>
            </w:pPr>
          </w:p>
        </w:tc>
        <w:tc>
          <w:tcPr>
            <w:tcW w:w="1320" w:type="dxa"/>
            <w:vAlign w:val="bottom"/>
            <w:tcBorders>
              <w:top w:val="single" w:sz="8" w:color="auto"/>
            </w:tcBorders>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May 28, 2022</w:t>
            </w:r>
          </w:p>
        </w:tc>
        <w:tc>
          <w:tcPr>
            <w:tcW w:w="112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May 29, 2021</w:t>
            </w:r>
          </w:p>
        </w:tc>
        <w:tc>
          <w:tcPr>
            <w:tcW w:w="100" w:type="dxa"/>
            <w:vAlign w:val="bottom"/>
          </w:tcPr>
          <w:p>
            <w:pPr>
              <w:spacing w:after="0"/>
              <w:rPr>
                <w:sz w:val="18"/>
                <w:szCs w:val="18"/>
                <w:color w:val="auto"/>
              </w:rPr>
            </w:pPr>
          </w:p>
        </w:tc>
      </w:tr>
      <w:tr>
        <w:trPr>
          <w:trHeight w:val="210"/>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Common Stock:</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48,640</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49,567</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48,811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49,714</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Issuance of common stock</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70</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89</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124</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120</w:t>
            </w: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(2,314)</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(394)</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(2,539)</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(572)</w:t>
            </w:r>
          </w:p>
        </w:tc>
      </w:tr>
      <w:tr>
        <w:trPr>
          <w:trHeight w:val="20"/>
        </w:trPr>
        <w:tc>
          <w:tcPr>
            <w:tcW w:w="598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46,396</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49,262</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46,396</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49,262</w:t>
            </w:r>
          </w:p>
        </w:tc>
      </w:tr>
      <w:tr>
        <w:trPr>
          <w:trHeight w:val="20"/>
        </w:trPr>
        <w:tc>
          <w:tcPr>
            <w:tcW w:w="59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5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Common Shares Issued and Outstanding:</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9,727,932</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9,913,496</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9,762,125</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9,942,787</w:t>
            </w: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Issuance of common stock</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14,180</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17,815</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24,976</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24,036</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2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(462,844)</w:t>
            </w:r>
          </w:p>
        </w:tc>
        <w:tc>
          <w:tcPr>
            <w:tcW w:w="24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(78,952)</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(507,833)</w:t>
            </w:r>
          </w:p>
        </w:tc>
        <w:tc>
          <w:tcPr>
            <w:tcW w:w="24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(114,464)</w:t>
            </w:r>
          </w:p>
        </w:tc>
      </w:tr>
      <w:tr>
        <w:trPr>
          <w:trHeight w:val="20"/>
        </w:trPr>
        <w:tc>
          <w:tcPr>
            <w:tcW w:w="59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9"/>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24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9,279,268</w:t>
            </w:r>
          </w:p>
        </w:tc>
        <w:tc>
          <w:tcPr>
            <w:tcW w:w="24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9,852,359</w:t>
            </w:r>
          </w:p>
        </w:tc>
        <w:tc>
          <w:tcPr>
            <w:tcW w:w="240" w:type="dxa"/>
            <w:vAlign w:val="bottom"/>
            <w:shd w:val="clear" w:color="auto" w:fill="CCEEFF"/>
          </w:tcPr>
          <w:p>
            <w:pPr>
              <w:spacing w:after="0"/>
              <w:rPr>
                <w:sz w:val="21"/>
                <w:szCs w:val="21"/>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9,279,268</w:t>
            </w:r>
          </w:p>
        </w:tc>
        <w:tc>
          <w:tcPr>
            <w:tcW w:w="24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9,852,359</w:t>
            </w:r>
          </w:p>
        </w:tc>
      </w:tr>
      <w:tr>
        <w:trPr>
          <w:trHeight w:val="197"/>
        </w:trPr>
        <w:tc>
          <w:tcPr>
            <w:tcW w:w="598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Additional Paid-in Capital:</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113</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Issuance of common stock</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13</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42</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94</w:t>
            </w: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(155)</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(90)</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(422)</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(156)</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Stock based compensation</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142</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48</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257</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62</w:t>
            </w:r>
          </w:p>
        </w:tc>
      </w:tr>
      <w:tr>
        <w:trPr>
          <w:trHeight w:val="20"/>
        </w:trPr>
        <w:tc>
          <w:tcPr>
            <w:tcW w:w="59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9"/>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197"/>
        </w:trPr>
        <w:tc>
          <w:tcPr>
            <w:tcW w:w="598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Retained Earnings: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119,557</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109,493</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115,631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109,710</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income for the period</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47,118</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5,974</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52,691</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9,985</w:t>
            </w: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(5,408)</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(1,907)</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(5,681)</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(2,415)</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Cash dividends declared</w:t>
            </w:r>
          </w:p>
        </w:tc>
        <w:tc>
          <w:tcPr>
            <w:tcW w:w="2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(15,796)</w:t>
            </w:r>
          </w:p>
        </w:tc>
        <w:tc>
          <w:tcPr>
            <w:tcW w:w="24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(1,235)</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(17,170)</w:t>
            </w:r>
          </w:p>
        </w:tc>
        <w:tc>
          <w:tcPr>
            <w:tcW w:w="24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(4,955)</w:t>
            </w:r>
          </w:p>
        </w:tc>
      </w:tr>
      <w:tr>
        <w:trPr>
          <w:trHeight w:val="20"/>
        </w:trPr>
        <w:tc>
          <w:tcPr>
            <w:tcW w:w="59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145,471</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112,325</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145,471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112,325</w:t>
            </w:r>
          </w:p>
        </w:tc>
      </w:tr>
      <w:tr>
        <w:trPr>
          <w:trHeight w:val="196"/>
        </w:trPr>
        <w:tc>
          <w:tcPr>
            <w:tcW w:w="598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Other Comprehensive Loss: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(1,774)</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(1,359)</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(1,823)</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(1,394)</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Amortization of pension costs, net of tax</w:t>
            </w: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48</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34</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97</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w:t>
            </w:r>
          </w:p>
        </w:tc>
      </w:tr>
      <w:tr>
        <w:trPr>
          <w:trHeight w:val="20"/>
        </w:trPr>
        <w:tc>
          <w:tcPr>
            <w:tcW w:w="59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(1,726)</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(1,325)</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(1,726)</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(1,325)</w:t>
            </w:r>
          </w:p>
        </w:tc>
      </w:tr>
      <w:tr>
        <w:trPr>
          <w:trHeight w:val="20"/>
        </w:trPr>
        <w:tc>
          <w:tcPr>
            <w:tcW w:w="59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21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Recent Accounting Pronouncements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October 2021, the FASB issued Accounting Standards Update No. 2021-08– Business Combinations (Topic 805) Accounting for Contract Assets and Contract Liabilities from Contracts with Customers, to improve the accounting for acquired revenue contracts with customers in a business combination by addressing diversity in practice and inconsistency related to the recognition of an acquired contract liability and to payment terms and their effect on subsequent revenue recognized by the acquirer. The amendments in ASU 2021-08 require that an entity (acquirer) recognize and measure contract assets and contract liabilities acquired in a business combination in accordance with Topic 606. At the acquisition date, an acquirer should account for the related revenue contracts in accordance with Topic 606 as if it had originated the contracts. The amendments in ASU 2021-08 will become effective for us as of the beginning of our 2024 fiscal year. Early adoption is permitted, including adoption in any interim period. We do not expect that this guidance will have a material impact upon our financial position and results of operations.</w:t>
      </w:r>
    </w:p>
    <w:p>
      <w:pPr>
        <w:spacing w:after="0" w:line="19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March 2022, the FASB issued Accounting Standards Update No. 2022-02 – Financial Instruments – Credit Losses (Topic 326): Troubled Debt Restructurings and Vintage Disclosures, to address certain concerns identified in the Post-Implementation Review process for ASU Topic 326. The amendments in ASU 2022-02 eliminate the accounting guidance for troubled debt restructurings by creditors in ASC Subtopic 310-40, Receivables – Troubled Debt Restructurings by Creditors, while enhancing disclosure requirements for certain loan refinancings and restructurings by creditors when a borrower is experiencing financial difficulty. In addition, for public business entities, the amendments in ASU 2022-02 require that an entity disclose current-period gross write-offs by year of origination for financing receivables and net investments in leases within the scope of ASC Subtopic 326-20, Financial Instruments – Credit Losses – Measured at Amortized Cost. The amendments in ASU 2022-02 will become effective for us as of the beginning of our 2024 fiscal year. Early adoption is permitted. We expect that the adoption of this standard will primarily impact our disclosures but do not expect that this guidance will have a material impact upon our financial position and results of operations.</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22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Safe-harbor, forward-looking statements:</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This report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w:t>
      </w:r>
      <w:r>
        <w:rPr>
          <w:rFonts w:ascii="Times New Roman" w:cs="Times New Roman" w:eastAsia="Times New Roman" w:hAnsi="Times New Roman"/>
          <w:sz w:val="18"/>
          <w:szCs w:val="18"/>
          <w:i w:val="1"/>
          <w:iCs w:val="1"/>
          <w:color w:val="auto"/>
        </w:rPr>
        <w:t>anticipates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believes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plans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estimates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expects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aims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intends</w:t>
      </w:r>
      <w:r>
        <w:rPr>
          <w:rFonts w:ascii="Times New Roman" w:cs="Times New Roman" w:eastAsia="Times New Roman" w:hAnsi="Times New Roman"/>
          <w:sz w:val="18"/>
          <w:szCs w:val="18"/>
          <w:color w:val="auto"/>
        </w:rPr>
        <w:t>” or words or phrases of similar expression. These forward-looking statements involve certain risks and uncertainties. No assurance can be given that any such matters will be realized. Important factors that could cause actual results to differ materially from those contemplated by such forward-looking statements include:</w:t>
      </w:r>
    </w:p>
    <w:p>
      <w:pPr>
        <w:spacing w:after="0" w:line="183" w:lineRule="exact"/>
        <w:rPr>
          <w:sz w:val="20"/>
          <w:szCs w:val="20"/>
          <w:color w:val="auto"/>
        </w:rPr>
      </w:pPr>
    </w:p>
    <w:p>
      <w:pPr>
        <w:jc w:val="both"/>
        <w:ind w:left="340" w:hanging="332"/>
        <w:spacing w:after="0" w:line="266" w:lineRule="auto"/>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cost and availability of raw materials, fuel, labor, delivery costs and sourced products, including those which may result from general price inflation, supply chain disruptions and the imposition of new or increased duties, tariffs, retaliatory tariffs and trade limitations with respect to foreign-sourced products</w:t>
      </w:r>
    </w:p>
    <w:p>
      <w:pPr>
        <w:spacing w:after="0" w:line="20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competitive conditions in the home furnishings industry</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retail traffic levels in stores and on the web and consumer demand for home furnishings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of our customers and consumers to obtain credit</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profitability of the Bassett stores (independent licensees and Company-owned retail stores) which may result in future store closings</w:t>
      </w:r>
    </w:p>
    <w:p>
      <w:pPr>
        <w:spacing w:after="0" w:line="252"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implement our Company-owned retail strategies and realize the benefits from such strategies, including our initiatives to expand and improve our digital marketing capabilities, as they are implemented</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of marketing and advertising campaigns</w:t>
      </w:r>
    </w:p>
    <w:p>
      <w:pPr>
        <w:spacing w:after="0" w:line="252"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effectiveness and security of our information and technology systems and possible disruptions due to cybersecurity threats, including any impacts from a network security incident; and the sufficiency of our insurance coverage, including cybersecurity insurance</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future tax legislation, or regulatory or judicial positions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efficiently manage the import supply chain to minimize business interruption</w:t>
      </w:r>
    </w:p>
    <w:p>
      <w:pPr>
        <w:spacing w:after="0" w:line="252"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88" w:lineRule="exact"/>
        <w:rPr>
          <w:rFonts w:ascii="Times New Roman" w:cs="Times New Roman" w:eastAsia="Times New Roman" w:hAnsi="Times New Roman"/>
          <w:sz w:val="18"/>
          <w:szCs w:val="18"/>
          <w:color w:val="auto"/>
        </w:rPr>
      </w:pPr>
    </w:p>
    <w:p>
      <w:pPr>
        <w:jc w:val="both"/>
        <w:ind w:left="340" w:hanging="332"/>
        <w:spacing w:after="0" w:line="261" w:lineRule="auto"/>
        <w:tabs>
          <w:tab w:leader="none" w:pos="34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the COVID-19 pandemic and resulting supply chain disruptions upon our ability to maintain normal operations at our retail stores and manufacturing facilities, and the resulting effects any future interruption of those operations may have upon our financial condition, results of operations and liquidity, as well as the impact of the pandemic upon general economic conditions, including consumer spending and the strength of the housing market in the United States</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Additionally, other risks that could cause actual results to differ materially from those contemplated by such forward-looking statements are set forth in Part I, Item 1A. Risk Factors in the Company’s Annual Report on Form 10-K for the fiscal year ended November 27, 2021.</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You should keep in mind that any forward-looking statement made by us in this report or elsewhere speaks only as of the date on which such forward-looking statement is made. New risks and uncertainties arise from time to time, and it is impossible for us to predict these events or how they may affect us. We have no duty to, and do not intend to, update or revise the forward-looking statements in this discussion after the date hereof, except as may be required by law. In light of these risks and uncertainties, you should keep in mind that the events described in any forward-looking statement made in this report or elsewhere, might not occur.</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23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also sell our products through our website at </w:t>
      </w:r>
      <w:r>
        <w:rPr>
          <w:rFonts w:ascii="Times New Roman" w:cs="Times New Roman" w:eastAsia="Times New Roman" w:hAnsi="Times New Roman"/>
          <w:sz w:val="18"/>
          <w:szCs w:val="18"/>
          <w:u w:val="single" w:color="auto"/>
          <w:color w:val="auto"/>
        </w:rPr>
        <w:t>www.bassettfurniture.com</w:t>
      </w:r>
      <w:r>
        <w:rPr>
          <w:rFonts w:ascii="Times New Roman" w:cs="Times New Roman" w:eastAsia="Times New Roman" w:hAnsi="Times New Roman"/>
          <w:sz w:val="18"/>
          <w:szCs w:val="18"/>
          <w:color w:val="auto"/>
        </w:rPr>
        <w:t>. We were founded in 1902 and incorporated under the laws of Virginia in 1930. Our rich 120-year history has instilled the principles of quality, value, and integrity in everything we do, while simultaneously providing us with the expertise to respond to ever-changing consumer tastes and meet the demands of a global economy.</w:t>
      </w:r>
    </w:p>
    <w:p>
      <w:pPr>
        <w:spacing w:after="0" w:line="18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With 96 BHF stores at May 28, 2022, we have leveraged our strong brand name in furniture into a network of Company-owned and licensed stores that focus on providing consumers with a friendly and casual environment for buying furniture and accessories. Our store program is designed to provide a single source home furnishings retail store that provides a unique combination of stylish, quality furniture and accessories with a high level of customer service. In order for the Bassett brand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9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BHF stores feature custom order furniture, free in-home or virtual design visits (“home makeovers”) and coordinated decorating accessories. Our philosophy is based on building strong long-term relationships with each customer. Sales people are referred to as “Design Consultants” and are trained to evaluate customer needs and provide comprehensive solutions for their home decor. Until a rigorous training and design certification program is completed, Design Consultants are not authorized to perform in-home or virtual design services for our customers.</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the quarter ended May 28, 2022, we opened our first regional fulfillment center in Orlando, Florida where we are stocking our best sellers for much quicker delivery. This will add an element of immediacy to our proven platform of made to order custom furniture that has driven our strategy for the past two decades. We plan to roll this out nationwide over the near term with the next center to be opened in New Jersey in the early fall.</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2018, we added outdoor furniture to our offerings with the acquisition of the Lane Venture brand. Our strategy is to distribute these products outside of our BHF store network through a network of over 15 independent sales representatives. Using Lane Venture as a platform, we developed the Bassett Outdoor brand that is only marketed through the BHF store network. This allows Bassett branded product to move from inside the home to outside the home to capitalize on the growing trend of outdoor living.</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have factories in Newton, North Carolina that manufacture both stationary and motion upholstered furniture for inside the home along with our outdoor furniture offerings. We also have factories in Martinsville and Bassett, Virginia that assemble and finish our custom bedroom and dining offerings. We currently lease a facility in Haleyville, Alabama where we manufacture aluminum frames for our outdoor furniture. Our manufacturing team takes great pride in the breadth of its options, the precision of its craftsmanship, and the speed of its manufacturing process. In addition to the furniture that we manufacture domestically, we source most of our formal bedroom and dining room furniture (casegoods) and certain leather upholstery offerings from several foreign plants, primarily in Vietnam, Thailand and China. Over 75% of the products we currently sell are manufactured in the United States.</w:t>
      </w:r>
    </w:p>
    <w:p>
      <w:pPr>
        <w:spacing w:after="0" w:line="18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consider our website to be the front door to our brand experience where customers can research our furniture and accessory offerings and subsequently buy online or engage with an in-store design consultant. Customer acquisition resulting from our digital outreach strategies has significantly increased our traffic to the website since 2019. The migration to digital brand research has caused us to comprehensively evaluate all of our American made custom products. While our Bench Made line of custom upholstery and custom bedroom and dining products continue to be our most successful offerings, most of these items must be purchased in a store as they are not conducive to web transactions due to the number of options available. Consequently, we will continue to methodically re-design each one of these important lines to best serve our customers online, in the store or wherever our customer might be. Our intent is to continue to offer the consumer custom options that will help them personalize their home but to do so in an edited fashion that will provide a better web experience in the research phase and will also allow the final purchase to be made either on the web or in the store. While we work to make it easier to purchase either in store or on-line, we will not compromise our in-store experience or the quality of our in-home makeover capabilities.</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4" w:name="page25"/>
    <w:bookmarkEnd w:id="24"/>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are engaged in a multi-year cross-functional digital transformation initiative with the first phase consisting of the examination and improvement of our underlying data management processes. During the second quarter of 2022, we implemented a comprehensive Product Information Management system which will allow us to enhance and standardize our product development and data management and governance processes during the second half of 2022. This will result in more consistent data that our merchandizing and sales teams can use in analyzing various product and sales trends in order to make better informed decisions. We are also in the process of implementing a new eCommerce platform that we plan to introduce in 2023. The new web platform will leverage world class features including enhanced customer research capabilities and streamlined navigation that we believe will result in increased web traffic and sales. We expect to spend between $3,000 and $4,000 this fiscal year on these efforts.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Company-owned Retail Stores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we continually monitor the performance of our Company-owned retail store locations, we may occasionally determine that it is necessary to close underperforming stores in certain markets. During the first quarter of fiscal 2022 we closed one retail store in Ontario, California, and we plan to close our store in Wichita, Kansas, during the third quarter of fiscal 2022. We also plan to close our store in Farmingdale, New York, in the first quarter of fiscal 2023 and consolidate its operations with our existing store in nearby Westbury, New York. All of the above-mentioned closures are occurring at or near the lease expirations.</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During the second quarter of 2022, we acquired a 25,000 square foot store property in Tampa, Florida for $7,668. We are currently in the process of developing plans for store buildout and upfit with a planned opening date in the second quarter of 2023.</w:t>
      </w:r>
    </w:p>
    <w:p>
      <w:pPr>
        <w:spacing w:after="0" w:line="16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also may occasionally identify opportunities to enhance our presence in existing markets by relocating existing stores to better locations within the same market. Subsequent to the end of the second quarter of fiscal 2022 we sold the store property of one of our Houston, Texas locations for $8,200, net of closing costs, which will result in a gain of approximately $4,600 in the third quarter of 2022. For tax purposes, the sale of the Houston store and the purchase of the Tampa store will be treated as a 1031 exchange where the majority of the gain will not be taxed. We are currently running a store closure sale that will end later in the third quarter at which time the store will officially close. We expect to open a new leased store in a more upscale shopping area in the vicinity of the closed store in the second quarter of 2023. During the fourth quarter of fiscal 2022 at the end of the lease term, we expect to close our Dallas, Texas store located at the intersection of McKinney and Knox streets. We plan to open a replacement store in the nearby iconic Inwood Village shopping center during the fourth quarter of 2022.</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currently have 62 Corporate-owned stores operating and expect to end fiscal 2022 with 58 stores.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Sale of the Assets of Zenith Freight Lines, LLC</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During the first quarter of 2022, we entered into a definitive agreement to sell substantially all of the assets of our wholly-owned subsidiary, Zenith Freight Lines, LLC (“Zenith”) to J.B. Hunt Transport Services, Inc. (“J.B. Hunt”) for $86,939 in cash. On February 28, 2022 the transaction was completed with us receiving $85,521 after the payment of $418 in certain transaction costs and the funding of $1,000 held in escrow. The final purchase price is subject to a customary post-closing working capital adjustment, for which we have accrued an estimate of $1,003 due back to J.B. Hunt. In the second quarter of 2022, we recognized a pre-tax gain of $53,254 on this transaction. As a result of the sale, the operations of our former logistical services segment, which consisted entirely of the operations of Zenith, are presented in the accompanying condensed consolidated statements of income and in the following discussion as discontinued operations.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25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Results of Continuing Operations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Periods ended May 28, 2022 compared with the periods ended May 29, 2021:</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Consolidated results of continuing operations for the three and six months ended May 28, 2022 and May 29, 2021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0" w:type="dxa"/>
            <w:vAlign w:val="bottom"/>
            <w:gridSpan w:val="5"/>
          </w:tcPr>
          <w:p>
            <w:pPr>
              <w:jc w:val="right"/>
              <w:ind w:right="379"/>
              <w:spacing w:after="0"/>
              <w:rPr>
                <w:sz w:val="20"/>
                <w:szCs w:val="20"/>
                <w:color w:val="auto"/>
              </w:rPr>
            </w:pPr>
            <w:r>
              <w:rPr>
                <w:rFonts w:ascii="Times New Roman" w:cs="Times New Roman" w:eastAsia="Times New Roman" w:hAnsi="Times New Roman"/>
                <w:sz w:val="16"/>
                <w:szCs w:val="16"/>
                <w:color w:val="auto"/>
              </w:rPr>
              <w:t>Quarter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80" w:type="dxa"/>
            <w:vAlign w:val="bottom"/>
            <w:gridSpan w:val="3"/>
          </w:tcPr>
          <w:p>
            <w:pPr>
              <w:jc w:val="right"/>
              <w:ind w:right="760"/>
              <w:spacing w:after="0"/>
              <w:rPr>
                <w:sz w:val="20"/>
                <w:szCs w:val="20"/>
                <w:color w:val="auto"/>
              </w:rPr>
            </w:pPr>
            <w:r>
              <w:rPr>
                <w:rFonts w:ascii="Times New Roman" w:cs="Times New Roman" w:eastAsia="Times New Roman" w:hAnsi="Times New Roman"/>
                <w:sz w:val="16"/>
                <w:szCs w:val="16"/>
                <w:color w:val="auto"/>
              </w:rPr>
              <w:t>Change</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700" w:type="dxa"/>
            <w:vAlign w:val="bottom"/>
            <w:gridSpan w:val="4"/>
          </w:tcPr>
          <w:p>
            <w:pPr>
              <w:jc w:val="right"/>
              <w:ind w:right="279"/>
              <w:spacing w:after="0"/>
              <w:rPr>
                <w:sz w:val="20"/>
                <w:szCs w:val="20"/>
                <w:color w:val="auto"/>
              </w:rPr>
            </w:pPr>
            <w:r>
              <w:rPr>
                <w:rFonts w:ascii="Times New Roman" w:cs="Times New Roman" w:eastAsia="Times New Roman" w:hAnsi="Times New Roman"/>
                <w:sz w:val="16"/>
                <w:szCs w:val="16"/>
                <w:color w:val="auto"/>
              </w:rPr>
              <w:t>Six Months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3"/>
          </w:tcPr>
          <w:p>
            <w:pPr>
              <w:jc w:val="right"/>
              <w:ind w:right="660"/>
              <w:spacing w:after="0"/>
              <w:rPr>
                <w:sz w:val="20"/>
                <w:szCs w:val="20"/>
                <w:color w:val="auto"/>
              </w:rPr>
            </w:pPr>
            <w:r>
              <w:rPr>
                <w:rFonts w:ascii="Times New Roman" w:cs="Times New Roman" w:eastAsia="Times New Roman" w:hAnsi="Times New Roman"/>
                <w:sz w:val="16"/>
                <w:szCs w:val="16"/>
                <w:color w:val="auto"/>
              </w:rPr>
              <w:t>Change</w:t>
            </w:r>
          </w:p>
        </w:tc>
        <w:tc>
          <w:tcPr>
            <w:tcW w:w="0" w:type="dxa"/>
            <w:vAlign w:val="bottom"/>
          </w:tcPr>
          <w:p>
            <w:pPr>
              <w:spacing w:after="0"/>
              <w:rPr>
                <w:sz w:val="1"/>
                <w:szCs w:val="1"/>
                <w:color w:val="auto"/>
              </w:rPr>
            </w:pPr>
          </w:p>
        </w:tc>
      </w:tr>
      <w:tr>
        <w:trPr>
          <w:trHeight w:val="202"/>
        </w:trPr>
        <w:tc>
          <w:tcPr>
            <w:tcW w:w="13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40" w:type="dxa"/>
            <w:vAlign w:val="bottom"/>
            <w:tcBorders>
              <w:top w:val="single" w:sz="8" w:color="auto"/>
            </w:tcBorders>
            <w:gridSpan w:val="3"/>
          </w:tcPr>
          <w:p>
            <w:pPr>
              <w:jc w:val="right"/>
              <w:ind w:right="400"/>
              <w:spacing w:after="0"/>
              <w:rPr>
                <w:sz w:val="20"/>
                <w:szCs w:val="20"/>
                <w:color w:val="auto"/>
              </w:rPr>
            </w:pPr>
            <w:r>
              <w:rPr>
                <w:rFonts w:ascii="Times New Roman" w:cs="Times New Roman" w:eastAsia="Times New Roman" w:hAnsi="Times New Roman"/>
                <w:sz w:val="16"/>
                <w:szCs w:val="16"/>
                <w:color w:val="auto"/>
              </w:rPr>
              <w:t>May 28, 2022</w:t>
            </w:r>
          </w:p>
        </w:tc>
        <w:tc>
          <w:tcPr>
            <w:tcW w:w="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gridSpan w:val="2"/>
          </w:tcPr>
          <w:p>
            <w:pPr>
              <w:ind w:left="14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7"/>
              </w:rPr>
              <w:t>Dollars</w:t>
            </w: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Percent</w:t>
            </w: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560" w:type="dxa"/>
            <w:vAlign w:val="bottom"/>
            <w:tcBorders>
              <w:top w:val="single" w:sz="8" w:color="auto"/>
            </w:tcBorders>
            <w:gridSpan w:val="3"/>
          </w:tcPr>
          <w:p>
            <w:pPr>
              <w:jc w:val="right"/>
              <w:ind w:right="500"/>
              <w:spacing w:after="0"/>
              <w:rPr>
                <w:sz w:val="20"/>
                <w:szCs w:val="20"/>
                <w:color w:val="auto"/>
              </w:rPr>
            </w:pPr>
            <w:r>
              <w:rPr>
                <w:rFonts w:ascii="Times New Roman" w:cs="Times New Roman" w:eastAsia="Times New Roman" w:hAnsi="Times New Roman"/>
                <w:sz w:val="16"/>
                <w:szCs w:val="16"/>
                <w:color w:val="auto"/>
              </w:rPr>
              <w:t>May 28, 2022</w:t>
            </w:r>
          </w:p>
        </w:tc>
        <w:tc>
          <w:tcPr>
            <w:tcW w:w="10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gridSpan w:val="2"/>
          </w:tcPr>
          <w:p>
            <w:pPr>
              <w:ind w:left="14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7"/>
              </w:rPr>
              <w:t>Dollars</w:t>
            </w:r>
          </w:p>
        </w:tc>
        <w:tc>
          <w:tcPr>
            <w:tcW w:w="7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Percent</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130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Net sales of</w:t>
            </w:r>
          </w:p>
        </w:tc>
        <w:tc>
          <w:tcPr>
            <w:tcW w:w="1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30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furniture and</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30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accessories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w w:val="99"/>
              </w:rPr>
              <w:t>128,706</w:t>
            </w:r>
          </w:p>
        </w:tc>
        <w:tc>
          <w:tcPr>
            <w:tcW w:w="7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100.0%</w:t>
            </w:r>
          </w:p>
        </w:tc>
        <w:tc>
          <w:tcPr>
            <w:tcW w:w="1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109,997</w:t>
            </w: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100.0%</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18,709</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17.0%</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w w:val="99"/>
              </w:rPr>
              <w:t>246,570</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211,652</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34,918</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16.5%</w:t>
            </w:r>
          </w:p>
        </w:tc>
        <w:tc>
          <w:tcPr>
            <w:tcW w:w="0" w:type="dxa"/>
            <w:vAlign w:val="bottom"/>
          </w:tcPr>
          <w:p>
            <w:pPr>
              <w:spacing w:after="0"/>
              <w:rPr>
                <w:sz w:val="1"/>
                <w:szCs w:val="1"/>
                <w:color w:val="auto"/>
              </w:rPr>
            </w:pPr>
          </w:p>
        </w:tc>
      </w:tr>
      <w:tr>
        <w:trPr>
          <w:trHeight w:val="189"/>
        </w:trPr>
        <w:tc>
          <w:tcPr>
            <w:tcW w:w="1300" w:type="dxa"/>
            <w:vAlign w:val="bottom"/>
          </w:tcPr>
          <w:p>
            <w:pPr>
              <w:spacing w:after="0"/>
              <w:rPr>
                <w:sz w:val="20"/>
                <w:szCs w:val="20"/>
                <w:color w:val="auto"/>
              </w:rPr>
            </w:pPr>
            <w:r>
              <w:rPr>
                <w:rFonts w:ascii="Times New Roman" w:cs="Times New Roman" w:eastAsia="Times New Roman" w:hAnsi="Times New Roman"/>
                <w:sz w:val="16"/>
                <w:szCs w:val="16"/>
                <w:color w:val="auto"/>
              </w:rPr>
              <w:t>Cost of furniture</w:t>
            </w: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300" w:type="dxa"/>
            <w:vAlign w:val="bottom"/>
          </w:tcPr>
          <w:p>
            <w:pPr>
              <w:spacing w:after="0"/>
              <w:rPr>
                <w:sz w:val="20"/>
                <w:szCs w:val="20"/>
                <w:color w:val="auto"/>
              </w:rPr>
            </w:pPr>
            <w:r>
              <w:rPr>
                <w:rFonts w:ascii="Times New Roman" w:cs="Times New Roman" w:eastAsia="Times New Roman" w:hAnsi="Times New Roman"/>
                <w:sz w:val="16"/>
                <w:szCs w:val="16"/>
                <w:color w:val="auto"/>
              </w:rPr>
              <w:t>and accessories</w:t>
            </w:r>
          </w:p>
        </w:tc>
        <w:tc>
          <w:tcPr>
            <w:tcW w:w="100" w:type="dxa"/>
            <w:vAlign w:val="bottom"/>
          </w:tcPr>
          <w:p>
            <w:pPr>
              <w:spacing w:after="0"/>
              <w:rPr>
                <w:sz w:val="17"/>
                <w:szCs w:val="17"/>
                <w:color w:val="auto"/>
              </w:rPr>
            </w:pPr>
          </w:p>
        </w:tc>
        <w:tc>
          <w:tcPr>
            <w:tcW w:w="720" w:type="dxa"/>
            <w:vAlign w:val="bottom"/>
            <w:vMerge w:val="restart"/>
          </w:tcPr>
          <w:p>
            <w:pPr>
              <w:jc w:val="right"/>
              <w:ind w:right="99"/>
              <w:spacing w:after="0"/>
              <w:rPr>
                <w:sz w:val="20"/>
                <w:szCs w:val="20"/>
                <w:color w:val="auto"/>
              </w:rPr>
            </w:pPr>
            <w:r>
              <w:rPr>
                <w:rFonts w:ascii="Times New Roman" w:cs="Times New Roman" w:eastAsia="Times New Roman" w:hAnsi="Times New Roman"/>
                <w:sz w:val="16"/>
                <w:szCs w:val="16"/>
                <w:color w:val="auto"/>
              </w:rPr>
              <w:t>62,767</w:t>
            </w:r>
          </w:p>
        </w:tc>
        <w:tc>
          <w:tcPr>
            <w:tcW w:w="7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48.8%</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vMerge w:val="restart"/>
          </w:tcPr>
          <w:p>
            <w:pPr>
              <w:jc w:val="right"/>
              <w:ind w:right="119"/>
              <w:spacing w:after="0"/>
              <w:rPr>
                <w:sz w:val="20"/>
                <w:szCs w:val="20"/>
                <w:color w:val="auto"/>
              </w:rPr>
            </w:pPr>
            <w:r>
              <w:rPr>
                <w:rFonts w:ascii="Times New Roman" w:cs="Times New Roman" w:eastAsia="Times New Roman" w:hAnsi="Times New Roman"/>
                <w:sz w:val="16"/>
                <w:szCs w:val="16"/>
                <w:color w:val="auto"/>
              </w:rPr>
              <w:t>52,911</w:t>
            </w:r>
          </w:p>
        </w:tc>
        <w:tc>
          <w:tcPr>
            <w:tcW w:w="8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48.1%</w:t>
            </w:r>
          </w:p>
        </w:tc>
        <w:tc>
          <w:tcPr>
            <w:tcW w:w="80" w:type="dxa"/>
            <w:vAlign w:val="bottom"/>
          </w:tcPr>
          <w:p>
            <w:pPr>
              <w:spacing w:after="0"/>
              <w:rPr>
                <w:sz w:val="17"/>
                <w:szCs w:val="17"/>
                <w:color w:val="auto"/>
              </w:rPr>
            </w:pPr>
          </w:p>
        </w:tc>
        <w:tc>
          <w:tcPr>
            <w:tcW w:w="72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rPr>
              <w:t>9,856</w:t>
            </w:r>
          </w:p>
        </w:tc>
        <w:tc>
          <w:tcPr>
            <w:tcW w:w="9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18.6%</w:t>
            </w:r>
          </w:p>
        </w:tc>
        <w:tc>
          <w:tcPr>
            <w:tcW w:w="80" w:type="dxa"/>
            <w:vAlign w:val="bottom"/>
          </w:tcPr>
          <w:p>
            <w:pPr>
              <w:spacing w:after="0"/>
              <w:rPr>
                <w:sz w:val="17"/>
                <w:szCs w:val="17"/>
                <w:color w:val="auto"/>
              </w:rPr>
            </w:pPr>
          </w:p>
        </w:tc>
        <w:tc>
          <w:tcPr>
            <w:tcW w:w="70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w w:val="99"/>
              </w:rPr>
              <w:t>123,239</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50.0%</w:t>
            </w:r>
          </w:p>
        </w:tc>
        <w:tc>
          <w:tcPr>
            <w:tcW w:w="100" w:type="dxa"/>
            <w:vAlign w:val="bottom"/>
          </w:tcPr>
          <w:p>
            <w:pPr>
              <w:spacing w:after="0"/>
              <w:rPr>
                <w:sz w:val="17"/>
                <w:szCs w:val="17"/>
                <w:color w:val="auto"/>
              </w:rPr>
            </w:pPr>
          </w:p>
        </w:tc>
        <w:tc>
          <w:tcPr>
            <w:tcW w:w="740" w:type="dxa"/>
            <w:vAlign w:val="bottom"/>
            <w:vMerge w:val="restart"/>
          </w:tcPr>
          <w:p>
            <w:pPr>
              <w:jc w:val="right"/>
              <w:ind w:right="119"/>
              <w:spacing w:after="0"/>
              <w:rPr>
                <w:sz w:val="20"/>
                <w:szCs w:val="20"/>
                <w:color w:val="auto"/>
              </w:rPr>
            </w:pPr>
            <w:r>
              <w:rPr>
                <w:rFonts w:ascii="Times New Roman" w:cs="Times New Roman" w:eastAsia="Times New Roman" w:hAnsi="Times New Roman"/>
                <w:sz w:val="16"/>
                <w:szCs w:val="16"/>
                <w:color w:val="auto"/>
                <w:w w:val="99"/>
              </w:rPr>
              <w:t>101,163</w:t>
            </w: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47.8%</w:t>
            </w:r>
          </w:p>
        </w:tc>
        <w:tc>
          <w:tcPr>
            <w:tcW w:w="100" w:type="dxa"/>
            <w:vAlign w:val="bottom"/>
          </w:tcPr>
          <w:p>
            <w:pPr>
              <w:spacing w:after="0"/>
              <w:rPr>
                <w:sz w:val="17"/>
                <w:szCs w:val="17"/>
                <w:color w:val="auto"/>
              </w:rPr>
            </w:pPr>
          </w:p>
        </w:tc>
        <w:tc>
          <w:tcPr>
            <w:tcW w:w="72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rPr>
              <w:t>22,076</w:t>
            </w:r>
          </w:p>
        </w:tc>
        <w:tc>
          <w:tcPr>
            <w:tcW w:w="8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color w:val="auto"/>
              </w:rPr>
              <w:t>21.8%</w:t>
            </w:r>
          </w:p>
        </w:tc>
        <w:tc>
          <w:tcPr>
            <w:tcW w:w="0" w:type="dxa"/>
            <w:vAlign w:val="bottom"/>
          </w:tcPr>
          <w:p>
            <w:pPr>
              <w:spacing w:after="0"/>
              <w:rPr>
                <w:sz w:val="1"/>
                <w:szCs w:val="1"/>
                <w:color w:val="auto"/>
              </w:rPr>
            </w:pPr>
          </w:p>
        </w:tc>
      </w:tr>
      <w:tr>
        <w:trPr>
          <w:trHeight w:val="203"/>
        </w:trPr>
        <w:tc>
          <w:tcPr>
            <w:tcW w:w="1300" w:type="dxa"/>
            <w:vAlign w:val="bottom"/>
          </w:tcPr>
          <w:p>
            <w:pPr>
              <w:spacing w:after="0"/>
              <w:rPr>
                <w:sz w:val="20"/>
                <w:szCs w:val="20"/>
                <w:color w:val="auto"/>
              </w:rPr>
            </w:pPr>
            <w:r>
              <w:rPr>
                <w:rFonts w:ascii="Times New Roman" w:cs="Times New Roman" w:eastAsia="Times New Roman" w:hAnsi="Times New Roman"/>
                <w:sz w:val="16"/>
                <w:szCs w:val="16"/>
                <w:color w:val="auto"/>
              </w:rPr>
              <w:t>sold</w:t>
            </w:r>
          </w:p>
        </w:tc>
        <w:tc>
          <w:tcPr>
            <w:tcW w:w="100" w:type="dxa"/>
            <w:vAlign w:val="bottom"/>
          </w:tcPr>
          <w:p>
            <w:pPr>
              <w:spacing w:after="0"/>
              <w:rPr>
                <w:sz w:val="17"/>
                <w:szCs w:val="17"/>
                <w:color w:val="auto"/>
              </w:rPr>
            </w:pPr>
          </w:p>
        </w:tc>
        <w:tc>
          <w:tcPr>
            <w:tcW w:w="720" w:type="dxa"/>
            <w:vAlign w:val="bottom"/>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vMerge w:val="continue"/>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vMerge w:val="continue"/>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86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vMerge w:val="continue"/>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vMerge w:val="continue"/>
          </w:tcPr>
          <w:p>
            <w:pPr>
              <w:spacing w:after="0"/>
              <w:rPr>
                <w:sz w:val="17"/>
                <w:szCs w:val="17"/>
                <w:color w:val="auto"/>
              </w:rPr>
            </w:pPr>
          </w:p>
        </w:tc>
        <w:tc>
          <w:tcPr>
            <w:tcW w:w="86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Gross profit</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65,939</w:t>
            </w:r>
          </w:p>
        </w:tc>
        <w:tc>
          <w:tcPr>
            <w:tcW w:w="7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51.2%</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57,086</w:t>
            </w: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51.9%</w:t>
            </w: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8,853</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15.5%</w:t>
            </w: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w w:val="99"/>
              </w:rPr>
              <w:t>123,331</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50.0%</w:t>
            </w: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110,489</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52.2%</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12,842</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0" w:type="dxa"/>
            <w:vAlign w:val="bottom"/>
          </w:tcPr>
          <w:p>
            <w:pPr>
              <w:spacing w:after="0"/>
              <w:rPr>
                <w:sz w:val="1"/>
                <w:szCs w:val="1"/>
                <w:color w:val="auto"/>
              </w:rPr>
            </w:pPr>
          </w:p>
        </w:tc>
      </w:tr>
      <w:tr>
        <w:trPr>
          <w:trHeight w:val="203"/>
        </w:trPr>
        <w:tc>
          <w:tcPr>
            <w:tcW w:w="1300" w:type="dxa"/>
            <w:vAlign w:val="bottom"/>
          </w:tcPr>
          <w:p>
            <w:pPr>
              <w:spacing w:after="0"/>
              <w:rPr>
                <w:sz w:val="20"/>
                <w:szCs w:val="20"/>
                <w:color w:val="auto"/>
              </w:rPr>
            </w:pPr>
            <w:r>
              <w:rPr>
                <w:rFonts w:ascii="Times New Roman" w:cs="Times New Roman" w:eastAsia="Times New Roman" w:hAnsi="Times New Roman"/>
                <w:sz w:val="16"/>
                <w:szCs w:val="16"/>
                <w:color w:val="auto"/>
              </w:rPr>
              <w:t>SG&amp;A expenses</w:t>
            </w:r>
          </w:p>
        </w:tc>
        <w:tc>
          <w:tcPr>
            <w:tcW w:w="100" w:type="dxa"/>
            <w:vAlign w:val="bottom"/>
          </w:tcPr>
          <w:p>
            <w:pPr>
              <w:spacing w:after="0"/>
              <w:rPr>
                <w:sz w:val="17"/>
                <w:szCs w:val="17"/>
                <w:color w:val="auto"/>
              </w:rPr>
            </w:pPr>
          </w:p>
        </w:tc>
        <w:tc>
          <w:tcPr>
            <w:tcW w:w="72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54,927</w:t>
            </w:r>
          </w:p>
        </w:tc>
        <w:tc>
          <w:tcPr>
            <w:tcW w:w="7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42.7%</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50,001</w:t>
            </w: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45.5%</w:t>
            </w:r>
          </w:p>
        </w:tc>
        <w:tc>
          <w:tcPr>
            <w:tcW w:w="80" w:type="dxa"/>
            <w:vAlign w:val="bottom"/>
          </w:tcPr>
          <w:p>
            <w:pPr>
              <w:spacing w:after="0"/>
              <w:rPr>
                <w:sz w:val="17"/>
                <w:szCs w:val="17"/>
                <w:color w:val="auto"/>
              </w:rPr>
            </w:pPr>
          </w:p>
        </w:tc>
        <w:tc>
          <w:tcPr>
            <w:tcW w:w="72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4,926</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9.9%</w:t>
            </w:r>
          </w:p>
        </w:tc>
        <w:tc>
          <w:tcPr>
            <w:tcW w:w="80" w:type="dxa"/>
            <w:vAlign w:val="bottom"/>
          </w:tcPr>
          <w:p>
            <w:pPr>
              <w:spacing w:after="0"/>
              <w:rPr>
                <w:sz w:val="17"/>
                <w:szCs w:val="17"/>
                <w:color w:val="auto"/>
              </w:rPr>
            </w:pPr>
          </w:p>
        </w:tc>
        <w:tc>
          <w:tcPr>
            <w:tcW w:w="70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99"/>
              </w:rPr>
              <w:t>105,841</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42.9%</w:t>
            </w:r>
          </w:p>
        </w:tc>
        <w:tc>
          <w:tcPr>
            <w:tcW w:w="100" w:type="dxa"/>
            <w:vAlign w:val="bottom"/>
          </w:tcPr>
          <w:p>
            <w:pPr>
              <w:spacing w:after="0"/>
              <w:rPr>
                <w:sz w:val="17"/>
                <w:szCs w:val="17"/>
                <w:color w:val="auto"/>
              </w:rPr>
            </w:pPr>
          </w:p>
        </w:tc>
        <w:tc>
          <w:tcPr>
            <w:tcW w:w="7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97,842</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46.2%</w:t>
            </w:r>
          </w:p>
        </w:tc>
        <w:tc>
          <w:tcPr>
            <w:tcW w:w="100" w:type="dxa"/>
            <w:vAlign w:val="bottom"/>
          </w:tcPr>
          <w:p>
            <w:pPr>
              <w:spacing w:after="0"/>
              <w:rPr>
                <w:sz w:val="17"/>
                <w:szCs w:val="17"/>
                <w:color w:val="auto"/>
              </w:rPr>
            </w:pPr>
          </w:p>
        </w:tc>
        <w:tc>
          <w:tcPr>
            <w:tcW w:w="72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7,999</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8.2%</w:t>
            </w:r>
          </w:p>
        </w:tc>
        <w:tc>
          <w:tcPr>
            <w:tcW w:w="0" w:type="dxa"/>
            <w:vAlign w:val="bottom"/>
          </w:tcPr>
          <w:p>
            <w:pPr>
              <w:spacing w:after="0"/>
              <w:rPr>
                <w:sz w:val="1"/>
                <w:szCs w:val="1"/>
                <w:color w:val="auto"/>
              </w:rPr>
            </w:pPr>
          </w:p>
        </w:tc>
      </w:tr>
      <w:tr>
        <w:trPr>
          <w:trHeight w:val="196"/>
        </w:trPr>
        <w:tc>
          <w:tcPr>
            <w:tcW w:w="13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1300" w:type="dxa"/>
            <w:vAlign w:val="bottom"/>
          </w:tcPr>
          <w:p>
            <w:pPr>
              <w:spacing w:after="0"/>
              <w:rPr>
                <w:sz w:val="20"/>
                <w:szCs w:val="20"/>
                <w:color w:val="auto"/>
              </w:rPr>
            </w:pPr>
            <w:r>
              <w:rPr>
                <w:rFonts w:ascii="Times New Roman" w:cs="Times New Roman" w:eastAsia="Times New Roman" w:hAnsi="Times New Roman"/>
                <w:sz w:val="16"/>
                <w:szCs w:val="16"/>
                <w:color w:val="auto"/>
              </w:rPr>
              <w:t>Income from</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vMerge w:val="restart"/>
          </w:tcPr>
          <w:p>
            <w:pPr>
              <w:jc w:val="right"/>
              <w:ind w:right="99"/>
              <w:spacing w:after="0"/>
              <w:rPr>
                <w:sz w:val="20"/>
                <w:szCs w:val="20"/>
                <w:color w:val="auto"/>
              </w:rPr>
            </w:pPr>
            <w:r>
              <w:rPr>
                <w:rFonts w:ascii="Times New Roman" w:cs="Times New Roman" w:eastAsia="Times New Roman" w:hAnsi="Times New Roman"/>
                <w:sz w:val="16"/>
                <w:szCs w:val="16"/>
                <w:color w:val="auto"/>
              </w:rPr>
              <w:t>11,012</w:t>
            </w:r>
          </w:p>
        </w:tc>
        <w:tc>
          <w:tcPr>
            <w:tcW w:w="7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8.6%</w:t>
            </w:r>
          </w:p>
        </w:tc>
        <w:tc>
          <w:tcPr>
            <w:tcW w:w="1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vMerge w:val="restart"/>
          </w:tcPr>
          <w:p>
            <w:pPr>
              <w:jc w:val="right"/>
              <w:ind w:right="119"/>
              <w:spacing w:after="0"/>
              <w:rPr>
                <w:sz w:val="20"/>
                <w:szCs w:val="20"/>
                <w:color w:val="auto"/>
              </w:rPr>
            </w:pPr>
            <w:r>
              <w:rPr>
                <w:rFonts w:ascii="Times New Roman" w:cs="Times New Roman" w:eastAsia="Times New Roman" w:hAnsi="Times New Roman"/>
                <w:sz w:val="16"/>
                <w:szCs w:val="16"/>
                <w:color w:val="auto"/>
              </w:rPr>
              <w:t>7,085</w:t>
            </w:r>
          </w:p>
        </w:tc>
        <w:tc>
          <w:tcPr>
            <w:tcW w:w="8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6.4%</w:t>
            </w:r>
          </w:p>
        </w:tc>
        <w:tc>
          <w:tcPr>
            <w:tcW w:w="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rPr>
              <w:t>3,927</w:t>
            </w:r>
          </w:p>
        </w:tc>
        <w:tc>
          <w:tcPr>
            <w:tcW w:w="9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55.4%</w:t>
            </w:r>
          </w:p>
        </w:tc>
        <w:tc>
          <w:tcPr>
            <w:tcW w:w="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rPr>
              <w:t>17,490</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7.2%</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vMerge w:val="restart"/>
          </w:tcPr>
          <w:p>
            <w:pPr>
              <w:jc w:val="right"/>
              <w:ind w:right="119"/>
              <w:spacing w:after="0"/>
              <w:rPr>
                <w:sz w:val="20"/>
                <w:szCs w:val="20"/>
                <w:color w:val="auto"/>
              </w:rPr>
            </w:pPr>
            <w:r>
              <w:rPr>
                <w:rFonts w:ascii="Times New Roman" w:cs="Times New Roman" w:eastAsia="Times New Roman" w:hAnsi="Times New Roman"/>
                <w:sz w:val="16"/>
                <w:szCs w:val="16"/>
                <w:color w:val="auto"/>
              </w:rPr>
              <w:t>12,647</w:t>
            </w: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6.0%</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rPr>
              <w:t>4,843</w:t>
            </w:r>
          </w:p>
        </w:tc>
        <w:tc>
          <w:tcPr>
            <w:tcW w:w="8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color w:val="auto"/>
              </w:rPr>
              <w:t>38.3%</w:t>
            </w:r>
          </w:p>
        </w:tc>
        <w:tc>
          <w:tcPr>
            <w:tcW w:w="0" w:type="dxa"/>
            <w:vAlign w:val="bottom"/>
          </w:tcPr>
          <w:p>
            <w:pPr>
              <w:spacing w:after="0"/>
              <w:rPr>
                <w:sz w:val="1"/>
                <w:szCs w:val="1"/>
                <w:color w:val="auto"/>
              </w:rPr>
            </w:pPr>
          </w:p>
        </w:tc>
      </w:tr>
      <w:tr>
        <w:trPr>
          <w:trHeight w:val="176"/>
        </w:trPr>
        <w:tc>
          <w:tcPr>
            <w:tcW w:w="130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operations</w:t>
            </w:r>
          </w:p>
        </w:tc>
        <w:tc>
          <w:tcPr>
            <w:tcW w:w="10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40" w:type="dxa"/>
            <w:vAlign w:val="bottom"/>
            <w:gridSpan w:val="2"/>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8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960" w:type="dxa"/>
            <w:vAlign w:val="bottom"/>
            <w:gridSpan w:val="2"/>
            <w:vMerge w:val="continue"/>
          </w:tcPr>
          <w:p>
            <w:pPr>
              <w:spacing w:after="0"/>
              <w:rPr>
                <w:sz w:val="15"/>
                <w:szCs w:val="15"/>
                <w:color w:val="auto"/>
              </w:rPr>
            </w:pPr>
          </w:p>
        </w:tc>
        <w:tc>
          <w:tcPr>
            <w:tcW w:w="8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Analysis of Quarterly Results:</w:t>
      </w:r>
    </w:p>
    <w:p>
      <w:pPr>
        <w:spacing w:after="0" w:line="22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Total sales revenue for the three ended May 28, 2022 increased $18,709 from the prior year period primarily due to a 10% increase in wholesale shipments to the open market, along with a 21% increase in retail sales.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Gross margins for the three months ended May 28, 2022 decreased 70 basis points from 2021 primarily due to rising raw material and inbound freight costs, including the impact of rising fuel prices, partially offset by greater fixed cost leverage from increased sales. While these rising costs have been somewhat mitigated by price increases implemented since the first quarter of 2021, the increase in order backlogs and order fulfillment times limited our ability to match revised pricing to manufacturing costs. Another wholesale price increase was implemented during the second quarter of fiscal 2022, and we will continue to monitor our costs to determine if additional price increases are warranted.</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Selling, general and administrative (“SG&amp;A”) expenses as a percentage of sales for the three months ended May 28, 2022 decreased 280 basis points from 2021 primarily due to improved leverage of fixed costs due to higher sales levels.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Analysis of Year-to-Date Results:</w:t>
      </w:r>
    </w:p>
    <w:p>
      <w:pPr>
        <w:spacing w:after="0" w:line="22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Total sales revenue for the six months ended May 28, 2022 increased $34,918 from the prior year period primarily due to an 18% increase in wholesale shipments to the open market, along with a 14% increase in retail sales.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Gross margins for the six months ended May 28, 2022 decreased 220 basis points from 2021 primarily due to rising raw material and inbound freight costs, including the impact of rising fuel prices, partially offset by greater fixed cost leverage from increased sales. While these rising costs have been somewhat mitigated by price increases implemented since the first quarter of 2021, the increase in order backlogs and order fulfillment times limited our ability to match revised pricing to manufacturing costs. Another wholesale price increase was implemented during the second quarter of fiscal 2022, and we will continue to monitor our costs to determine if additional price increases are warranted.</w:t>
      </w:r>
    </w:p>
    <w:p>
      <w:pPr>
        <w:spacing w:after="0" w:line="183"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SG&amp;A expenses as a percentage of sales for the six months ended May 28, 2022 decreased 330 basis points from 2021 primarily due to improved leverage of fixed costs through higher sales levels.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26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6" w:name="page27"/>
    <w:bookmarkEnd w:id="2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strategically aligned our business into two reportable segments as described below:</w:t>
      </w:r>
    </w:p>
    <w:p>
      <w:pPr>
        <w:spacing w:after="0" w:line="221" w:lineRule="exact"/>
        <w:rPr>
          <w:sz w:val="20"/>
          <w:szCs w:val="20"/>
          <w:color w:val="auto"/>
        </w:rPr>
      </w:pPr>
    </w:p>
    <w:p>
      <w:pPr>
        <w:jc w:val="both"/>
        <w:ind w:left="660"/>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furniture products to a network of Bassett stores (Company-owned and licensee-owned retail stores) and independent furniture retailers. Our wholesale segment includes our wood and upholstery operations, which include Lane Venture,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Also included in our wholesale segment are our short-term investments and our holdings of retail real estate previously leased as licensee stores. The earnings and costs associated with these assets are included in other loss, net, in our condensed consolidated statements of operations.</w:t>
      </w:r>
    </w:p>
    <w:p>
      <w:pPr>
        <w:spacing w:after="0" w:line="185" w:lineRule="exact"/>
        <w:rPr>
          <w:sz w:val="20"/>
          <w:szCs w:val="20"/>
          <w:color w:val="auto"/>
        </w:rPr>
      </w:pPr>
    </w:p>
    <w:p>
      <w:pPr>
        <w:jc w:val="both"/>
        <w:ind w:left="66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Retail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Company-owned stores. </w:t>
      </w:r>
      <w:r>
        <w:rPr>
          <w:rFonts w:ascii="Times New Roman" w:cs="Times New Roman" w:eastAsia="Times New Roman" w:hAnsi="Times New Roman"/>
          <w:sz w:val="18"/>
          <w:szCs w:val="18"/>
          <w:color w:val="auto"/>
        </w:rPr>
        <w:t>Our retail segment consists of Company-owned stores and includes the revenues, expenses, assets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liabilities (including real estate) and capital expenditures directly related to these stores and the Company-owned distribution network utilized to deliver products to our retail customers.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former logistical services segment which represented the operations of Zenith is now presented as discontinued operations.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27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7" w:name="page28"/>
    <w:bookmarkEnd w:id="27"/>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u w:val="single" w:color="auto"/>
          <w:color w:val="auto"/>
        </w:rPr>
        <w:t>Reconciliation of Segment Results to Consolidated Results of Operations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To supplement the financial measures prepared in accordance with GAAP, we present gross profit by segment inclusive of the effects of intercompany sales by our wholesale segment to our retail segment. Because these intercompany transactions are not eliminated from our segment presentations and because we do not present gross profit as a measure of segment profitability in the accompanying condensed consolidated financial statements, the presentation of gross profit by segment is considered to be a non-GAAP financial measure. The reconciliation of this non-GAAP financial measure to the most directly comparable financial measure calculated and presented in accordance with GAAP is presented below along with the effects of various other intercompany eliminations on our consolidated results of operations.</w:t>
      </w:r>
    </w:p>
    <w:p>
      <w:pPr>
        <w:spacing w:after="0" w:line="187" w:lineRule="exact"/>
        <w:rPr>
          <w:sz w:val="20"/>
          <w:szCs w:val="20"/>
          <w:color w:val="auto"/>
        </w:rPr>
      </w:pPr>
    </w:p>
    <w:tbl>
      <w:tblPr>
        <w:tblLayout w:type="fixed"/>
        <w:tblInd w:w="56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560" w:type="dxa"/>
            <w:vAlign w:val="bottom"/>
            <w:tcBorders>
              <w:bottom w:val="single" w:sz="8" w:color="auto"/>
            </w:tcBorders>
            <w:gridSpan w:val="3"/>
          </w:tcPr>
          <w:p>
            <w:pPr>
              <w:jc w:val="center"/>
              <w:ind w:right="70"/>
              <w:spacing w:after="0"/>
              <w:rPr>
                <w:sz w:val="20"/>
                <w:szCs w:val="20"/>
                <w:color w:val="auto"/>
              </w:rPr>
            </w:pPr>
            <w:r>
              <w:rPr>
                <w:rFonts w:ascii="Times New Roman" w:cs="Times New Roman" w:eastAsia="Times New Roman" w:hAnsi="Times New Roman"/>
                <w:sz w:val="18"/>
                <w:szCs w:val="18"/>
                <w:color w:val="auto"/>
              </w:rPr>
              <w:t>Quarter Ended May 28, 2022</w:t>
            </w:r>
          </w:p>
        </w:tc>
        <w:tc>
          <w:tcPr>
            <w:tcW w:w="28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40" w:type="dxa"/>
            <w:vAlign w:val="bottom"/>
          </w:tcPr>
          <w:p>
            <w:pPr>
              <w:jc w:val="center"/>
              <w:ind w:right="90"/>
              <w:spacing w:after="0" w:line="191" w:lineRule="exact"/>
              <w:rPr>
                <w:sz w:val="20"/>
                <w:szCs w:val="20"/>
                <w:color w:val="auto"/>
              </w:rPr>
            </w:pPr>
            <w:r>
              <w:rPr>
                <w:rFonts w:ascii="Times New Roman" w:cs="Times New Roman" w:eastAsia="Times New Roman" w:hAnsi="Times New Roman"/>
                <w:sz w:val="18"/>
                <w:szCs w:val="18"/>
                <w:color w:val="auto"/>
              </w:rPr>
              <w:t>GAAP</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40" w:type="dxa"/>
            <w:vAlign w:val="bottom"/>
            <w:gridSpan w:val="3"/>
          </w:tcPr>
          <w:p>
            <w:pPr>
              <w:jc w:val="right"/>
              <w:ind w:right="310"/>
              <w:spacing w:after="0"/>
              <w:rPr>
                <w:sz w:val="20"/>
                <w:szCs w:val="20"/>
                <w:color w:val="auto"/>
              </w:rPr>
            </w:pPr>
            <w:r>
              <w:rPr>
                <w:rFonts w:ascii="Times New Roman" w:cs="Times New Roman" w:eastAsia="Times New Roman" w:hAnsi="Times New Roman"/>
                <w:sz w:val="18"/>
                <w:szCs w:val="18"/>
                <w:color w:val="auto"/>
              </w:rPr>
              <w:t>Non-GAAP Presentation</w:t>
            </w:r>
          </w:p>
        </w:tc>
        <w:tc>
          <w:tcPr>
            <w:tcW w:w="300" w:type="dxa"/>
            <w:vAlign w:val="bottom"/>
          </w:tcPr>
          <w:p>
            <w:pPr>
              <w:spacing w:after="0"/>
              <w:rPr>
                <w:sz w:val="20"/>
                <w:szCs w:val="20"/>
                <w:color w:val="auto"/>
              </w:rPr>
            </w:pPr>
          </w:p>
        </w:tc>
        <w:tc>
          <w:tcPr>
            <w:tcW w:w="116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color w:val="auto"/>
                <w:w w:val="99"/>
              </w:rPr>
              <w:t>Eliminations</w:t>
            </w: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color w:val="auto"/>
              </w:rPr>
              <w:t>Presentation</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20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Retail</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vMerge w:val="continue"/>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Consolidated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87,501</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75,620</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(34,415)</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128,706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61,129</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35,439</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(33,801)</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62,767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6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Gross profit</w:t>
            </w: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26,372</w:t>
            </w: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40,181</w:t>
            </w:r>
          </w:p>
        </w:tc>
        <w:tc>
          <w:tcPr>
            <w:tcW w:w="3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(614)</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65,939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22,938</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32,306</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(317)</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54,927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3,434</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7,875</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w:t>
            </w:r>
          </w:p>
        </w:tc>
        <w:tc>
          <w:tcPr>
            <w:tcW w:w="280" w:type="dxa"/>
            <w:vAlign w:val="bottom"/>
            <w:shd w:val="clear" w:color="auto" w:fill="CCEEFF"/>
          </w:tcPr>
          <w:p>
            <w:pPr>
              <w:spacing w:after="0"/>
              <w:rPr>
                <w:sz w:val="21"/>
                <w:szCs w:val="21"/>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11,012</w:t>
            </w:r>
          </w:p>
        </w:tc>
        <w:tc>
          <w:tcPr>
            <w:tcW w:w="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439"/>
        </w:trPr>
        <w:tc>
          <w:tcPr>
            <w:tcW w:w="20" w:type="dxa"/>
            <w:vAlign w:val="bottom"/>
          </w:tcPr>
          <w:p>
            <w:pPr>
              <w:spacing w:after="0"/>
              <w:rPr>
                <w:sz w:val="24"/>
                <w:szCs w:val="24"/>
                <w:color w:val="auto"/>
              </w:rPr>
            </w:pPr>
          </w:p>
        </w:tc>
        <w:tc>
          <w:tcPr>
            <w:tcW w:w="3640" w:type="dxa"/>
            <w:vAlign w:val="bottom"/>
            <w:tcBorders>
              <w:top w:val="single" w:sz="8" w:color="CCEEFF"/>
            </w:tcBorders>
          </w:tcPr>
          <w:p>
            <w:pPr>
              <w:spacing w:after="0"/>
              <w:rPr>
                <w:sz w:val="24"/>
                <w:szCs w:val="24"/>
                <w:color w:val="auto"/>
              </w:rPr>
            </w:pPr>
          </w:p>
        </w:tc>
        <w:tc>
          <w:tcPr>
            <w:tcW w:w="980" w:type="dxa"/>
            <w:vAlign w:val="bottom"/>
            <w:tcBorders>
              <w:top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spacing w:after="0"/>
              <w:rPr>
                <w:sz w:val="24"/>
                <w:szCs w:val="24"/>
                <w:color w:val="auto"/>
              </w:rPr>
            </w:pPr>
          </w:p>
        </w:tc>
        <w:tc>
          <w:tcPr>
            <w:tcW w:w="11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2560" w:type="dxa"/>
            <w:vAlign w:val="bottom"/>
            <w:tcBorders>
              <w:top w:val="single" w:sz="8" w:color="auto"/>
              <w:bottom w:val="single" w:sz="8" w:color="auto"/>
            </w:tcBorders>
            <w:gridSpan w:val="3"/>
          </w:tcPr>
          <w:p>
            <w:pPr>
              <w:jc w:val="center"/>
              <w:ind w:right="70"/>
              <w:spacing w:after="0"/>
              <w:rPr>
                <w:sz w:val="20"/>
                <w:szCs w:val="20"/>
                <w:color w:val="auto"/>
              </w:rPr>
            </w:pPr>
            <w:r>
              <w:rPr>
                <w:rFonts w:ascii="Times New Roman" w:cs="Times New Roman" w:eastAsia="Times New Roman" w:hAnsi="Times New Roman"/>
                <w:sz w:val="18"/>
                <w:szCs w:val="18"/>
                <w:color w:val="auto"/>
              </w:rPr>
              <w:t>Quarter Ended May 29, 2021</w:t>
            </w:r>
          </w:p>
        </w:tc>
        <w:tc>
          <w:tcPr>
            <w:tcW w:w="28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84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40" w:type="dxa"/>
            <w:vAlign w:val="bottom"/>
          </w:tcPr>
          <w:p>
            <w:pPr>
              <w:jc w:val="center"/>
              <w:ind w:right="90"/>
              <w:spacing w:after="0" w:line="191" w:lineRule="exact"/>
              <w:rPr>
                <w:sz w:val="20"/>
                <w:szCs w:val="20"/>
                <w:color w:val="auto"/>
              </w:rPr>
            </w:pPr>
            <w:r>
              <w:rPr>
                <w:rFonts w:ascii="Times New Roman" w:cs="Times New Roman" w:eastAsia="Times New Roman" w:hAnsi="Times New Roman"/>
                <w:sz w:val="18"/>
                <w:szCs w:val="18"/>
                <w:color w:val="auto"/>
              </w:rPr>
              <w:t>GAAP</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40" w:type="dxa"/>
            <w:vAlign w:val="bottom"/>
            <w:gridSpan w:val="3"/>
          </w:tcPr>
          <w:p>
            <w:pPr>
              <w:jc w:val="right"/>
              <w:ind w:right="310"/>
              <w:spacing w:after="0"/>
              <w:rPr>
                <w:sz w:val="20"/>
                <w:szCs w:val="20"/>
                <w:color w:val="auto"/>
              </w:rPr>
            </w:pPr>
            <w:r>
              <w:rPr>
                <w:rFonts w:ascii="Times New Roman" w:cs="Times New Roman" w:eastAsia="Times New Roman" w:hAnsi="Times New Roman"/>
                <w:sz w:val="18"/>
                <w:szCs w:val="18"/>
                <w:color w:val="auto"/>
              </w:rPr>
              <w:t>Non-GAAP Presentation</w:t>
            </w:r>
          </w:p>
        </w:tc>
        <w:tc>
          <w:tcPr>
            <w:tcW w:w="300" w:type="dxa"/>
            <w:vAlign w:val="bottom"/>
          </w:tcPr>
          <w:p>
            <w:pPr>
              <w:spacing w:after="0"/>
              <w:rPr>
                <w:sz w:val="20"/>
                <w:szCs w:val="20"/>
                <w:color w:val="auto"/>
              </w:rPr>
            </w:pPr>
          </w:p>
        </w:tc>
        <w:tc>
          <w:tcPr>
            <w:tcW w:w="116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color w:val="auto"/>
                <w:w w:val="99"/>
              </w:rPr>
              <w:t>Eliminations</w:t>
            </w: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color w:val="auto"/>
              </w:rPr>
              <w:t>Presentation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20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Retail</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vMerge w:val="continue"/>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Consolidated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76,034</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62,483</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(28,520)</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109,997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50,858</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30,319</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(28,266)</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52,911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Gross profit</w:t>
            </w: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25,176</w:t>
            </w: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32,164</w:t>
            </w:r>
          </w:p>
        </w:tc>
        <w:tc>
          <w:tcPr>
            <w:tcW w:w="3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(254)</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57,086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19,817</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30,512</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(328)</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50,001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5,359</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1,652</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w:t>
            </w:r>
          </w:p>
        </w:tc>
        <w:tc>
          <w:tcPr>
            <w:tcW w:w="280" w:type="dxa"/>
            <w:vAlign w:val="bottom"/>
            <w:shd w:val="clear" w:color="auto" w:fill="CCEEFF"/>
          </w:tcPr>
          <w:p>
            <w:pPr>
              <w:spacing w:after="0"/>
              <w:rPr>
                <w:sz w:val="21"/>
                <w:szCs w:val="21"/>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7,085</w:t>
            </w:r>
          </w:p>
        </w:tc>
        <w:tc>
          <w:tcPr>
            <w:tcW w:w="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440"/>
        </w:trPr>
        <w:tc>
          <w:tcPr>
            <w:tcW w:w="20" w:type="dxa"/>
            <w:vAlign w:val="bottom"/>
          </w:tcPr>
          <w:p>
            <w:pPr>
              <w:spacing w:after="0"/>
              <w:rPr>
                <w:sz w:val="24"/>
                <w:szCs w:val="24"/>
                <w:color w:val="auto"/>
              </w:rPr>
            </w:pPr>
          </w:p>
        </w:tc>
        <w:tc>
          <w:tcPr>
            <w:tcW w:w="3640" w:type="dxa"/>
            <w:vAlign w:val="bottom"/>
            <w:tcBorders>
              <w:top w:val="single" w:sz="8" w:color="CCEEFF"/>
            </w:tcBorders>
          </w:tcPr>
          <w:p>
            <w:pPr>
              <w:spacing w:after="0"/>
              <w:rPr>
                <w:sz w:val="24"/>
                <w:szCs w:val="24"/>
                <w:color w:val="auto"/>
              </w:rPr>
            </w:pPr>
          </w:p>
        </w:tc>
        <w:tc>
          <w:tcPr>
            <w:tcW w:w="980" w:type="dxa"/>
            <w:vAlign w:val="bottom"/>
            <w:tcBorders>
              <w:top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spacing w:after="0"/>
              <w:rPr>
                <w:sz w:val="24"/>
                <w:szCs w:val="24"/>
                <w:color w:val="auto"/>
              </w:rPr>
            </w:pPr>
          </w:p>
        </w:tc>
        <w:tc>
          <w:tcPr>
            <w:tcW w:w="11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2560" w:type="dxa"/>
            <w:vAlign w:val="bottom"/>
            <w:tcBorders>
              <w:top w:val="single" w:sz="8" w:color="auto"/>
              <w:bottom w:val="single" w:sz="8" w:color="auto"/>
            </w:tcBorders>
            <w:gridSpan w:val="3"/>
          </w:tcPr>
          <w:p>
            <w:pPr>
              <w:jc w:val="center"/>
              <w:ind w:right="70"/>
              <w:spacing w:after="0"/>
              <w:rPr>
                <w:sz w:val="20"/>
                <w:szCs w:val="20"/>
                <w:color w:val="auto"/>
              </w:rPr>
            </w:pPr>
            <w:r>
              <w:rPr>
                <w:rFonts w:ascii="Times New Roman" w:cs="Times New Roman" w:eastAsia="Times New Roman" w:hAnsi="Times New Roman"/>
                <w:sz w:val="18"/>
                <w:szCs w:val="18"/>
                <w:color w:val="auto"/>
              </w:rPr>
              <w:t>Six Months Ended May 28, 2022</w:t>
            </w:r>
          </w:p>
        </w:tc>
        <w:tc>
          <w:tcPr>
            <w:tcW w:w="28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84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40" w:type="dxa"/>
            <w:vAlign w:val="bottom"/>
          </w:tcPr>
          <w:p>
            <w:pPr>
              <w:jc w:val="center"/>
              <w:ind w:right="90"/>
              <w:spacing w:after="0" w:line="191" w:lineRule="exact"/>
              <w:rPr>
                <w:sz w:val="20"/>
                <w:szCs w:val="20"/>
                <w:color w:val="auto"/>
              </w:rPr>
            </w:pPr>
            <w:r>
              <w:rPr>
                <w:rFonts w:ascii="Times New Roman" w:cs="Times New Roman" w:eastAsia="Times New Roman" w:hAnsi="Times New Roman"/>
                <w:sz w:val="18"/>
                <w:szCs w:val="18"/>
                <w:color w:val="auto"/>
              </w:rPr>
              <w:t>GAAP</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40" w:type="dxa"/>
            <w:vAlign w:val="bottom"/>
            <w:gridSpan w:val="3"/>
          </w:tcPr>
          <w:p>
            <w:pPr>
              <w:jc w:val="right"/>
              <w:ind w:right="310"/>
              <w:spacing w:after="0"/>
              <w:rPr>
                <w:sz w:val="20"/>
                <w:szCs w:val="20"/>
                <w:color w:val="auto"/>
              </w:rPr>
            </w:pPr>
            <w:r>
              <w:rPr>
                <w:rFonts w:ascii="Times New Roman" w:cs="Times New Roman" w:eastAsia="Times New Roman" w:hAnsi="Times New Roman"/>
                <w:sz w:val="18"/>
                <w:szCs w:val="18"/>
                <w:color w:val="auto"/>
              </w:rPr>
              <w:t>Non-GAAP Presentation</w:t>
            </w:r>
          </w:p>
        </w:tc>
        <w:tc>
          <w:tcPr>
            <w:tcW w:w="300" w:type="dxa"/>
            <w:vAlign w:val="bottom"/>
          </w:tcPr>
          <w:p>
            <w:pPr>
              <w:spacing w:after="0"/>
              <w:rPr>
                <w:sz w:val="20"/>
                <w:szCs w:val="20"/>
                <w:color w:val="auto"/>
              </w:rPr>
            </w:pPr>
          </w:p>
        </w:tc>
        <w:tc>
          <w:tcPr>
            <w:tcW w:w="116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color w:val="auto"/>
                <w:w w:val="99"/>
              </w:rPr>
              <w:t>Eliminations</w:t>
            </w: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color w:val="auto"/>
              </w:rPr>
              <w:t>Presentation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20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Retail</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vMerge w:val="continue"/>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Consolidated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170,986</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139,727</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(64,143)</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246,570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120,792</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65,390</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(62,943)</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123,239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Gross profit</w:t>
            </w: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50,194</w:t>
            </w: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74,337</w:t>
            </w:r>
          </w:p>
        </w:tc>
        <w:tc>
          <w:tcPr>
            <w:tcW w:w="3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(1,200)</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123,331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43,375</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63,112</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(646)</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105,841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6,819</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11,225</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(554)</w:t>
            </w:r>
          </w:p>
        </w:tc>
        <w:tc>
          <w:tcPr>
            <w:tcW w:w="280" w:type="dxa"/>
            <w:vAlign w:val="bottom"/>
            <w:shd w:val="clear" w:color="auto" w:fill="CCEEFF"/>
          </w:tcPr>
          <w:p>
            <w:pPr>
              <w:spacing w:after="0"/>
              <w:rPr>
                <w:sz w:val="21"/>
                <w:szCs w:val="21"/>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17,490</w:t>
            </w:r>
          </w:p>
        </w:tc>
        <w:tc>
          <w:tcPr>
            <w:tcW w:w="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440"/>
        </w:trPr>
        <w:tc>
          <w:tcPr>
            <w:tcW w:w="20" w:type="dxa"/>
            <w:vAlign w:val="bottom"/>
          </w:tcPr>
          <w:p>
            <w:pPr>
              <w:spacing w:after="0"/>
              <w:rPr>
                <w:sz w:val="24"/>
                <w:szCs w:val="24"/>
                <w:color w:val="auto"/>
              </w:rPr>
            </w:pPr>
          </w:p>
        </w:tc>
        <w:tc>
          <w:tcPr>
            <w:tcW w:w="3640" w:type="dxa"/>
            <w:vAlign w:val="bottom"/>
            <w:tcBorders>
              <w:top w:val="single" w:sz="8" w:color="CCEEFF"/>
            </w:tcBorders>
          </w:tcPr>
          <w:p>
            <w:pPr>
              <w:spacing w:after="0"/>
              <w:rPr>
                <w:sz w:val="24"/>
                <w:szCs w:val="24"/>
                <w:color w:val="auto"/>
              </w:rPr>
            </w:pPr>
          </w:p>
        </w:tc>
        <w:tc>
          <w:tcPr>
            <w:tcW w:w="980" w:type="dxa"/>
            <w:vAlign w:val="bottom"/>
            <w:tcBorders>
              <w:top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spacing w:after="0"/>
              <w:rPr>
                <w:sz w:val="24"/>
                <w:szCs w:val="24"/>
                <w:color w:val="auto"/>
              </w:rPr>
            </w:pPr>
          </w:p>
        </w:tc>
        <w:tc>
          <w:tcPr>
            <w:tcW w:w="11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2560" w:type="dxa"/>
            <w:vAlign w:val="bottom"/>
            <w:tcBorders>
              <w:top w:val="single" w:sz="8" w:color="auto"/>
              <w:bottom w:val="single" w:sz="8" w:color="auto"/>
            </w:tcBorders>
            <w:gridSpan w:val="3"/>
          </w:tcPr>
          <w:p>
            <w:pPr>
              <w:jc w:val="center"/>
              <w:ind w:right="70"/>
              <w:spacing w:after="0"/>
              <w:rPr>
                <w:sz w:val="20"/>
                <w:szCs w:val="20"/>
                <w:color w:val="auto"/>
              </w:rPr>
            </w:pPr>
            <w:r>
              <w:rPr>
                <w:rFonts w:ascii="Times New Roman" w:cs="Times New Roman" w:eastAsia="Times New Roman" w:hAnsi="Times New Roman"/>
                <w:sz w:val="18"/>
                <w:szCs w:val="18"/>
                <w:color w:val="auto"/>
              </w:rPr>
              <w:t>Six Months Ended May 29, 2021</w:t>
            </w:r>
          </w:p>
        </w:tc>
        <w:tc>
          <w:tcPr>
            <w:tcW w:w="28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84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40" w:type="dxa"/>
            <w:vAlign w:val="bottom"/>
          </w:tcPr>
          <w:p>
            <w:pPr>
              <w:jc w:val="center"/>
              <w:ind w:right="90"/>
              <w:spacing w:after="0" w:line="191" w:lineRule="exact"/>
              <w:rPr>
                <w:sz w:val="20"/>
                <w:szCs w:val="20"/>
                <w:color w:val="auto"/>
              </w:rPr>
            </w:pPr>
            <w:r>
              <w:rPr>
                <w:rFonts w:ascii="Times New Roman" w:cs="Times New Roman" w:eastAsia="Times New Roman" w:hAnsi="Times New Roman"/>
                <w:sz w:val="18"/>
                <w:szCs w:val="18"/>
                <w:color w:val="auto"/>
              </w:rPr>
              <w:t>GAAP</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40" w:type="dxa"/>
            <w:vAlign w:val="bottom"/>
            <w:gridSpan w:val="3"/>
          </w:tcPr>
          <w:p>
            <w:pPr>
              <w:jc w:val="right"/>
              <w:ind w:right="310"/>
              <w:spacing w:after="0"/>
              <w:rPr>
                <w:sz w:val="20"/>
                <w:szCs w:val="20"/>
                <w:color w:val="auto"/>
              </w:rPr>
            </w:pPr>
            <w:r>
              <w:rPr>
                <w:rFonts w:ascii="Times New Roman" w:cs="Times New Roman" w:eastAsia="Times New Roman" w:hAnsi="Times New Roman"/>
                <w:sz w:val="18"/>
                <w:szCs w:val="18"/>
                <w:color w:val="auto"/>
              </w:rPr>
              <w:t>Non-GAAP Presentation</w:t>
            </w:r>
          </w:p>
        </w:tc>
        <w:tc>
          <w:tcPr>
            <w:tcW w:w="300" w:type="dxa"/>
            <w:vAlign w:val="bottom"/>
          </w:tcPr>
          <w:p>
            <w:pPr>
              <w:spacing w:after="0"/>
              <w:rPr>
                <w:sz w:val="20"/>
                <w:szCs w:val="20"/>
                <w:color w:val="auto"/>
              </w:rPr>
            </w:pPr>
          </w:p>
        </w:tc>
        <w:tc>
          <w:tcPr>
            <w:tcW w:w="116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color w:val="auto"/>
                <w:w w:val="99"/>
              </w:rPr>
              <w:t>Eliminations</w:t>
            </w: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color w:val="auto"/>
              </w:rPr>
              <w:t>Presentation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20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Retail</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vMerge w:val="continue"/>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Consolidated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146,298</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122,878</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(57,524)</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211,652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98,146</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59,628</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(56,611)</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101,163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6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Gross profit</w:t>
            </w: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48,152</w:t>
            </w: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63,250</w:t>
            </w:r>
          </w:p>
        </w:tc>
        <w:tc>
          <w:tcPr>
            <w:tcW w:w="3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(913)</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110,489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9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37,996</w:t>
            </w: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60,504</w:t>
            </w:r>
          </w:p>
        </w:tc>
        <w:tc>
          <w:tcPr>
            <w:tcW w:w="3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97,842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10,156</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2,746</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w:t>
            </w:r>
          </w:p>
        </w:tc>
        <w:tc>
          <w:tcPr>
            <w:tcW w:w="280" w:type="dxa"/>
            <w:vAlign w:val="bottom"/>
            <w:shd w:val="clear" w:color="auto" w:fill="CCEEFF"/>
          </w:tcPr>
          <w:p>
            <w:pPr>
              <w:spacing w:after="0"/>
              <w:rPr>
                <w:sz w:val="19"/>
                <w:szCs w:val="19"/>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12,647</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tcBorders>
              <w:top w:val="single" w:sz="8" w:color="CCEEFF"/>
            </w:tcBorders>
            <w:shd w:val="clear" w:color="auto" w:fill="CCEEFF"/>
          </w:tcPr>
          <w:p>
            <w:pPr>
              <w:spacing w:after="0" w:line="20" w:lineRule="exact"/>
              <w:rPr>
                <w:sz w:val="1"/>
                <w:szCs w:val="1"/>
                <w:color w:val="auto"/>
              </w:rPr>
            </w:pPr>
          </w:p>
        </w:tc>
        <w:tc>
          <w:tcPr>
            <w:tcW w:w="9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10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Page 28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8" w:name="page29"/>
    <w:bookmarkEnd w:id="2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Notes to segment consolidation table:</w:t>
      </w:r>
    </w:p>
    <w:p>
      <w:pPr>
        <w:spacing w:after="0" w:line="225" w:lineRule="exact"/>
        <w:rPr>
          <w:sz w:val="20"/>
          <w:szCs w:val="20"/>
          <w:color w:val="auto"/>
        </w:rPr>
      </w:pPr>
    </w:p>
    <w:p>
      <w:pPr>
        <w:ind w:left="980" w:hanging="324"/>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sales from our wholesale segment to our Company-owned BHF stores.</w:t>
      </w:r>
    </w:p>
    <w:p>
      <w:pPr>
        <w:spacing w:after="0" w:line="27" w:lineRule="exact"/>
        <w:rPr>
          <w:rFonts w:ascii="Times New Roman" w:cs="Times New Roman" w:eastAsia="Times New Roman" w:hAnsi="Times New Roman"/>
          <w:sz w:val="18"/>
          <w:szCs w:val="18"/>
          <w:color w:val="auto"/>
        </w:rPr>
      </w:pPr>
    </w:p>
    <w:p>
      <w:pPr>
        <w:ind w:left="980" w:right="20" w:hanging="324"/>
        <w:spacing w:after="0" w:line="250" w:lineRule="auto"/>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purchases by our Company-owned BHF stores from our wholesale segment, as well as the change for the period in the elimination of intercompany profit in ending retail inventory.</w:t>
      </w:r>
    </w:p>
    <w:p>
      <w:pPr>
        <w:ind w:left="980" w:hanging="324"/>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rent paid by our retail stores occupying Company-owned real estate.</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Wholesale Segment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wholesale segment for the periods ended May 28, 2022 and May 29, 2021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560" w:type="dxa"/>
            <w:vAlign w:val="bottom"/>
            <w:gridSpan w:val="4"/>
          </w:tcPr>
          <w:p>
            <w:pPr>
              <w:jc w:val="right"/>
              <w:ind w:right="319"/>
              <w:spacing w:after="0"/>
              <w:rPr>
                <w:sz w:val="20"/>
                <w:szCs w:val="20"/>
                <w:color w:val="auto"/>
              </w:rPr>
            </w:pPr>
            <w:r>
              <w:rPr>
                <w:rFonts w:ascii="Times New Roman" w:cs="Times New Roman" w:eastAsia="Times New Roman" w:hAnsi="Times New Roman"/>
                <w:sz w:val="16"/>
                <w:szCs w:val="16"/>
                <w:color w:val="auto"/>
              </w:rPr>
              <w:t>Quarter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3"/>
          </w:tcPr>
          <w:p>
            <w:pPr>
              <w:jc w:val="right"/>
              <w:ind w:right="780"/>
              <w:spacing w:after="0"/>
              <w:rPr>
                <w:sz w:val="20"/>
                <w:szCs w:val="20"/>
                <w:color w:val="auto"/>
              </w:rPr>
            </w:pPr>
            <w:r>
              <w:rPr>
                <w:rFonts w:ascii="Times New Roman" w:cs="Times New Roman" w:eastAsia="Times New Roman" w:hAnsi="Times New Roman"/>
                <w:sz w:val="16"/>
                <w:szCs w:val="16"/>
                <w:color w:val="auto"/>
              </w:rPr>
              <w:t>Change</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700" w:type="dxa"/>
            <w:vAlign w:val="bottom"/>
            <w:gridSpan w:val="4"/>
          </w:tcPr>
          <w:p>
            <w:pPr>
              <w:jc w:val="right"/>
              <w:ind w:right="279"/>
              <w:spacing w:after="0"/>
              <w:rPr>
                <w:sz w:val="20"/>
                <w:szCs w:val="20"/>
                <w:color w:val="auto"/>
              </w:rPr>
            </w:pPr>
            <w:r>
              <w:rPr>
                <w:rFonts w:ascii="Times New Roman" w:cs="Times New Roman" w:eastAsia="Times New Roman" w:hAnsi="Times New Roman"/>
                <w:sz w:val="16"/>
                <w:szCs w:val="16"/>
                <w:color w:val="auto"/>
              </w:rPr>
              <w:t>Six Months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gridSpan w:val="4"/>
          </w:tcPr>
          <w:p>
            <w:pPr>
              <w:ind w:left="420"/>
              <w:spacing w:after="0"/>
              <w:rPr>
                <w:sz w:val="20"/>
                <w:szCs w:val="20"/>
                <w:color w:val="auto"/>
              </w:rPr>
            </w:pPr>
            <w:r>
              <w:rPr>
                <w:rFonts w:ascii="Times New Roman" w:cs="Times New Roman" w:eastAsia="Times New Roman" w:hAnsi="Times New Roman"/>
                <w:sz w:val="16"/>
                <w:szCs w:val="16"/>
                <w:color w:val="auto"/>
              </w:rPr>
              <w:t>Change</w:t>
            </w:r>
          </w:p>
        </w:tc>
        <w:tc>
          <w:tcPr>
            <w:tcW w:w="0" w:type="dxa"/>
            <w:vAlign w:val="bottom"/>
          </w:tcPr>
          <w:p>
            <w:pPr>
              <w:spacing w:after="0"/>
              <w:rPr>
                <w:sz w:val="1"/>
                <w:szCs w:val="1"/>
                <w:color w:val="auto"/>
              </w:rPr>
            </w:pPr>
          </w:p>
        </w:tc>
      </w:tr>
      <w:tr>
        <w:trPr>
          <w:trHeight w:val="202"/>
        </w:trPr>
        <w:tc>
          <w:tcPr>
            <w:tcW w:w="13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60" w:type="dxa"/>
            <w:vAlign w:val="bottom"/>
            <w:tcBorders>
              <w:top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6"/>
                <w:szCs w:val="16"/>
                <w:color w:val="auto"/>
              </w:rPr>
              <w:t>May 28, 2022</w:t>
            </w:r>
          </w:p>
        </w:tc>
        <w:tc>
          <w:tcPr>
            <w:tcW w:w="10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ind w:right="199"/>
              <w:spacing w:after="0"/>
              <w:rPr>
                <w:sz w:val="20"/>
                <w:szCs w:val="20"/>
                <w:color w:val="auto"/>
              </w:rPr>
            </w:pPr>
            <w:r>
              <w:rPr>
                <w:rFonts w:ascii="Times New Roman" w:cs="Times New Roman" w:eastAsia="Times New Roman" w:hAnsi="Times New Roman"/>
                <w:sz w:val="16"/>
                <w:szCs w:val="16"/>
                <w:color w:val="auto"/>
                <w:w w:val="97"/>
              </w:rPr>
              <w:t>Dollars</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Percent</w:t>
            </w: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560" w:type="dxa"/>
            <w:vAlign w:val="bottom"/>
            <w:tcBorders>
              <w:top w:val="single" w:sz="8" w:color="auto"/>
            </w:tcBorders>
            <w:gridSpan w:val="3"/>
          </w:tcPr>
          <w:p>
            <w:pPr>
              <w:jc w:val="right"/>
              <w:ind w:right="500"/>
              <w:spacing w:after="0"/>
              <w:rPr>
                <w:sz w:val="20"/>
                <w:szCs w:val="20"/>
                <w:color w:val="auto"/>
              </w:rPr>
            </w:pPr>
            <w:r>
              <w:rPr>
                <w:rFonts w:ascii="Times New Roman" w:cs="Times New Roman" w:eastAsia="Times New Roman" w:hAnsi="Times New Roman"/>
                <w:sz w:val="16"/>
                <w:szCs w:val="16"/>
                <w:color w:val="auto"/>
              </w:rPr>
              <w:t>May 28, 2022</w:t>
            </w:r>
          </w:p>
        </w:tc>
        <w:tc>
          <w:tcPr>
            <w:tcW w:w="10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gridSpan w:val="2"/>
          </w:tcPr>
          <w:p>
            <w:pPr>
              <w:ind w:left="14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97"/>
              </w:rPr>
              <w:t>Dollars</w:t>
            </w:r>
          </w:p>
        </w:tc>
        <w:tc>
          <w:tcPr>
            <w:tcW w:w="700" w:type="dxa"/>
            <w:vAlign w:val="bottom"/>
            <w:tcBorders>
              <w:top w:val="single" w:sz="8" w:color="auto"/>
            </w:tcBorders>
          </w:tcPr>
          <w:p>
            <w:pPr>
              <w:ind w:left="140"/>
              <w:spacing w:after="0"/>
              <w:rPr>
                <w:sz w:val="20"/>
                <w:szCs w:val="20"/>
                <w:color w:val="auto"/>
              </w:rPr>
            </w:pPr>
            <w:r>
              <w:rPr>
                <w:rFonts w:ascii="Times New Roman" w:cs="Times New Roman" w:eastAsia="Times New Roman" w:hAnsi="Times New Roman"/>
                <w:sz w:val="16"/>
                <w:szCs w:val="16"/>
                <w:color w:val="auto"/>
              </w:rPr>
              <w:t>Percent</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Net sales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87,501</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76,034</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11,467</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15.1%</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w w:val="99"/>
              </w:rPr>
              <w:t>170,986</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146,298</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24,688</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60" w:type="dxa"/>
            <w:vAlign w:val="bottom"/>
          </w:tcPr>
          <w:p>
            <w:pPr>
              <w:spacing w:after="0"/>
              <w:rPr>
                <w:sz w:val="20"/>
                <w:szCs w:val="20"/>
                <w:color w:val="auto"/>
              </w:rPr>
            </w:pPr>
            <w:r>
              <w:rPr>
                <w:rFonts w:ascii="Times New Roman" w:cs="Times New Roman" w:eastAsia="Times New Roman" w:hAnsi="Times New Roman"/>
                <w:sz w:val="16"/>
                <w:szCs w:val="16"/>
                <w:color w:val="auto"/>
              </w:rPr>
              <w:t>Gross profit (1)</w:t>
            </w:r>
          </w:p>
        </w:tc>
        <w:tc>
          <w:tcPr>
            <w:tcW w:w="100" w:type="dxa"/>
            <w:vAlign w:val="bottom"/>
          </w:tcPr>
          <w:p>
            <w:pPr>
              <w:spacing w:after="0"/>
              <w:rPr>
                <w:sz w:val="17"/>
                <w:szCs w:val="17"/>
                <w:color w:val="auto"/>
              </w:rPr>
            </w:pPr>
          </w:p>
        </w:tc>
        <w:tc>
          <w:tcPr>
            <w:tcW w:w="6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99"/>
              </w:rPr>
              <w:t>26,372</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30.1%</w:t>
            </w:r>
          </w:p>
        </w:tc>
        <w:tc>
          <w:tcPr>
            <w:tcW w:w="100" w:type="dxa"/>
            <w:vAlign w:val="bottom"/>
          </w:tcPr>
          <w:p>
            <w:pPr>
              <w:spacing w:after="0"/>
              <w:rPr>
                <w:sz w:val="17"/>
                <w:szCs w:val="17"/>
                <w:color w:val="auto"/>
              </w:rPr>
            </w:pPr>
          </w:p>
        </w:tc>
        <w:tc>
          <w:tcPr>
            <w:tcW w:w="6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99"/>
              </w:rPr>
              <w:t>25,176</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33.1%</w:t>
            </w:r>
          </w:p>
        </w:tc>
        <w:tc>
          <w:tcPr>
            <w:tcW w:w="100" w:type="dxa"/>
            <w:vAlign w:val="bottom"/>
          </w:tcPr>
          <w:p>
            <w:pPr>
              <w:spacing w:after="0"/>
              <w:rPr>
                <w:sz w:val="17"/>
                <w:szCs w:val="17"/>
                <w:color w:val="auto"/>
              </w:rPr>
            </w:pPr>
          </w:p>
        </w:tc>
        <w:tc>
          <w:tcPr>
            <w:tcW w:w="76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1,196</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4.8%</w:t>
            </w:r>
          </w:p>
        </w:tc>
        <w:tc>
          <w:tcPr>
            <w:tcW w:w="80" w:type="dxa"/>
            <w:vAlign w:val="bottom"/>
          </w:tcPr>
          <w:p>
            <w:pPr>
              <w:spacing w:after="0"/>
              <w:rPr>
                <w:sz w:val="17"/>
                <w:szCs w:val="17"/>
                <w:color w:val="auto"/>
              </w:rPr>
            </w:pPr>
          </w:p>
        </w:tc>
        <w:tc>
          <w:tcPr>
            <w:tcW w:w="70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50,194</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29.4%</w:t>
            </w:r>
          </w:p>
        </w:tc>
        <w:tc>
          <w:tcPr>
            <w:tcW w:w="100" w:type="dxa"/>
            <w:vAlign w:val="bottom"/>
          </w:tcPr>
          <w:p>
            <w:pPr>
              <w:spacing w:after="0"/>
              <w:rPr>
                <w:sz w:val="17"/>
                <w:szCs w:val="17"/>
                <w:color w:val="auto"/>
              </w:rPr>
            </w:pPr>
          </w:p>
        </w:tc>
        <w:tc>
          <w:tcPr>
            <w:tcW w:w="7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48,152</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32.9%</w:t>
            </w:r>
          </w:p>
        </w:tc>
        <w:tc>
          <w:tcPr>
            <w:tcW w:w="100" w:type="dxa"/>
            <w:vAlign w:val="bottom"/>
          </w:tcPr>
          <w:p>
            <w:pPr>
              <w:spacing w:after="0"/>
              <w:rPr>
                <w:sz w:val="17"/>
                <w:szCs w:val="17"/>
                <w:color w:val="auto"/>
              </w:rPr>
            </w:pPr>
          </w:p>
        </w:tc>
        <w:tc>
          <w:tcPr>
            <w:tcW w:w="74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2,042</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4.2%</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SG&amp;A expenses</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22,938</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26.2%</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19,817</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26.1%</w:t>
            </w: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3,121</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15.7%</w:t>
            </w: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43,375</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25.4%</w:t>
            </w: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37,996</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26.0%</w:t>
            </w: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5,379</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6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Income from</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vMerge w:val="restart"/>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3,434</w:t>
            </w:r>
          </w:p>
        </w:tc>
        <w:tc>
          <w:tcPr>
            <w:tcW w:w="80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3.9%</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vMerge w:val="restart"/>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5,359</w:t>
            </w:r>
          </w:p>
        </w:tc>
        <w:tc>
          <w:tcPr>
            <w:tcW w:w="80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7.0%</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vMerge w:val="restart"/>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(1,925)</w:t>
            </w:r>
          </w:p>
        </w:tc>
        <w:tc>
          <w:tcPr>
            <w:tcW w:w="9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-35.9%</w:t>
            </w: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vMerge w:val="restart"/>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6,819</w:t>
            </w:r>
          </w:p>
        </w:tc>
        <w:tc>
          <w:tcPr>
            <w:tcW w:w="86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4.0%</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vMerge w:val="restart"/>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10,156</w:t>
            </w:r>
          </w:p>
        </w:tc>
        <w:tc>
          <w:tcPr>
            <w:tcW w:w="80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6.9%</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vMerge w:val="restart"/>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(3,337)</w:t>
            </w:r>
          </w:p>
        </w:tc>
        <w:tc>
          <w:tcPr>
            <w:tcW w:w="84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-32.9%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136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color w:val="auto"/>
              </w:rPr>
              <w:t>operations</w:t>
            </w:r>
          </w:p>
        </w:tc>
        <w:tc>
          <w:tcPr>
            <w:tcW w:w="100" w:type="dxa"/>
            <w:vAlign w:val="bottom"/>
            <w:vMerge w:val="continue"/>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940" w:type="dxa"/>
            <w:vAlign w:val="bottom"/>
            <w:gridSpan w:val="2"/>
            <w:vMerge w:val="continue"/>
            <w:shd w:val="clear" w:color="auto" w:fill="CCEEFF"/>
          </w:tcPr>
          <w:p>
            <w:pPr>
              <w:spacing w:after="0"/>
              <w:rPr>
                <w:sz w:val="17"/>
                <w:szCs w:val="17"/>
                <w:color w:val="auto"/>
              </w:rPr>
            </w:pPr>
          </w:p>
        </w:tc>
        <w:tc>
          <w:tcPr>
            <w:tcW w:w="80" w:type="dxa"/>
            <w:vAlign w:val="bottom"/>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860" w:type="dxa"/>
            <w:vAlign w:val="bottom"/>
            <w:gridSpan w:val="2"/>
            <w:vMerge w:val="continue"/>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840" w:type="dxa"/>
            <w:vAlign w:val="bottom"/>
            <w:gridSpan w:val="2"/>
            <w:vMerge w:val="continue"/>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980" w:right="20" w:hanging="324"/>
        <w:spacing w:after="0" w:line="266" w:lineRule="auto"/>
        <w:tabs>
          <w:tab w:leader="none" w:pos="9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Gross profit at the segment level is considered a Non-GAAP financial measure due to the included effects of intercompany transactions. Refer to the reconciliation of gross profit by segment to consolidated gross profit presented under the Reconciliation of Segment Results to Consolidated Results of Operations above.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Wholesale sales by major product category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940" w:type="dxa"/>
            <w:vAlign w:val="bottom"/>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920" w:type="dxa"/>
            <w:vAlign w:val="bottom"/>
            <w:tcBorders>
              <w:bottom w:val="single" w:sz="8" w:color="auto"/>
            </w:tcBorders>
            <w:gridSpan w:val="3"/>
          </w:tcPr>
          <w:p>
            <w:pPr>
              <w:jc w:val="right"/>
              <w:ind w:right="570"/>
              <w:spacing w:after="0"/>
              <w:rPr>
                <w:sz w:val="20"/>
                <w:szCs w:val="20"/>
                <w:color w:val="auto"/>
              </w:rPr>
            </w:pPr>
            <w:r>
              <w:rPr>
                <w:rFonts w:ascii="Times New Roman" w:cs="Times New Roman" w:eastAsia="Times New Roman" w:hAnsi="Times New Roman"/>
                <w:sz w:val="18"/>
                <w:szCs w:val="18"/>
                <w:color w:val="auto"/>
              </w:rPr>
              <w:t>Quarter Ended</w:t>
            </w:r>
          </w:p>
        </w:tc>
        <w:tc>
          <w:tcPr>
            <w:tcW w:w="2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10"/>
        </w:trPr>
        <w:tc>
          <w:tcPr>
            <w:tcW w:w="194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940" w:type="dxa"/>
            <w:vAlign w:val="bottom"/>
            <w:tcBorders>
              <w:bottom w:val="single" w:sz="8" w:color="auto"/>
            </w:tcBorders>
            <w:gridSpan w:val="2"/>
          </w:tcPr>
          <w:p>
            <w:pPr>
              <w:jc w:val="right"/>
              <w:ind w:right="710"/>
              <w:spacing w:after="0"/>
              <w:rPr>
                <w:sz w:val="20"/>
                <w:szCs w:val="20"/>
                <w:color w:val="auto"/>
              </w:rPr>
            </w:pPr>
            <w:r>
              <w:rPr>
                <w:rFonts w:ascii="Times New Roman" w:cs="Times New Roman" w:eastAsia="Times New Roman" w:hAnsi="Times New Roman"/>
                <w:sz w:val="18"/>
                <w:szCs w:val="18"/>
                <w:color w:val="auto"/>
              </w:rPr>
              <w:t>May 28, 2022</w:t>
            </w:r>
          </w:p>
        </w:tc>
        <w:tc>
          <w:tcPr>
            <w:tcW w:w="46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980" w:type="dxa"/>
            <w:vAlign w:val="bottom"/>
            <w:tcBorders>
              <w:bottom w:val="single" w:sz="8" w:color="auto"/>
            </w:tcBorders>
            <w:gridSpan w:val="3"/>
          </w:tcPr>
          <w:p>
            <w:pPr>
              <w:jc w:val="right"/>
              <w:ind w:right="750"/>
              <w:spacing w:after="0"/>
              <w:rPr>
                <w:sz w:val="20"/>
                <w:szCs w:val="20"/>
                <w:color w:val="auto"/>
              </w:rPr>
            </w:pPr>
            <w:r>
              <w:rPr>
                <w:rFonts w:ascii="Times New Roman" w:cs="Times New Roman" w:eastAsia="Times New Roman" w:hAnsi="Times New Roman"/>
                <w:sz w:val="18"/>
                <w:szCs w:val="18"/>
                <w:color w:val="auto"/>
              </w:rPr>
              <w:t>May 29, 2021</w:t>
            </w:r>
          </w:p>
        </w:tc>
        <w:tc>
          <w:tcPr>
            <w:tcW w:w="46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500" w:type="dxa"/>
            <w:vAlign w:val="bottom"/>
            <w:tcBorders>
              <w:bottom w:val="single" w:sz="8" w:color="auto"/>
            </w:tcBorders>
            <w:gridSpan w:val="2"/>
          </w:tcPr>
          <w:p>
            <w:pPr>
              <w:ind w:left="260"/>
              <w:spacing w:after="0"/>
              <w:rPr>
                <w:sz w:val="20"/>
                <w:szCs w:val="20"/>
                <w:color w:val="auto"/>
              </w:rPr>
            </w:pPr>
            <w:r>
              <w:rPr>
                <w:rFonts w:ascii="Times New Roman" w:cs="Times New Roman" w:eastAsia="Times New Roman" w:hAnsi="Times New Roman"/>
                <w:sz w:val="18"/>
                <w:szCs w:val="18"/>
                <w:color w:val="auto"/>
              </w:rPr>
              <w:t>Total Change</w:t>
            </w:r>
          </w:p>
        </w:tc>
        <w:tc>
          <w:tcPr>
            <w:tcW w:w="160" w:type="dxa"/>
            <w:vAlign w:val="bottom"/>
          </w:tcPr>
          <w:p>
            <w:pPr>
              <w:spacing w:after="0"/>
              <w:rPr>
                <w:sz w:val="18"/>
                <w:szCs w:val="18"/>
                <w:color w:val="auto"/>
              </w:rPr>
            </w:pPr>
          </w:p>
        </w:tc>
      </w:tr>
      <w:tr>
        <w:trPr>
          <w:trHeight w:val="210"/>
        </w:trPr>
        <w:tc>
          <w:tcPr>
            <w:tcW w:w="1940" w:type="dxa"/>
            <w:vAlign w:val="bottom"/>
          </w:tcPr>
          <w:p>
            <w:pPr>
              <w:spacing w:after="0"/>
              <w:rPr>
                <w:sz w:val="18"/>
                <w:szCs w:val="18"/>
                <w:color w:val="auto"/>
              </w:rPr>
            </w:pPr>
          </w:p>
        </w:tc>
        <w:tc>
          <w:tcPr>
            <w:tcW w:w="76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External</w:t>
            </w:r>
          </w:p>
        </w:tc>
        <w:tc>
          <w:tcPr>
            <w:tcW w:w="120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Intercompany</w:t>
            </w:r>
          </w:p>
        </w:tc>
        <w:tc>
          <w:tcPr>
            <w:tcW w:w="10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Total</w:t>
            </w:r>
          </w:p>
        </w:tc>
        <w:tc>
          <w:tcPr>
            <w:tcW w:w="46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Borders>
              <w:bottom w:val="single" w:sz="8" w:color="auto"/>
            </w:tcBorders>
            <w:gridSpan w:val="2"/>
          </w:tcPr>
          <w:p>
            <w:pPr>
              <w:jc w:val="right"/>
              <w:ind w:right="90"/>
              <w:spacing w:after="0"/>
              <w:rPr>
                <w:sz w:val="20"/>
                <w:szCs w:val="20"/>
                <w:color w:val="auto"/>
              </w:rPr>
            </w:pPr>
            <w:r>
              <w:rPr>
                <w:rFonts w:ascii="Times New Roman" w:cs="Times New Roman" w:eastAsia="Times New Roman" w:hAnsi="Times New Roman"/>
                <w:sz w:val="18"/>
                <w:szCs w:val="18"/>
                <w:color w:val="auto"/>
                <w:w w:val="98"/>
              </w:rPr>
              <w:t>External</w:t>
            </w:r>
          </w:p>
        </w:tc>
        <w:tc>
          <w:tcPr>
            <w:tcW w:w="1200" w:type="dxa"/>
            <w:vAlign w:val="bottom"/>
            <w:tcBorders>
              <w:bottom w:val="single" w:sz="8" w:color="auto"/>
            </w:tcBorders>
            <w:gridSpan w:val="2"/>
          </w:tcPr>
          <w:p>
            <w:pPr>
              <w:ind w:left="60"/>
              <w:spacing w:after="0"/>
              <w:rPr>
                <w:sz w:val="20"/>
                <w:szCs w:val="20"/>
                <w:color w:val="auto"/>
              </w:rPr>
            </w:pPr>
            <w:r>
              <w:rPr>
                <w:rFonts w:ascii="Times New Roman" w:cs="Times New Roman" w:eastAsia="Times New Roman" w:hAnsi="Times New Roman"/>
                <w:sz w:val="18"/>
                <w:szCs w:val="18"/>
                <w:color w:val="auto"/>
              </w:rPr>
              <w:t>Intercompany</w:t>
            </w: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Total</w:t>
            </w:r>
          </w:p>
        </w:tc>
        <w:tc>
          <w:tcPr>
            <w:tcW w:w="46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Dollars</w:t>
            </w:r>
          </w:p>
        </w:tc>
        <w:tc>
          <w:tcPr>
            <w:tcW w:w="7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8"/>
                <w:szCs w:val="18"/>
                <w:color w:val="auto"/>
              </w:rPr>
            </w:pPr>
          </w:p>
        </w:tc>
      </w:tr>
      <w:tr>
        <w:trPr>
          <w:trHeight w:val="191"/>
        </w:trPr>
        <w:tc>
          <w:tcPr>
            <w:tcW w:w="1940" w:type="dxa"/>
            <w:vAlign w:val="bottom"/>
            <w:tcBorders>
              <w:right w:val="single" w:sz="8" w:color="CCEEFF"/>
            </w:tcBorders>
            <w:shd w:val="clear" w:color="auto" w:fill="CCEEFF"/>
          </w:tcPr>
          <w:p>
            <w:pPr>
              <w:spacing w:after="0" w:line="191" w:lineRule="exact"/>
              <w:rPr>
                <w:sz w:val="20"/>
                <w:szCs w:val="20"/>
                <w:color w:val="auto"/>
              </w:rPr>
            </w:pPr>
            <w:r>
              <w:rPr>
                <w:rFonts w:ascii="Times New Roman" w:cs="Times New Roman" w:eastAsia="Times New Roman" w:hAnsi="Times New Roman"/>
                <w:sz w:val="18"/>
                <w:szCs w:val="18"/>
                <w:color w:val="auto"/>
              </w:rPr>
              <w:t>Bassett Custom</w:t>
            </w:r>
          </w:p>
        </w:tc>
        <w:tc>
          <w:tcPr>
            <w:tcW w:w="76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40" w:type="dxa"/>
            <w:vAlign w:val="bottom"/>
            <w:tcBorders>
              <w:left w:val="single" w:sz="8" w:color="CCEEFF"/>
            </w:tcBorders>
            <w:shd w:val="clear" w:color="auto" w:fill="CCEEFF"/>
          </w:tcPr>
          <w:p>
            <w:pPr>
              <w:spacing w:after="0"/>
              <w:rPr>
                <w:sz w:val="16"/>
                <w:szCs w:val="16"/>
                <w:color w:val="auto"/>
              </w:rPr>
            </w:pPr>
          </w:p>
        </w:tc>
        <w:tc>
          <w:tcPr>
            <w:tcW w:w="60" w:type="dxa"/>
            <w:vAlign w:val="bottom"/>
            <w:tcBorders>
              <w:right w:val="single" w:sz="8" w:color="CCEEFF"/>
            </w:tcBorders>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r>
      <w:tr>
        <w:trPr>
          <w:trHeight w:val="234"/>
        </w:trPr>
        <w:tc>
          <w:tcPr>
            <w:tcW w:w="194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Upholstery</w:t>
            </w:r>
          </w:p>
        </w:tc>
        <w:tc>
          <w:tcPr>
            <w:tcW w:w="7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$ 33,838</w:t>
            </w:r>
          </w:p>
        </w:tc>
        <w:tc>
          <w:tcPr>
            <w:tcW w:w="3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23,339</w:t>
            </w:r>
          </w:p>
        </w:tc>
        <w:tc>
          <w:tcPr>
            <w:tcW w:w="108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$ 57,177</w:t>
            </w:r>
          </w:p>
        </w:tc>
        <w:tc>
          <w:tcPr>
            <w:tcW w:w="70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65.3%</w:t>
            </w:r>
          </w:p>
        </w:tc>
        <w:tc>
          <w:tcPr>
            <w:tcW w:w="820" w:type="dxa"/>
            <w:vAlign w:val="bottom"/>
            <w:gridSpan w:val="3"/>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$ 25,960</w:t>
            </w:r>
          </w:p>
        </w:tc>
        <w:tc>
          <w:tcPr>
            <w:tcW w:w="34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17,070</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ind w:right="290"/>
              <w:spacing w:after="0"/>
              <w:rPr>
                <w:sz w:val="20"/>
                <w:szCs w:val="20"/>
                <w:color w:val="auto"/>
              </w:rPr>
            </w:pPr>
            <w:r>
              <w:rPr>
                <w:rFonts w:ascii="Times New Roman" w:cs="Times New Roman" w:eastAsia="Times New Roman" w:hAnsi="Times New Roman"/>
                <w:sz w:val="18"/>
                <w:szCs w:val="18"/>
                <w:color w:val="auto"/>
              </w:rPr>
              <w:t>43,030</w:t>
            </w:r>
          </w:p>
        </w:tc>
        <w:tc>
          <w:tcPr>
            <w:tcW w:w="7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56.6%</w:t>
            </w:r>
          </w:p>
        </w:tc>
        <w:tc>
          <w:tcPr>
            <w:tcW w:w="86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$ 14,147</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32.9%</w:t>
            </w: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9,859</w:t>
            </w:r>
          </w:p>
        </w:tc>
        <w:tc>
          <w:tcPr>
            <w:tcW w:w="340" w:type="dxa"/>
            <w:vAlign w:val="bottom"/>
          </w:tcPr>
          <w:p>
            <w:pPr>
              <w:spacing w:after="0"/>
              <w:rPr>
                <w:sz w:val="18"/>
                <w:szCs w:val="18"/>
                <w:color w:val="auto"/>
              </w:rPr>
            </w:pPr>
          </w:p>
        </w:tc>
        <w:tc>
          <w:tcPr>
            <w:tcW w:w="8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w:t>
            </w:r>
          </w:p>
        </w:tc>
        <w:tc>
          <w:tcPr>
            <w:tcW w:w="10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9,870</w:t>
            </w:r>
          </w:p>
        </w:tc>
        <w:tc>
          <w:tcPr>
            <w:tcW w:w="7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11.3%</w:t>
            </w:r>
          </w:p>
        </w:tc>
        <w:tc>
          <w:tcPr>
            <w:tcW w:w="82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10,201</w:t>
            </w:r>
          </w:p>
        </w:tc>
        <w:tc>
          <w:tcPr>
            <w:tcW w:w="340" w:type="dxa"/>
            <w:vAlign w:val="bottom"/>
          </w:tcPr>
          <w:p>
            <w:pPr>
              <w:spacing w:after="0"/>
              <w:rPr>
                <w:sz w:val="18"/>
                <w:szCs w:val="18"/>
                <w:color w:val="auto"/>
              </w:rPr>
            </w:pPr>
          </w:p>
        </w:tc>
        <w:tc>
          <w:tcPr>
            <w:tcW w:w="8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16</w:t>
            </w:r>
          </w:p>
        </w:tc>
        <w:tc>
          <w:tcPr>
            <w:tcW w:w="220" w:type="dxa"/>
            <w:vAlign w:val="bottom"/>
          </w:tcPr>
          <w:p>
            <w:pPr>
              <w:spacing w:after="0"/>
              <w:rPr>
                <w:sz w:val="18"/>
                <w:szCs w:val="18"/>
                <w:color w:val="auto"/>
              </w:rPr>
            </w:pPr>
          </w:p>
        </w:tc>
        <w:tc>
          <w:tcPr>
            <w:tcW w:w="90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rPr>
              <w:t>10,217</w:t>
            </w:r>
          </w:p>
        </w:tc>
        <w:tc>
          <w:tcPr>
            <w:tcW w:w="7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13.4%</w:t>
            </w:r>
          </w:p>
        </w:tc>
        <w:tc>
          <w:tcPr>
            <w:tcW w:w="86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(347)</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-3.4%</w:t>
            </w:r>
          </w:p>
        </w:tc>
      </w:tr>
      <w:tr>
        <w:trPr>
          <w:trHeight w:val="216"/>
        </w:trPr>
        <w:tc>
          <w:tcPr>
            <w:tcW w:w="194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7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5,660</w:t>
            </w: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6,671</w:t>
            </w:r>
          </w:p>
        </w:tc>
        <w:tc>
          <w:tcPr>
            <w:tcW w:w="108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12,331</w:t>
            </w:r>
          </w:p>
        </w:tc>
        <w:tc>
          <w:tcPr>
            <w:tcW w:w="70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14.1%</w:t>
            </w:r>
          </w:p>
        </w:tc>
        <w:tc>
          <w:tcPr>
            <w:tcW w:w="820" w:type="dxa"/>
            <w:vAlign w:val="bottom"/>
            <w:gridSpan w:val="3"/>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6,839</w:t>
            </w: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6,461</w:t>
            </w: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90"/>
              <w:spacing w:after="0"/>
              <w:rPr>
                <w:sz w:val="20"/>
                <w:szCs w:val="20"/>
                <w:color w:val="auto"/>
              </w:rPr>
            </w:pPr>
            <w:r>
              <w:rPr>
                <w:rFonts w:ascii="Times New Roman" w:cs="Times New Roman" w:eastAsia="Times New Roman" w:hAnsi="Times New Roman"/>
                <w:sz w:val="18"/>
                <w:szCs w:val="18"/>
                <w:color w:val="auto"/>
              </w:rPr>
              <w:t>13,300</w:t>
            </w:r>
          </w:p>
        </w:tc>
        <w:tc>
          <w:tcPr>
            <w:tcW w:w="7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17.5%</w:t>
            </w:r>
          </w:p>
        </w:tc>
        <w:tc>
          <w:tcPr>
            <w:tcW w:w="86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(969)</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-7.3%</w:t>
            </w: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3,729</w:t>
            </w:r>
          </w:p>
        </w:tc>
        <w:tc>
          <w:tcPr>
            <w:tcW w:w="340" w:type="dxa"/>
            <w:vAlign w:val="bottom"/>
          </w:tcPr>
          <w:p>
            <w:pPr>
              <w:spacing w:after="0"/>
              <w:rPr>
                <w:sz w:val="18"/>
                <w:szCs w:val="18"/>
                <w:color w:val="auto"/>
              </w:rPr>
            </w:pPr>
          </w:p>
        </w:tc>
        <w:tc>
          <w:tcPr>
            <w:tcW w:w="8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4,394</w:t>
            </w:r>
          </w:p>
        </w:tc>
        <w:tc>
          <w:tcPr>
            <w:tcW w:w="10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8,123</w:t>
            </w:r>
          </w:p>
        </w:tc>
        <w:tc>
          <w:tcPr>
            <w:tcW w:w="7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9.3%</w:t>
            </w:r>
          </w:p>
        </w:tc>
        <w:tc>
          <w:tcPr>
            <w:tcW w:w="82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4,514</w:t>
            </w:r>
          </w:p>
        </w:tc>
        <w:tc>
          <w:tcPr>
            <w:tcW w:w="340" w:type="dxa"/>
            <w:vAlign w:val="bottom"/>
          </w:tcPr>
          <w:p>
            <w:pPr>
              <w:spacing w:after="0"/>
              <w:rPr>
                <w:sz w:val="18"/>
                <w:szCs w:val="18"/>
                <w:color w:val="auto"/>
              </w:rPr>
            </w:pPr>
          </w:p>
        </w:tc>
        <w:tc>
          <w:tcPr>
            <w:tcW w:w="8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4,973</w:t>
            </w:r>
          </w:p>
        </w:tc>
        <w:tc>
          <w:tcPr>
            <w:tcW w:w="220" w:type="dxa"/>
            <w:vAlign w:val="bottom"/>
          </w:tcPr>
          <w:p>
            <w:pPr>
              <w:spacing w:after="0"/>
              <w:rPr>
                <w:sz w:val="18"/>
                <w:szCs w:val="18"/>
                <w:color w:val="auto"/>
              </w:rPr>
            </w:pPr>
          </w:p>
        </w:tc>
        <w:tc>
          <w:tcPr>
            <w:tcW w:w="90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rPr>
              <w:t>9,487</w:t>
            </w:r>
          </w:p>
        </w:tc>
        <w:tc>
          <w:tcPr>
            <w:tcW w:w="7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12.5%</w:t>
            </w:r>
          </w:p>
        </w:tc>
        <w:tc>
          <w:tcPr>
            <w:tcW w:w="86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(1,364)</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-14.4%</w:t>
            </w:r>
          </w:p>
        </w:tc>
      </w:tr>
      <w:tr>
        <w:trPr>
          <w:trHeight w:val="20"/>
        </w:trPr>
        <w:tc>
          <w:tcPr>
            <w:tcW w:w="194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50"/>
        </w:trPr>
        <w:tc>
          <w:tcPr>
            <w:tcW w:w="194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7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$ 53,086</w:t>
            </w:r>
          </w:p>
        </w:tc>
        <w:tc>
          <w:tcPr>
            <w:tcW w:w="3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34,415</w:t>
            </w:r>
          </w:p>
        </w:tc>
        <w:tc>
          <w:tcPr>
            <w:tcW w:w="108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$ 87,501</w:t>
            </w:r>
          </w:p>
        </w:tc>
        <w:tc>
          <w:tcPr>
            <w:tcW w:w="70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820" w:type="dxa"/>
            <w:vAlign w:val="bottom"/>
            <w:gridSpan w:val="3"/>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$ 47,514</w:t>
            </w:r>
          </w:p>
        </w:tc>
        <w:tc>
          <w:tcPr>
            <w:tcW w:w="34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28,520</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ind w:right="290"/>
              <w:spacing w:after="0"/>
              <w:rPr>
                <w:sz w:val="20"/>
                <w:szCs w:val="20"/>
                <w:color w:val="auto"/>
              </w:rPr>
            </w:pPr>
            <w:r>
              <w:rPr>
                <w:rFonts w:ascii="Times New Roman" w:cs="Times New Roman" w:eastAsia="Times New Roman" w:hAnsi="Times New Roman"/>
                <w:sz w:val="18"/>
                <w:szCs w:val="18"/>
                <w:color w:val="auto"/>
              </w:rPr>
              <w:t>76,034</w:t>
            </w:r>
          </w:p>
        </w:tc>
        <w:tc>
          <w:tcPr>
            <w:tcW w:w="7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100.0%</w:t>
            </w:r>
          </w:p>
        </w:tc>
        <w:tc>
          <w:tcPr>
            <w:tcW w:w="86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$ 11,467</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15.1%</w:t>
            </w:r>
          </w:p>
        </w:tc>
      </w:tr>
      <w:tr>
        <w:trPr>
          <w:trHeight w:val="440"/>
        </w:trPr>
        <w:tc>
          <w:tcPr>
            <w:tcW w:w="1940" w:type="dxa"/>
            <w:vAlign w:val="bottom"/>
            <w:tcBorders>
              <w:top w:val="single" w:sz="8" w:color="CCEEFF"/>
            </w:tcBorders>
          </w:tcPr>
          <w:p>
            <w:pPr>
              <w:spacing w:after="0"/>
              <w:rPr>
                <w:sz w:val="24"/>
                <w:szCs w:val="24"/>
                <w:color w:val="auto"/>
              </w:rPr>
            </w:pPr>
          </w:p>
        </w:tc>
        <w:tc>
          <w:tcPr>
            <w:tcW w:w="76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860" w:type="dxa"/>
            <w:vAlign w:val="bottom"/>
            <w:tcBorders>
              <w:top w:val="single" w:sz="8" w:color="auto"/>
              <w:bottom w:val="single" w:sz="8" w:color="auto"/>
            </w:tcBorders>
          </w:tcPr>
          <w:p>
            <w:pPr>
              <w:spacing w:after="0"/>
              <w:rPr>
                <w:sz w:val="24"/>
                <w:szCs w:val="24"/>
                <w:color w:val="auto"/>
              </w:rPr>
            </w:pPr>
          </w:p>
        </w:tc>
        <w:tc>
          <w:tcPr>
            <w:tcW w:w="108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160" w:type="dxa"/>
            <w:vAlign w:val="bottom"/>
            <w:tcBorders>
              <w:top w:val="single" w:sz="8" w:color="CCEEFF"/>
              <w:bottom w:val="single" w:sz="8" w:color="auto"/>
            </w:tcBorders>
          </w:tcPr>
          <w:p>
            <w:pPr>
              <w:spacing w:after="0"/>
              <w:rPr>
                <w:sz w:val="24"/>
                <w:szCs w:val="24"/>
                <w:color w:val="auto"/>
              </w:rPr>
            </w:pPr>
          </w:p>
        </w:tc>
        <w:tc>
          <w:tcPr>
            <w:tcW w:w="2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920" w:type="dxa"/>
            <w:vAlign w:val="bottom"/>
            <w:tcBorders>
              <w:top w:val="single" w:sz="8" w:color="auto"/>
              <w:bottom w:val="single" w:sz="8" w:color="auto"/>
            </w:tcBorders>
            <w:gridSpan w:val="3"/>
          </w:tcPr>
          <w:p>
            <w:pPr>
              <w:jc w:val="right"/>
              <w:ind w:right="430"/>
              <w:spacing w:after="0"/>
              <w:rPr>
                <w:sz w:val="20"/>
                <w:szCs w:val="20"/>
                <w:color w:val="auto"/>
              </w:rPr>
            </w:pPr>
            <w:r>
              <w:rPr>
                <w:rFonts w:ascii="Times New Roman" w:cs="Times New Roman" w:eastAsia="Times New Roman" w:hAnsi="Times New Roman"/>
                <w:sz w:val="18"/>
                <w:szCs w:val="18"/>
                <w:color w:val="auto"/>
              </w:rPr>
              <w:t>Six Months Ended</w:t>
            </w:r>
          </w:p>
        </w:tc>
        <w:tc>
          <w:tcPr>
            <w:tcW w:w="220" w:type="dxa"/>
            <w:vAlign w:val="bottom"/>
            <w:tcBorders>
              <w:top w:val="single" w:sz="8" w:color="auto"/>
              <w:bottom w:val="single" w:sz="8" w:color="auto"/>
            </w:tcBorders>
          </w:tcPr>
          <w:p>
            <w:pPr>
              <w:spacing w:after="0"/>
              <w:rPr>
                <w:sz w:val="24"/>
                <w:szCs w:val="24"/>
                <w:color w:val="auto"/>
              </w:rPr>
            </w:pPr>
          </w:p>
        </w:tc>
        <w:tc>
          <w:tcPr>
            <w:tcW w:w="90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CCEEFF"/>
              <w:bottom w:val="single" w:sz="8" w:color="auto"/>
            </w:tcBorders>
          </w:tcPr>
          <w:p>
            <w:pPr>
              <w:spacing w:after="0"/>
              <w:rPr>
                <w:sz w:val="24"/>
                <w:szCs w:val="24"/>
                <w:color w:val="auto"/>
              </w:rPr>
            </w:pPr>
          </w:p>
        </w:tc>
        <w:tc>
          <w:tcPr>
            <w:tcW w:w="60" w:type="dxa"/>
            <w:vAlign w:val="bottom"/>
            <w:tcBorders>
              <w:top w:val="single" w:sz="8" w:color="CCEEFF"/>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70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r>
      <w:tr>
        <w:trPr>
          <w:trHeight w:val="209"/>
        </w:trPr>
        <w:tc>
          <w:tcPr>
            <w:tcW w:w="194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940" w:type="dxa"/>
            <w:vAlign w:val="bottom"/>
            <w:tcBorders>
              <w:bottom w:val="single" w:sz="8" w:color="auto"/>
            </w:tcBorders>
            <w:gridSpan w:val="2"/>
          </w:tcPr>
          <w:p>
            <w:pPr>
              <w:jc w:val="right"/>
              <w:ind w:right="670"/>
              <w:spacing w:after="0"/>
              <w:rPr>
                <w:sz w:val="20"/>
                <w:szCs w:val="20"/>
                <w:color w:val="auto"/>
              </w:rPr>
            </w:pPr>
            <w:r>
              <w:rPr>
                <w:rFonts w:ascii="Times New Roman" w:cs="Times New Roman" w:eastAsia="Times New Roman" w:hAnsi="Times New Roman"/>
                <w:sz w:val="18"/>
                <w:szCs w:val="18"/>
                <w:color w:val="auto"/>
              </w:rPr>
              <w:t>May 28, 2022</w:t>
            </w:r>
          </w:p>
        </w:tc>
        <w:tc>
          <w:tcPr>
            <w:tcW w:w="46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980" w:type="dxa"/>
            <w:vAlign w:val="bottom"/>
            <w:tcBorders>
              <w:bottom w:val="single" w:sz="8" w:color="auto"/>
            </w:tcBorders>
            <w:gridSpan w:val="3"/>
          </w:tcPr>
          <w:p>
            <w:pPr>
              <w:jc w:val="right"/>
              <w:ind w:right="670"/>
              <w:spacing w:after="0"/>
              <w:rPr>
                <w:sz w:val="20"/>
                <w:szCs w:val="20"/>
                <w:color w:val="auto"/>
              </w:rPr>
            </w:pPr>
            <w:r>
              <w:rPr>
                <w:rFonts w:ascii="Times New Roman" w:cs="Times New Roman" w:eastAsia="Times New Roman" w:hAnsi="Times New Roman"/>
                <w:sz w:val="18"/>
                <w:szCs w:val="18"/>
                <w:color w:val="auto"/>
              </w:rPr>
              <w:t>May 29, 2021</w:t>
            </w:r>
          </w:p>
        </w:tc>
        <w:tc>
          <w:tcPr>
            <w:tcW w:w="46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500" w:type="dxa"/>
            <w:vAlign w:val="bottom"/>
            <w:tcBorders>
              <w:bottom w:val="single" w:sz="8" w:color="auto"/>
            </w:tcBorders>
            <w:gridSpan w:val="2"/>
          </w:tcPr>
          <w:p>
            <w:pPr>
              <w:ind w:left="260"/>
              <w:spacing w:after="0"/>
              <w:rPr>
                <w:sz w:val="20"/>
                <w:szCs w:val="20"/>
                <w:color w:val="auto"/>
              </w:rPr>
            </w:pPr>
            <w:r>
              <w:rPr>
                <w:rFonts w:ascii="Times New Roman" w:cs="Times New Roman" w:eastAsia="Times New Roman" w:hAnsi="Times New Roman"/>
                <w:sz w:val="18"/>
                <w:szCs w:val="18"/>
                <w:color w:val="auto"/>
              </w:rPr>
              <w:t>Total Change</w:t>
            </w:r>
          </w:p>
        </w:tc>
        <w:tc>
          <w:tcPr>
            <w:tcW w:w="160" w:type="dxa"/>
            <w:vAlign w:val="bottom"/>
          </w:tcPr>
          <w:p>
            <w:pPr>
              <w:spacing w:after="0"/>
              <w:rPr>
                <w:sz w:val="18"/>
                <w:szCs w:val="18"/>
                <w:color w:val="auto"/>
              </w:rPr>
            </w:pPr>
          </w:p>
        </w:tc>
      </w:tr>
      <w:tr>
        <w:trPr>
          <w:trHeight w:val="210"/>
        </w:trPr>
        <w:tc>
          <w:tcPr>
            <w:tcW w:w="1940" w:type="dxa"/>
            <w:vAlign w:val="bottom"/>
          </w:tcPr>
          <w:p>
            <w:pPr>
              <w:spacing w:after="0"/>
              <w:rPr>
                <w:sz w:val="18"/>
                <w:szCs w:val="18"/>
                <w:color w:val="auto"/>
              </w:rPr>
            </w:pPr>
          </w:p>
        </w:tc>
        <w:tc>
          <w:tcPr>
            <w:tcW w:w="76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External</w:t>
            </w:r>
          </w:p>
        </w:tc>
        <w:tc>
          <w:tcPr>
            <w:tcW w:w="1200" w:type="dxa"/>
            <w:vAlign w:val="bottom"/>
            <w:tcBorders>
              <w:bottom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Intercompany</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Total</w:t>
            </w:r>
          </w:p>
        </w:tc>
        <w:tc>
          <w:tcPr>
            <w:tcW w:w="46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98"/>
              </w:rPr>
              <w:t>External</w:t>
            </w:r>
          </w:p>
        </w:tc>
        <w:tc>
          <w:tcPr>
            <w:tcW w:w="1200" w:type="dxa"/>
            <w:vAlign w:val="bottom"/>
            <w:tcBorders>
              <w:bottom w:val="single" w:sz="8" w:color="auto"/>
            </w:tcBorders>
            <w:gridSpan w:val="2"/>
          </w:tcPr>
          <w:p>
            <w:pPr>
              <w:ind w:left="120"/>
              <w:spacing w:after="0"/>
              <w:rPr>
                <w:sz w:val="20"/>
                <w:szCs w:val="20"/>
                <w:color w:val="auto"/>
              </w:rPr>
            </w:pPr>
            <w:r>
              <w:rPr>
                <w:rFonts w:ascii="Times New Roman" w:cs="Times New Roman" w:eastAsia="Times New Roman" w:hAnsi="Times New Roman"/>
                <w:sz w:val="18"/>
                <w:szCs w:val="18"/>
                <w:color w:val="auto"/>
              </w:rPr>
              <w:t>Intercompany</w:t>
            </w: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Total</w:t>
            </w:r>
          </w:p>
        </w:tc>
        <w:tc>
          <w:tcPr>
            <w:tcW w:w="46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Dollars</w:t>
            </w:r>
          </w:p>
        </w:tc>
        <w:tc>
          <w:tcPr>
            <w:tcW w:w="7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8"/>
                <w:szCs w:val="18"/>
                <w:color w:val="auto"/>
              </w:rPr>
            </w:pPr>
          </w:p>
        </w:tc>
      </w:tr>
      <w:tr>
        <w:trPr>
          <w:trHeight w:val="191"/>
        </w:trPr>
        <w:tc>
          <w:tcPr>
            <w:tcW w:w="1940" w:type="dxa"/>
            <w:vAlign w:val="bottom"/>
            <w:tcBorders>
              <w:right w:val="single" w:sz="8" w:color="CCEEFF"/>
            </w:tcBorders>
            <w:shd w:val="clear" w:color="auto" w:fill="CCEEFF"/>
          </w:tcPr>
          <w:p>
            <w:pPr>
              <w:spacing w:after="0" w:line="191" w:lineRule="exact"/>
              <w:rPr>
                <w:sz w:val="20"/>
                <w:szCs w:val="20"/>
                <w:color w:val="auto"/>
              </w:rPr>
            </w:pPr>
            <w:r>
              <w:rPr>
                <w:rFonts w:ascii="Times New Roman" w:cs="Times New Roman" w:eastAsia="Times New Roman" w:hAnsi="Times New Roman"/>
                <w:sz w:val="18"/>
                <w:szCs w:val="18"/>
                <w:color w:val="auto"/>
              </w:rPr>
              <w:t>Bassett Custom</w:t>
            </w:r>
          </w:p>
        </w:tc>
        <w:tc>
          <w:tcPr>
            <w:tcW w:w="76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40" w:type="dxa"/>
            <w:vAlign w:val="bottom"/>
            <w:tcBorders>
              <w:left w:val="single" w:sz="8" w:color="CCEEFF"/>
            </w:tcBorders>
            <w:shd w:val="clear" w:color="auto" w:fill="CCEEFF"/>
          </w:tcPr>
          <w:p>
            <w:pPr>
              <w:spacing w:after="0"/>
              <w:rPr>
                <w:sz w:val="16"/>
                <w:szCs w:val="16"/>
                <w:color w:val="auto"/>
              </w:rPr>
            </w:pPr>
          </w:p>
        </w:tc>
        <w:tc>
          <w:tcPr>
            <w:tcW w:w="60" w:type="dxa"/>
            <w:vAlign w:val="bottom"/>
            <w:tcBorders>
              <w:right w:val="single" w:sz="8" w:color="CCEEFF"/>
            </w:tcBorders>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r>
      <w:tr>
        <w:trPr>
          <w:trHeight w:val="234"/>
        </w:trPr>
        <w:tc>
          <w:tcPr>
            <w:tcW w:w="194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Upholstery</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  65,750</w:t>
            </w:r>
          </w:p>
        </w:tc>
        <w:tc>
          <w:tcPr>
            <w:tcW w:w="3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43,435</w:t>
            </w:r>
          </w:p>
        </w:tc>
        <w:tc>
          <w:tcPr>
            <w:tcW w:w="10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$ 109,185</w:t>
            </w:r>
          </w:p>
        </w:tc>
        <w:tc>
          <w:tcPr>
            <w:tcW w:w="70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63.9%</w:t>
            </w:r>
          </w:p>
        </w:tc>
        <w:tc>
          <w:tcPr>
            <w:tcW w:w="82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$ 50,858</w:t>
            </w:r>
          </w:p>
        </w:tc>
        <w:tc>
          <w:tcPr>
            <w:tcW w:w="3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35,526</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86,384</w:t>
            </w: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59.0%</w:t>
            </w:r>
          </w:p>
        </w:tc>
        <w:tc>
          <w:tcPr>
            <w:tcW w:w="86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$ 22,801</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26.4%</w:t>
            </w: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22,821</w:t>
            </w: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10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22,844</w:t>
            </w:r>
          </w:p>
        </w:tc>
        <w:tc>
          <w:tcPr>
            <w:tcW w:w="70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13.4%</w:t>
            </w:r>
          </w:p>
        </w:tc>
        <w:tc>
          <w:tcPr>
            <w:tcW w:w="8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17,756</w:t>
            </w: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22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17,801</w:t>
            </w:r>
          </w:p>
        </w:tc>
        <w:tc>
          <w:tcPr>
            <w:tcW w:w="7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12.2%</w:t>
            </w:r>
          </w:p>
        </w:tc>
        <w:tc>
          <w:tcPr>
            <w:tcW w:w="8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5,043</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28.3%</w:t>
            </w:r>
          </w:p>
        </w:tc>
      </w:tr>
      <w:tr>
        <w:trPr>
          <w:trHeight w:val="216"/>
        </w:trPr>
        <w:tc>
          <w:tcPr>
            <w:tcW w:w="194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11,643</w:t>
            </w: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12,932</w:t>
            </w:r>
          </w:p>
        </w:tc>
        <w:tc>
          <w:tcPr>
            <w:tcW w:w="10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24,575</w:t>
            </w:r>
          </w:p>
        </w:tc>
        <w:tc>
          <w:tcPr>
            <w:tcW w:w="70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14.4%</w:t>
            </w:r>
          </w:p>
        </w:tc>
        <w:tc>
          <w:tcPr>
            <w:tcW w:w="82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12,176</w:t>
            </w: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12,666</w:t>
            </w: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24,842</w:t>
            </w: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17.0%</w:t>
            </w:r>
          </w:p>
        </w:tc>
        <w:tc>
          <w:tcPr>
            <w:tcW w:w="86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(267)</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w:t>
            </w: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6,629</w:t>
            </w: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7,753</w:t>
            </w:r>
          </w:p>
        </w:tc>
        <w:tc>
          <w:tcPr>
            <w:tcW w:w="10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14,382</w:t>
            </w:r>
          </w:p>
        </w:tc>
        <w:tc>
          <w:tcPr>
            <w:tcW w:w="70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8.4%</w:t>
            </w:r>
          </w:p>
        </w:tc>
        <w:tc>
          <w:tcPr>
            <w:tcW w:w="8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7,984</w:t>
            </w:r>
          </w:p>
        </w:tc>
        <w:tc>
          <w:tcPr>
            <w:tcW w:w="3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9,287</w:t>
            </w:r>
          </w:p>
        </w:tc>
        <w:tc>
          <w:tcPr>
            <w:tcW w:w="22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17,271</w:t>
            </w:r>
          </w:p>
        </w:tc>
        <w:tc>
          <w:tcPr>
            <w:tcW w:w="7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11.8%</w:t>
            </w:r>
          </w:p>
        </w:tc>
        <w:tc>
          <w:tcPr>
            <w:tcW w:w="86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(2,889)</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-16.7%</w:t>
            </w:r>
          </w:p>
        </w:tc>
      </w:tr>
      <w:tr>
        <w:trPr>
          <w:trHeight w:val="20"/>
        </w:trPr>
        <w:tc>
          <w:tcPr>
            <w:tcW w:w="1940" w:type="dxa"/>
            <w:vAlign w:val="bottom"/>
            <w:tcBorders>
              <w:right w:val="single" w:sz="8" w:color="auto"/>
            </w:tcBorders>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30"/>
        </w:trPr>
        <w:tc>
          <w:tcPr>
            <w:tcW w:w="194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1"/>
              </w:rPr>
              <w:t>$ 106,843</w:t>
            </w:r>
          </w:p>
        </w:tc>
        <w:tc>
          <w:tcPr>
            <w:tcW w:w="3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64,143</w:t>
            </w:r>
          </w:p>
        </w:tc>
        <w:tc>
          <w:tcPr>
            <w:tcW w:w="10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$ 170,986</w:t>
            </w:r>
          </w:p>
        </w:tc>
        <w:tc>
          <w:tcPr>
            <w:tcW w:w="70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82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$ 88,774</w:t>
            </w:r>
          </w:p>
        </w:tc>
        <w:tc>
          <w:tcPr>
            <w:tcW w:w="3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57,524</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146,298</w:t>
            </w: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100.0%</w:t>
            </w:r>
          </w:p>
        </w:tc>
        <w:tc>
          <w:tcPr>
            <w:tcW w:w="86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$ 24,688</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16.9%</w:t>
            </w:r>
          </w:p>
        </w:tc>
      </w:tr>
      <w:tr>
        <w:trPr>
          <w:trHeight w:val="20"/>
        </w:trPr>
        <w:tc>
          <w:tcPr>
            <w:tcW w:w="1940" w:type="dxa"/>
            <w:vAlign w:val="bottom"/>
            <w:tcBorders>
              <w:top w:val="single" w:sz="8" w:color="CCEEFF"/>
              <w:right w:val="single" w:sz="8" w:color="auto"/>
            </w:tcBorders>
            <w:shd w:val="clear" w:color="auto" w:fill="CCEEFF"/>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left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 xml:space="preserve">Analysis of Quarterly Results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 xml:space="preserve"> Wholesale</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Net sales for the three months ended May 28, 2022 increased $11,467 from the prior year period due primarily to a 10% increase in shipments to the open market along with an 17% increase in shipments to the BHF store network. Gross margins for the three months ended May 28, 2022 declined 300 basis points compared to the prior year period as we have experienced significant increases in material and other production costs, partially offset by greater leverage of fixed costs due to higher sales volumes. SG&amp;A expenses as a percentage of sales were flat due primarily to increased marketing and incentive and other compensation costs largely offset by greater leverage of fixed costs from increased sales volumes.</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29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9" w:name="page30"/>
    <w:bookmarkEnd w:id="2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Analysis of Year-to-Date Results - Wholesale</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Net sales for the six months ended May 28, 2022 increased $24,688 from the prior year period due primarily to an 18% increase in shipments to the open market along with an 11% increase in shipments to the BHF store network. Gross margins for the six months ended May 28, 2022 declined 350 basis points compared to the prior year period as we have experienced significant increases in material and other production costs, partially offset by greater leverage of fixed costs due to higher sales volumes. SG&amp;A expenses as a percentage of sales decreased due primarily to greater leverage of fixed costs from increased sales volumes partially offset by increased marketing and incentive and other compensation costs.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Wholesale Backlog</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Since the beginning of the COVID pandemic in early 2020, Bassett and most of the home furnishings industry have been faced with continuing logistical challenges from COVID-related labor shortages and supply chain disruptions creating significant delays in order fulfillment and increasing backlogs. During the second quarter of fiscal 2022, we continued to make progress in decreasing these backlogs and expect them to continue decreasing as our ability to manufacture and ship product has improved coupled with a slower rate of new orders. At May 28, 2022, the wholesale backlog totaled $60,134 as compared to $78,135 at February 26, 2022, $90,057 at November 27, 2021, and 86,693 at May 29, 2021. At February 29, 2020, the end of our last fiscal quarter prior to the impact of the COVID pandemic upon our operations and the overall economy, our wholesale backlog was $14,617.</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 xml:space="preserve">Retail </w:t>
      </w: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b w:val="1"/>
          <w:bCs w:val="1"/>
          <w:u w:val="single" w:color="auto"/>
          <w:color w:val="auto"/>
        </w:rPr>
        <w:t xml:space="preserve"> Company-owned Stores Segment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retail segment for the periods ended May 28, 2022 and May 29, 2021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560" w:type="dxa"/>
            <w:vAlign w:val="bottom"/>
            <w:gridSpan w:val="4"/>
          </w:tcPr>
          <w:p>
            <w:pPr>
              <w:jc w:val="right"/>
              <w:ind w:right="319"/>
              <w:spacing w:after="0"/>
              <w:rPr>
                <w:sz w:val="20"/>
                <w:szCs w:val="20"/>
                <w:color w:val="auto"/>
              </w:rPr>
            </w:pPr>
            <w:r>
              <w:rPr>
                <w:rFonts w:ascii="Times New Roman" w:cs="Times New Roman" w:eastAsia="Times New Roman" w:hAnsi="Times New Roman"/>
                <w:sz w:val="16"/>
                <w:szCs w:val="16"/>
                <w:color w:val="auto"/>
              </w:rPr>
              <w:t>Quarter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3"/>
          </w:tcPr>
          <w:p>
            <w:pPr>
              <w:jc w:val="right"/>
              <w:ind w:right="780"/>
              <w:spacing w:after="0"/>
              <w:rPr>
                <w:sz w:val="20"/>
                <w:szCs w:val="20"/>
                <w:color w:val="auto"/>
              </w:rPr>
            </w:pPr>
            <w:r>
              <w:rPr>
                <w:rFonts w:ascii="Times New Roman" w:cs="Times New Roman" w:eastAsia="Times New Roman" w:hAnsi="Times New Roman"/>
                <w:sz w:val="16"/>
                <w:szCs w:val="16"/>
                <w:color w:val="auto"/>
              </w:rPr>
              <w:t>Change</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700" w:type="dxa"/>
            <w:vAlign w:val="bottom"/>
            <w:gridSpan w:val="4"/>
          </w:tcPr>
          <w:p>
            <w:pPr>
              <w:jc w:val="right"/>
              <w:ind w:right="279"/>
              <w:spacing w:after="0"/>
              <w:rPr>
                <w:sz w:val="20"/>
                <w:szCs w:val="20"/>
                <w:color w:val="auto"/>
              </w:rPr>
            </w:pPr>
            <w:r>
              <w:rPr>
                <w:rFonts w:ascii="Times New Roman" w:cs="Times New Roman" w:eastAsia="Times New Roman" w:hAnsi="Times New Roman"/>
                <w:sz w:val="16"/>
                <w:szCs w:val="16"/>
                <w:color w:val="auto"/>
              </w:rPr>
              <w:t>Six Months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gridSpan w:val="4"/>
          </w:tcPr>
          <w:p>
            <w:pPr>
              <w:jc w:val="right"/>
              <w:ind w:right="680"/>
              <w:spacing w:after="0"/>
              <w:rPr>
                <w:sz w:val="20"/>
                <w:szCs w:val="20"/>
                <w:color w:val="auto"/>
              </w:rPr>
            </w:pPr>
            <w:r>
              <w:rPr>
                <w:rFonts w:ascii="Times New Roman" w:cs="Times New Roman" w:eastAsia="Times New Roman" w:hAnsi="Times New Roman"/>
                <w:sz w:val="16"/>
                <w:szCs w:val="16"/>
                <w:color w:val="auto"/>
              </w:rPr>
              <w:t>Change</w:t>
            </w:r>
          </w:p>
        </w:tc>
        <w:tc>
          <w:tcPr>
            <w:tcW w:w="0" w:type="dxa"/>
            <w:vAlign w:val="bottom"/>
          </w:tcPr>
          <w:p>
            <w:pPr>
              <w:spacing w:after="0"/>
              <w:rPr>
                <w:sz w:val="1"/>
                <w:szCs w:val="1"/>
                <w:color w:val="auto"/>
              </w:rPr>
            </w:pPr>
          </w:p>
        </w:tc>
      </w:tr>
      <w:tr>
        <w:trPr>
          <w:trHeight w:val="202"/>
        </w:trPr>
        <w:tc>
          <w:tcPr>
            <w:tcW w:w="13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60" w:type="dxa"/>
            <w:vAlign w:val="bottom"/>
            <w:tcBorders>
              <w:top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6"/>
                <w:szCs w:val="16"/>
                <w:color w:val="auto"/>
              </w:rPr>
              <w:t>May 28, 2022</w:t>
            </w:r>
          </w:p>
        </w:tc>
        <w:tc>
          <w:tcPr>
            <w:tcW w:w="10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7"/>
              </w:rPr>
              <w:t>Dollars</w:t>
            </w:r>
          </w:p>
        </w:tc>
        <w:tc>
          <w:tcPr>
            <w:tcW w:w="7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Percent</w:t>
            </w: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560" w:type="dxa"/>
            <w:vAlign w:val="bottom"/>
            <w:tcBorders>
              <w:top w:val="single" w:sz="8" w:color="auto"/>
            </w:tcBorders>
            <w:gridSpan w:val="3"/>
          </w:tcPr>
          <w:p>
            <w:pPr>
              <w:jc w:val="right"/>
              <w:ind w:right="500"/>
              <w:spacing w:after="0"/>
              <w:rPr>
                <w:sz w:val="20"/>
                <w:szCs w:val="20"/>
                <w:color w:val="auto"/>
              </w:rPr>
            </w:pPr>
            <w:r>
              <w:rPr>
                <w:rFonts w:ascii="Times New Roman" w:cs="Times New Roman" w:eastAsia="Times New Roman" w:hAnsi="Times New Roman"/>
                <w:sz w:val="16"/>
                <w:szCs w:val="16"/>
                <w:color w:val="auto"/>
              </w:rPr>
              <w:t>May 28, 2022</w:t>
            </w:r>
          </w:p>
        </w:tc>
        <w:tc>
          <w:tcPr>
            <w:tcW w:w="10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gridSpan w:val="2"/>
          </w:tcPr>
          <w:p>
            <w:pPr>
              <w:ind w:left="14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7"/>
              </w:rPr>
              <w:t>Dollars</w:t>
            </w:r>
          </w:p>
        </w:tc>
        <w:tc>
          <w:tcPr>
            <w:tcW w:w="7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Percent</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Net sales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75,620</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62,483</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13,137</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21.0%</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w w:val="99"/>
              </w:rPr>
              <w:t>139,727</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122,878</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16,849</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60" w:type="dxa"/>
            <w:vAlign w:val="bottom"/>
          </w:tcPr>
          <w:p>
            <w:pPr>
              <w:spacing w:after="0"/>
              <w:rPr>
                <w:sz w:val="20"/>
                <w:szCs w:val="20"/>
                <w:color w:val="auto"/>
              </w:rPr>
            </w:pPr>
            <w:r>
              <w:rPr>
                <w:rFonts w:ascii="Times New Roman" w:cs="Times New Roman" w:eastAsia="Times New Roman" w:hAnsi="Times New Roman"/>
                <w:sz w:val="16"/>
                <w:szCs w:val="16"/>
                <w:color w:val="auto"/>
              </w:rPr>
              <w:t>Gross profit (1)</w:t>
            </w:r>
          </w:p>
        </w:tc>
        <w:tc>
          <w:tcPr>
            <w:tcW w:w="100" w:type="dxa"/>
            <w:vAlign w:val="bottom"/>
          </w:tcPr>
          <w:p>
            <w:pPr>
              <w:spacing w:after="0"/>
              <w:rPr>
                <w:sz w:val="17"/>
                <w:szCs w:val="17"/>
                <w:color w:val="auto"/>
              </w:rPr>
            </w:pPr>
          </w:p>
        </w:tc>
        <w:tc>
          <w:tcPr>
            <w:tcW w:w="6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99"/>
              </w:rPr>
              <w:t>40,181</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53.1%</w:t>
            </w:r>
          </w:p>
        </w:tc>
        <w:tc>
          <w:tcPr>
            <w:tcW w:w="100" w:type="dxa"/>
            <w:vAlign w:val="bottom"/>
          </w:tcPr>
          <w:p>
            <w:pPr>
              <w:spacing w:after="0"/>
              <w:rPr>
                <w:sz w:val="17"/>
                <w:szCs w:val="17"/>
                <w:color w:val="auto"/>
              </w:rPr>
            </w:pPr>
          </w:p>
        </w:tc>
        <w:tc>
          <w:tcPr>
            <w:tcW w:w="6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99"/>
              </w:rPr>
              <w:t>32,164</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51.5%</w:t>
            </w:r>
          </w:p>
        </w:tc>
        <w:tc>
          <w:tcPr>
            <w:tcW w:w="100" w:type="dxa"/>
            <w:vAlign w:val="bottom"/>
          </w:tcPr>
          <w:p>
            <w:pPr>
              <w:spacing w:after="0"/>
              <w:rPr>
                <w:sz w:val="17"/>
                <w:szCs w:val="17"/>
                <w:color w:val="auto"/>
              </w:rPr>
            </w:pPr>
          </w:p>
        </w:tc>
        <w:tc>
          <w:tcPr>
            <w:tcW w:w="72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8,017</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24.9%</w:t>
            </w:r>
          </w:p>
        </w:tc>
        <w:tc>
          <w:tcPr>
            <w:tcW w:w="80" w:type="dxa"/>
            <w:vAlign w:val="bottom"/>
          </w:tcPr>
          <w:p>
            <w:pPr>
              <w:spacing w:after="0"/>
              <w:rPr>
                <w:sz w:val="17"/>
                <w:szCs w:val="17"/>
                <w:color w:val="auto"/>
              </w:rPr>
            </w:pPr>
          </w:p>
        </w:tc>
        <w:tc>
          <w:tcPr>
            <w:tcW w:w="70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74,337</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53.2%</w:t>
            </w:r>
          </w:p>
        </w:tc>
        <w:tc>
          <w:tcPr>
            <w:tcW w:w="100" w:type="dxa"/>
            <w:vAlign w:val="bottom"/>
          </w:tcPr>
          <w:p>
            <w:pPr>
              <w:spacing w:after="0"/>
              <w:rPr>
                <w:sz w:val="17"/>
                <w:szCs w:val="17"/>
                <w:color w:val="auto"/>
              </w:rPr>
            </w:pPr>
          </w:p>
        </w:tc>
        <w:tc>
          <w:tcPr>
            <w:tcW w:w="7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63,250</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51.5%</w:t>
            </w:r>
          </w:p>
        </w:tc>
        <w:tc>
          <w:tcPr>
            <w:tcW w:w="100" w:type="dxa"/>
            <w:vAlign w:val="bottom"/>
          </w:tcPr>
          <w:p>
            <w:pPr>
              <w:spacing w:after="0"/>
              <w:rPr>
                <w:sz w:val="17"/>
                <w:szCs w:val="17"/>
                <w:color w:val="auto"/>
              </w:rPr>
            </w:pPr>
          </w:p>
        </w:tc>
        <w:tc>
          <w:tcPr>
            <w:tcW w:w="72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11,087</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17.5%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SG&amp;A expenses</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32,306</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42.7%</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9"/>
              </w:rPr>
              <w:t>30,512</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48.8%</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1,794</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5.9%</w:t>
            </w: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63,112</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45.2%</w:t>
            </w: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60,504</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49.2%</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2,608</w:t>
            </w:r>
          </w:p>
        </w:tc>
        <w:tc>
          <w:tcPr>
            <w:tcW w:w="8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1360" w:type="dxa"/>
            <w:vAlign w:val="bottom"/>
          </w:tcPr>
          <w:p>
            <w:pPr>
              <w:spacing w:after="0" w:line="182" w:lineRule="exact"/>
              <w:rPr>
                <w:sz w:val="20"/>
                <w:szCs w:val="20"/>
                <w:color w:val="auto"/>
              </w:rPr>
            </w:pPr>
            <w:r>
              <w:rPr>
                <w:rFonts w:ascii="Times New Roman" w:cs="Times New Roman" w:eastAsia="Times New Roman" w:hAnsi="Times New Roman"/>
                <w:sz w:val="16"/>
                <w:szCs w:val="16"/>
                <w:color w:val="auto"/>
              </w:rPr>
              <w:t>Income (loss) from</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vMerge w:val="restart"/>
          </w:tcPr>
          <w:p>
            <w:pPr>
              <w:jc w:val="right"/>
              <w:ind w:right="119"/>
              <w:spacing w:after="0"/>
              <w:rPr>
                <w:sz w:val="20"/>
                <w:szCs w:val="20"/>
                <w:color w:val="auto"/>
              </w:rPr>
            </w:pPr>
            <w:r>
              <w:rPr>
                <w:rFonts w:ascii="Times New Roman" w:cs="Times New Roman" w:eastAsia="Times New Roman" w:hAnsi="Times New Roman"/>
                <w:sz w:val="16"/>
                <w:szCs w:val="16"/>
                <w:color w:val="auto"/>
              </w:rPr>
              <w:t>7,875</w:t>
            </w: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10.4%</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vMerge w:val="restart"/>
          </w:tcPr>
          <w:p>
            <w:pPr>
              <w:jc w:val="right"/>
              <w:ind w:right="119"/>
              <w:spacing w:after="0"/>
              <w:rPr>
                <w:sz w:val="20"/>
                <w:szCs w:val="20"/>
                <w:color w:val="auto"/>
              </w:rPr>
            </w:pPr>
            <w:r>
              <w:rPr>
                <w:rFonts w:ascii="Times New Roman" w:cs="Times New Roman" w:eastAsia="Times New Roman" w:hAnsi="Times New Roman"/>
                <w:sz w:val="16"/>
                <w:szCs w:val="16"/>
                <w:color w:val="auto"/>
              </w:rPr>
              <w:t>1,652</w:t>
            </w: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2.6%</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vMerge w:val="restart"/>
          </w:tcPr>
          <w:p>
            <w:pPr>
              <w:jc w:val="right"/>
              <w:ind w:right="59"/>
              <w:spacing w:after="0"/>
              <w:rPr>
                <w:sz w:val="20"/>
                <w:szCs w:val="20"/>
                <w:color w:val="auto"/>
              </w:rPr>
            </w:pPr>
            <w:r>
              <w:rPr>
                <w:rFonts w:ascii="Times New Roman" w:cs="Times New Roman" w:eastAsia="Times New Roman" w:hAnsi="Times New Roman"/>
                <w:sz w:val="16"/>
                <w:szCs w:val="16"/>
                <w:color w:val="auto"/>
              </w:rPr>
              <w:t>6,223</w:t>
            </w:r>
          </w:p>
        </w:tc>
        <w:tc>
          <w:tcPr>
            <w:tcW w:w="98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6"/>
                <w:szCs w:val="16"/>
                <w:color w:val="auto"/>
              </w:rPr>
              <w:t>N/M</w:t>
            </w:r>
          </w:p>
        </w:tc>
        <w:tc>
          <w:tcPr>
            <w:tcW w:w="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rPr>
              <w:t>11,225</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8.0%</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vMerge w:val="restart"/>
          </w:tcPr>
          <w:p>
            <w:pPr>
              <w:jc w:val="right"/>
              <w:ind w:right="119"/>
              <w:spacing w:after="0"/>
              <w:rPr>
                <w:sz w:val="20"/>
                <w:szCs w:val="20"/>
                <w:color w:val="auto"/>
              </w:rPr>
            </w:pPr>
            <w:r>
              <w:rPr>
                <w:rFonts w:ascii="Times New Roman" w:cs="Times New Roman" w:eastAsia="Times New Roman" w:hAnsi="Times New Roman"/>
                <w:sz w:val="16"/>
                <w:szCs w:val="16"/>
                <w:color w:val="auto"/>
              </w:rPr>
              <w:t>2,746</w:t>
            </w: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2.2%</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vMerge w:val="restart"/>
          </w:tcPr>
          <w:p>
            <w:pPr>
              <w:jc w:val="right"/>
              <w:ind w:right="79"/>
              <w:spacing w:after="0"/>
              <w:rPr>
                <w:sz w:val="20"/>
                <w:szCs w:val="20"/>
                <w:color w:val="auto"/>
              </w:rPr>
            </w:pPr>
            <w:r>
              <w:rPr>
                <w:rFonts w:ascii="Times New Roman" w:cs="Times New Roman" w:eastAsia="Times New Roman" w:hAnsi="Times New Roman"/>
                <w:sz w:val="16"/>
                <w:szCs w:val="16"/>
                <w:color w:val="auto"/>
              </w:rPr>
              <w:t>8,479</w:t>
            </w:r>
          </w:p>
        </w:tc>
        <w:tc>
          <w:tcPr>
            <w:tcW w:w="880" w:type="dxa"/>
            <w:vAlign w:val="bottom"/>
            <w:gridSpan w:val="3"/>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308.8%</w:t>
            </w:r>
          </w:p>
        </w:tc>
        <w:tc>
          <w:tcPr>
            <w:tcW w:w="0" w:type="dxa"/>
            <w:vAlign w:val="bottom"/>
          </w:tcPr>
          <w:p>
            <w:pPr>
              <w:spacing w:after="0"/>
              <w:rPr>
                <w:sz w:val="1"/>
                <w:szCs w:val="1"/>
                <w:color w:val="auto"/>
              </w:rPr>
            </w:pPr>
          </w:p>
        </w:tc>
      </w:tr>
      <w:tr>
        <w:trPr>
          <w:trHeight w:val="176"/>
        </w:trPr>
        <w:tc>
          <w:tcPr>
            <w:tcW w:w="136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operations</w:t>
            </w:r>
          </w:p>
        </w:tc>
        <w:tc>
          <w:tcPr>
            <w:tcW w:w="1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980" w:type="dxa"/>
            <w:vAlign w:val="bottom"/>
            <w:gridSpan w:val="2"/>
            <w:vMerge w:val="continue"/>
          </w:tcPr>
          <w:p>
            <w:pPr>
              <w:spacing w:after="0"/>
              <w:rPr>
                <w:sz w:val="15"/>
                <w:szCs w:val="15"/>
                <w:color w:val="auto"/>
              </w:rPr>
            </w:pPr>
          </w:p>
        </w:tc>
        <w:tc>
          <w:tcPr>
            <w:tcW w:w="8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8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980" w:right="20" w:hanging="324"/>
        <w:spacing w:after="0" w:line="266" w:lineRule="auto"/>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Gross profit at the segment level is considered a Non-GAAP financial measure due to the included effects of intercompany transactions. Refer to the reconciliation of gross profit by segment to consolidated gross profit presented under the Reconciliation of Segment Results to Consolidated Results of Operations above.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Retail sales by major product category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1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560" w:type="dxa"/>
            <w:vAlign w:val="bottom"/>
            <w:gridSpan w:val="3"/>
          </w:tcPr>
          <w:p>
            <w:pPr>
              <w:jc w:val="right"/>
              <w:ind w:right="319"/>
              <w:spacing w:after="0"/>
              <w:rPr>
                <w:sz w:val="20"/>
                <w:szCs w:val="20"/>
                <w:color w:val="auto"/>
              </w:rPr>
            </w:pPr>
            <w:r>
              <w:rPr>
                <w:rFonts w:ascii="Times New Roman" w:cs="Times New Roman" w:eastAsia="Times New Roman" w:hAnsi="Times New Roman"/>
                <w:sz w:val="16"/>
                <w:szCs w:val="16"/>
                <w:color w:val="auto"/>
              </w:rPr>
              <w:t>Quarter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3"/>
          </w:tcPr>
          <w:p>
            <w:pPr>
              <w:jc w:val="right"/>
              <w:ind w:right="780"/>
              <w:spacing w:after="0"/>
              <w:rPr>
                <w:sz w:val="20"/>
                <w:szCs w:val="20"/>
                <w:color w:val="auto"/>
              </w:rPr>
            </w:pPr>
            <w:r>
              <w:rPr>
                <w:rFonts w:ascii="Times New Roman" w:cs="Times New Roman" w:eastAsia="Times New Roman" w:hAnsi="Times New Roman"/>
                <w:sz w:val="16"/>
                <w:szCs w:val="16"/>
                <w:color w:val="auto"/>
              </w:rPr>
              <w:t>Change</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700" w:type="dxa"/>
            <w:vAlign w:val="bottom"/>
            <w:gridSpan w:val="4"/>
          </w:tcPr>
          <w:p>
            <w:pPr>
              <w:jc w:val="right"/>
              <w:ind w:right="279"/>
              <w:spacing w:after="0"/>
              <w:rPr>
                <w:sz w:val="20"/>
                <w:szCs w:val="20"/>
                <w:color w:val="auto"/>
              </w:rPr>
            </w:pPr>
            <w:r>
              <w:rPr>
                <w:rFonts w:ascii="Times New Roman" w:cs="Times New Roman" w:eastAsia="Times New Roman" w:hAnsi="Times New Roman"/>
                <w:sz w:val="16"/>
                <w:szCs w:val="16"/>
                <w:color w:val="auto"/>
              </w:rPr>
              <w:t>Six Months Ended</w:t>
            </w: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gridSpan w:val="4"/>
          </w:tcPr>
          <w:p>
            <w:pPr>
              <w:ind w:left="420"/>
              <w:spacing w:after="0"/>
              <w:rPr>
                <w:sz w:val="20"/>
                <w:szCs w:val="20"/>
                <w:color w:val="auto"/>
              </w:rPr>
            </w:pPr>
            <w:r>
              <w:rPr>
                <w:rFonts w:ascii="Times New Roman" w:cs="Times New Roman" w:eastAsia="Times New Roman" w:hAnsi="Times New Roman"/>
                <w:sz w:val="16"/>
                <w:szCs w:val="16"/>
                <w:color w:val="auto"/>
              </w:rPr>
              <w:t>Change</w:t>
            </w:r>
          </w:p>
        </w:tc>
        <w:tc>
          <w:tcPr>
            <w:tcW w:w="0" w:type="dxa"/>
            <w:vAlign w:val="bottom"/>
          </w:tcPr>
          <w:p>
            <w:pPr>
              <w:spacing w:after="0"/>
              <w:rPr>
                <w:sz w:val="1"/>
                <w:szCs w:val="1"/>
                <w:color w:val="auto"/>
              </w:rPr>
            </w:pPr>
          </w:p>
        </w:tc>
      </w:tr>
      <w:tr>
        <w:trPr>
          <w:trHeight w:val="210"/>
        </w:trPr>
        <w:tc>
          <w:tcPr>
            <w:tcW w:w="1360" w:type="dxa"/>
            <w:vAlign w:val="bottom"/>
          </w:tcPr>
          <w:p>
            <w:pPr>
              <w:spacing w:after="0"/>
              <w:rPr>
                <w:sz w:val="18"/>
                <w:szCs w:val="18"/>
                <w:color w:val="auto"/>
              </w:rPr>
            </w:pPr>
          </w:p>
        </w:tc>
        <w:tc>
          <w:tcPr>
            <w:tcW w:w="1560" w:type="dxa"/>
            <w:vAlign w:val="bottom"/>
            <w:tcBorders>
              <w:top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6"/>
                <w:szCs w:val="16"/>
                <w:color w:val="auto"/>
              </w:rPr>
              <w:t>May 28, 2022</w:t>
            </w:r>
          </w:p>
        </w:tc>
        <w:tc>
          <w:tcPr>
            <w:tcW w:w="1320" w:type="dxa"/>
            <w:vAlign w:val="bottom"/>
            <w:tcBorders>
              <w:top w:val="single" w:sz="8" w:color="auto"/>
            </w:tcBorders>
            <w:gridSpan w:val="2"/>
          </w:tcPr>
          <w:p>
            <w:pPr>
              <w:ind w:left="22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199"/>
              <w:spacing w:after="0"/>
              <w:rPr>
                <w:sz w:val="20"/>
                <w:szCs w:val="20"/>
                <w:color w:val="auto"/>
              </w:rPr>
            </w:pPr>
            <w:r>
              <w:rPr>
                <w:rFonts w:ascii="Times New Roman" w:cs="Times New Roman" w:eastAsia="Times New Roman" w:hAnsi="Times New Roman"/>
                <w:sz w:val="16"/>
                <w:szCs w:val="16"/>
                <w:color w:val="auto"/>
                <w:w w:val="97"/>
              </w:rPr>
              <w:t>Dollars</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Percent</w:t>
            </w:r>
          </w:p>
        </w:tc>
        <w:tc>
          <w:tcPr>
            <w:tcW w:w="2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560" w:type="dxa"/>
            <w:vAlign w:val="bottom"/>
            <w:tcBorders>
              <w:top w:val="single" w:sz="8" w:color="auto"/>
            </w:tcBorders>
            <w:gridSpan w:val="3"/>
          </w:tcPr>
          <w:p>
            <w:pPr>
              <w:jc w:val="right"/>
              <w:ind w:right="500"/>
              <w:spacing w:after="0"/>
              <w:rPr>
                <w:sz w:val="20"/>
                <w:szCs w:val="20"/>
                <w:color w:val="auto"/>
              </w:rPr>
            </w:pPr>
            <w:r>
              <w:rPr>
                <w:rFonts w:ascii="Times New Roman" w:cs="Times New Roman" w:eastAsia="Times New Roman" w:hAnsi="Times New Roman"/>
                <w:sz w:val="16"/>
                <w:szCs w:val="16"/>
                <w:color w:val="auto"/>
              </w:rPr>
              <w:t>May 28, 2022</w:t>
            </w:r>
          </w:p>
        </w:tc>
        <w:tc>
          <w:tcPr>
            <w:tcW w:w="1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gridSpan w:val="2"/>
          </w:tcPr>
          <w:p>
            <w:pPr>
              <w:ind w:left="140"/>
              <w:spacing w:after="0"/>
              <w:rPr>
                <w:sz w:val="20"/>
                <w:szCs w:val="20"/>
                <w:color w:val="auto"/>
              </w:rPr>
            </w:pPr>
            <w:r>
              <w:rPr>
                <w:rFonts w:ascii="Times New Roman" w:cs="Times New Roman" w:eastAsia="Times New Roman" w:hAnsi="Times New Roman"/>
                <w:sz w:val="16"/>
                <w:szCs w:val="16"/>
                <w:color w:val="auto"/>
              </w:rPr>
              <w:t>May 29, 2021</w:t>
            </w:r>
          </w:p>
        </w:tc>
        <w:tc>
          <w:tcPr>
            <w:tcW w:w="2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w w:val="97"/>
              </w:rPr>
              <w:t>Dollars</w:t>
            </w:r>
          </w:p>
        </w:tc>
        <w:tc>
          <w:tcPr>
            <w:tcW w:w="700" w:type="dxa"/>
            <w:vAlign w:val="bottom"/>
            <w:tcBorders>
              <w:top w:val="single" w:sz="8" w:color="auto"/>
            </w:tcBorders>
          </w:tcPr>
          <w:p>
            <w:pPr>
              <w:ind w:left="140"/>
              <w:spacing w:after="0"/>
              <w:rPr>
                <w:sz w:val="20"/>
                <w:szCs w:val="20"/>
                <w:color w:val="auto"/>
              </w:rPr>
            </w:pPr>
            <w:r>
              <w:rPr>
                <w:rFonts w:ascii="Times New Roman" w:cs="Times New Roman" w:eastAsia="Times New Roman" w:hAnsi="Times New Roman"/>
                <w:sz w:val="16"/>
                <w:szCs w:val="16"/>
                <w:color w:val="auto"/>
              </w:rPr>
              <w:t>Percent</w:t>
            </w:r>
          </w:p>
        </w:tc>
        <w:tc>
          <w:tcPr>
            <w:tcW w:w="1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1360" w:type="dxa"/>
            <w:vAlign w:val="bottom"/>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Bassett Custom</w:t>
            </w:r>
          </w:p>
        </w:tc>
        <w:tc>
          <w:tcPr>
            <w:tcW w:w="7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Upholstery</w:t>
            </w:r>
          </w:p>
        </w:tc>
        <w:tc>
          <w:tcPr>
            <w:tcW w:w="7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6"/>
              </w:rPr>
              <w:t>$ 45,376</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60.0%</w:t>
            </w:r>
          </w:p>
        </w:tc>
        <w:tc>
          <w:tcPr>
            <w:tcW w:w="7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w w:val="96"/>
              </w:rPr>
              <w:t>$ 35,378</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56.6%</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9,998</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28.3%</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83,194</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59.5%</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69,839</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56.8%</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13,355</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360" w:type="dxa"/>
            <w:vAlign w:val="bottom"/>
          </w:tcPr>
          <w:p>
            <w:pPr>
              <w:spacing w:after="0"/>
              <w:rPr>
                <w:sz w:val="20"/>
                <w:szCs w:val="20"/>
                <w:color w:val="auto"/>
              </w:rPr>
            </w:pPr>
            <w:r>
              <w:rPr>
                <w:rFonts w:ascii="Times New Roman" w:cs="Times New Roman" w:eastAsia="Times New Roman" w:hAnsi="Times New Roman"/>
                <w:sz w:val="16"/>
                <w:szCs w:val="16"/>
                <w:color w:val="auto"/>
              </w:rPr>
              <w:t>Bassett Leather</w:t>
            </w:r>
          </w:p>
        </w:tc>
        <w:tc>
          <w:tcPr>
            <w:tcW w:w="7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292</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0.4%</w:t>
            </w:r>
          </w:p>
        </w:tc>
        <w:tc>
          <w:tcPr>
            <w:tcW w:w="7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228</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0.4%</w:t>
            </w:r>
          </w:p>
        </w:tc>
        <w:tc>
          <w:tcPr>
            <w:tcW w:w="100" w:type="dxa"/>
            <w:vAlign w:val="bottom"/>
          </w:tcPr>
          <w:p>
            <w:pPr>
              <w:spacing w:after="0"/>
              <w:rPr>
                <w:sz w:val="17"/>
                <w:szCs w:val="17"/>
                <w:color w:val="auto"/>
              </w:rPr>
            </w:pPr>
          </w:p>
        </w:tc>
        <w:tc>
          <w:tcPr>
            <w:tcW w:w="76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64</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28.1%</w:t>
            </w:r>
          </w:p>
        </w:tc>
        <w:tc>
          <w:tcPr>
            <w:tcW w:w="80" w:type="dxa"/>
            <w:vAlign w:val="bottom"/>
          </w:tcPr>
          <w:p>
            <w:pPr>
              <w:spacing w:after="0"/>
              <w:rPr>
                <w:sz w:val="17"/>
                <w:szCs w:val="17"/>
                <w:color w:val="auto"/>
              </w:rPr>
            </w:pPr>
          </w:p>
        </w:tc>
        <w:tc>
          <w:tcPr>
            <w:tcW w:w="70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532</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0.4%</w:t>
            </w:r>
          </w:p>
        </w:tc>
        <w:tc>
          <w:tcPr>
            <w:tcW w:w="100" w:type="dxa"/>
            <w:vAlign w:val="bottom"/>
          </w:tcPr>
          <w:p>
            <w:pPr>
              <w:spacing w:after="0"/>
              <w:rPr>
                <w:sz w:val="17"/>
                <w:szCs w:val="17"/>
                <w:color w:val="auto"/>
              </w:rPr>
            </w:pPr>
          </w:p>
        </w:tc>
        <w:tc>
          <w:tcPr>
            <w:tcW w:w="7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480</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0.4%</w:t>
            </w:r>
          </w:p>
        </w:tc>
        <w:tc>
          <w:tcPr>
            <w:tcW w:w="100" w:type="dxa"/>
            <w:vAlign w:val="bottom"/>
          </w:tcPr>
          <w:p>
            <w:pPr>
              <w:spacing w:after="0"/>
              <w:rPr>
                <w:sz w:val="17"/>
                <w:szCs w:val="17"/>
                <w:color w:val="auto"/>
              </w:rPr>
            </w:pPr>
          </w:p>
        </w:tc>
        <w:tc>
          <w:tcPr>
            <w:tcW w:w="74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52</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10.8%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Bassett Custom</w:t>
            </w:r>
          </w:p>
        </w:tc>
        <w:tc>
          <w:tcPr>
            <w:tcW w:w="7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Wood</w:t>
            </w:r>
          </w:p>
        </w:tc>
        <w:tc>
          <w:tcPr>
            <w:tcW w:w="7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11,237</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14.9%</w:t>
            </w:r>
          </w:p>
        </w:tc>
        <w:tc>
          <w:tcPr>
            <w:tcW w:w="76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7,624</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12.2%</w:t>
            </w: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3,613</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47.4%</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20,644</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14.8%</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13,082</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10.6%</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7,562</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57.8%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360" w:type="dxa"/>
            <w:vAlign w:val="bottom"/>
          </w:tcPr>
          <w:p>
            <w:pPr>
              <w:spacing w:after="0"/>
              <w:rPr>
                <w:sz w:val="20"/>
                <w:szCs w:val="20"/>
                <w:color w:val="auto"/>
              </w:rPr>
            </w:pPr>
            <w:r>
              <w:rPr>
                <w:rFonts w:ascii="Times New Roman" w:cs="Times New Roman" w:eastAsia="Times New Roman" w:hAnsi="Times New Roman"/>
                <w:sz w:val="16"/>
                <w:szCs w:val="16"/>
                <w:color w:val="auto"/>
              </w:rPr>
              <w:t>Bassett Casegoods</w:t>
            </w:r>
          </w:p>
        </w:tc>
        <w:tc>
          <w:tcPr>
            <w:tcW w:w="7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9,188</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12.2%</w:t>
            </w:r>
          </w:p>
        </w:tc>
        <w:tc>
          <w:tcPr>
            <w:tcW w:w="7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10,704</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17.1%</w:t>
            </w:r>
          </w:p>
        </w:tc>
        <w:tc>
          <w:tcPr>
            <w:tcW w:w="100" w:type="dxa"/>
            <w:vAlign w:val="bottom"/>
          </w:tcPr>
          <w:p>
            <w:pPr>
              <w:spacing w:after="0"/>
              <w:rPr>
                <w:sz w:val="17"/>
                <w:szCs w:val="17"/>
                <w:color w:val="auto"/>
              </w:rPr>
            </w:pPr>
          </w:p>
        </w:tc>
        <w:tc>
          <w:tcPr>
            <w:tcW w:w="76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(1,516)</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-14.2%</w:t>
            </w:r>
          </w:p>
        </w:tc>
        <w:tc>
          <w:tcPr>
            <w:tcW w:w="80" w:type="dxa"/>
            <w:vAlign w:val="bottom"/>
          </w:tcPr>
          <w:p>
            <w:pPr>
              <w:spacing w:after="0"/>
              <w:rPr>
                <w:sz w:val="17"/>
                <w:szCs w:val="17"/>
                <w:color w:val="auto"/>
              </w:rPr>
            </w:pPr>
          </w:p>
        </w:tc>
        <w:tc>
          <w:tcPr>
            <w:tcW w:w="70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rPr>
              <w:t>17,480</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12.5%</w:t>
            </w:r>
          </w:p>
        </w:tc>
        <w:tc>
          <w:tcPr>
            <w:tcW w:w="100" w:type="dxa"/>
            <w:vAlign w:val="bottom"/>
          </w:tcPr>
          <w:p>
            <w:pPr>
              <w:spacing w:after="0"/>
              <w:rPr>
                <w:sz w:val="17"/>
                <w:szCs w:val="17"/>
                <w:color w:val="auto"/>
              </w:rPr>
            </w:pPr>
          </w:p>
        </w:tc>
        <w:tc>
          <w:tcPr>
            <w:tcW w:w="7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21,781</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17.7%</w:t>
            </w:r>
          </w:p>
        </w:tc>
        <w:tc>
          <w:tcPr>
            <w:tcW w:w="100" w:type="dxa"/>
            <w:vAlign w:val="bottom"/>
          </w:tcPr>
          <w:p>
            <w:pPr>
              <w:spacing w:after="0"/>
              <w:rPr>
                <w:sz w:val="17"/>
                <w:szCs w:val="17"/>
                <w:color w:val="auto"/>
              </w:rPr>
            </w:pPr>
          </w:p>
        </w:tc>
        <w:tc>
          <w:tcPr>
            <w:tcW w:w="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(4,301)</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-19.7%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Accessories,</w:t>
            </w:r>
          </w:p>
        </w:tc>
        <w:tc>
          <w:tcPr>
            <w:tcW w:w="7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mattresses and</w:t>
            </w:r>
          </w:p>
        </w:tc>
        <w:tc>
          <w:tcPr>
            <w:tcW w:w="760" w:type="dxa"/>
            <w:vAlign w:val="bottom"/>
            <w:vMerge w:val="restart"/>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9,527</w:t>
            </w:r>
          </w:p>
        </w:tc>
        <w:tc>
          <w:tcPr>
            <w:tcW w:w="80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12.6%</w:t>
            </w:r>
          </w:p>
        </w:tc>
        <w:tc>
          <w:tcPr>
            <w:tcW w:w="760" w:type="dxa"/>
            <w:vAlign w:val="bottom"/>
            <w:vMerge w:val="restart"/>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8,549</w:t>
            </w:r>
          </w:p>
        </w:tc>
        <w:tc>
          <w:tcPr>
            <w:tcW w:w="80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13.7%</w:t>
            </w:r>
          </w:p>
        </w:tc>
        <w:tc>
          <w:tcPr>
            <w:tcW w:w="100" w:type="dxa"/>
            <w:vAlign w:val="bottom"/>
            <w:shd w:val="clear" w:color="auto" w:fill="CCEEFF"/>
          </w:tcPr>
          <w:p>
            <w:pPr>
              <w:spacing w:after="0"/>
              <w:rPr>
                <w:sz w:val="17"/>
                <w:szCs w:val="17"/>
                <w:color w:val="auto"/>
              </w:rPr>
            </w:pPr>
          </w:p>
        </w:tc>
        <w:tc>
          <w:tcPr>
            <w:tcW w:w="760" w:type="dxa"/>
            <w:vAlign w:val="bottom"/>
            <w:vMerge w:val="restart"/>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978</w:t>
            </w:r>
          </w:p>
        </w:tc>
        <w:tc>
          <w:tcPr>
            <w:tcW w:w="9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11.4%</w:t>
            </w:r>
          </w:p>
        </w:tc>
        <w:tc>
          <w:tcPr>
            <w:tcW w:w="80" w:type="dxa"/>
            <w:vAlign w:val="bottom"/>
            <w:shd w:val="clear" w:color="auto" w:fill="CCEEFF"/>
          </w:tcPr>
          <w:p>
            <w:pPr>
              <w:spacing w:after="0"/>
              <w:rPr>
                <w:sz w:val="17"/>
                <w:szCs w:val="17"/>
                <w:color w:val="auto"/>
              </w:rPr>
            </w:pPr>
          </w:p>
        </w:tc>
        <w:tc>
          <w:tcPr>
            <w:tcW w:w="700" w:type="dxa"/>
            <w:vAlign w:val="bottom"/>
            <w:vMerge w:val="restart"/>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rPr>
              <w:t>17,877</w:t>
            </w:r>
          </w:p>
        </w:tc>
        <w:tc>
          <w:tcPr>
            <w:tcW w:w="86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12.8%</w:t>
            </w:r>
          </w:p>
        </w:tc>
        <w:tc>
          <w:tcPr>
            <w:tcW w:w="100" w:type="dxa"/>
            <w:vAlign w:val="bottom"/>
            <w:shd w:val="clear" w:color="auto" w:fill="CCEEFF"/>
          </w:tcPr>
          <w:p>
            <w:pPr>
              <w:spacing w:after="0"/>
              <w:rPr>
                <w:sz w:val="17"/>
                <w:szCs w:val="17"/>
                <w:color w:val="auto"/>
              </w:rPr>
            </w:pPr>
          </w:p>
        </w:tc>
        <w:tc>
          <w:tcPr>
            <w:tcW w:w="740" w:type="dxa"/>
            <w:vAlign w:val="bottom"/>
            <w:vMerge w:val="restart"/>
            <w:shd w:val="clear" w:color="auto" w:fill="CCEEFF"/>
          </w:tcPr>
          <w:p>
            <w:pPr>
              <w:jc w:val="right"/>
              <w:ind w:right="119"/>
              <w:spacing w:after="0"/>
              <w:rPr>
                <w:sz w:val="20"/>
                <w:szCs w:val="20"/>
                <w:color w:val="auto"/>
              </w:rPr>
            </w:pPr>
            <w:r>
              <w:rPr>
                <w:rFonts w:ascii="Times New Roman" w:cs="Times New Roman" w:eastAsia="Times New Roman" w:hAnsi="Times New Roman"/>
                <w:sz w:val="16"/>
                <w:szCs w:val="16"/>
                <w:color w:val="auto"/>
              </w:rPr>
              <w:t>17,696</w:t>
            </w:r>
          </w:p>
        </w:tc>
        <w:tc>
          <w:tcPr>
            <w:tcW w:w="80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14.4%</w:t>
            </w:r>
          </w:p>
        </w:tc>
        <w:tc>
          <w:tcPr>
            <w:tcW w:w="100" w:type="dxa"/>
            <w:vAlign w:val="bottom"/>
            <w:shd w:val="clear" w:color="auto" w:fill="CCEEFF"/>
          </w:tcPr>
          <w:p>
            <w:pPr>
              <w:spacing w:after="0"/>
              <w:rPr>
                <w:sz w:val="17"/>
                <w:szCs w:val="17"/>
                <w:color w:val="auto"/>
              </w:rPr>
            </w:pPr>
          </w:p>
        </w:tc>
        <w:tc>
          <w:tcPr>
            <w:tcW w:w="740" w:type="dxa"/>
            <w:vAlign w:val="bottom"/>
            <w:vMerge w:val="restart"/>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181</w:t>
            </w:r>
          </w:p>
        </w:tc>
        <w:tc>
          <w:tcPr>
            <w:tcW w:w="84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other (1)</w:t>
            </w:r>
          </w:p>
        </w:tc>
        <w:tc>
          <w:tcPr>
            <w:tcW w:w="760" w:type="dxa"/>
            <w:vAlign w:val="bottom"/>
            <w:vMerge w:val="continue"/>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940" w:type="dxa"/>
            <w:vAlign w:val="bottom"/>
            <w:gridSpan w:val="2"/>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86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840" w:type="dxa"/>
            <w:vAlign w:val="bottom"/>
            <w:gridSpan w:val="2"/>
            <w:vMerge w:val="continue"/>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shd w:val="clear" w:color="auto" w:fill="CCEEFF"/>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60" w:type="dxa"/>
            <w:vAlign w:val="bottom"/>
          </w:tcPr>
          <w:p>
            <w:pPr>
              <w:spacing w:after="0"/>
              <w:rPr>
                <w:sz w:val="20"/>
                <w:szCs w:val="20"/>
                <w:color w:val="auto"/>
              </w:rPr>
            </w:pPr>
            <w:r>
              <w:rPr>
                <w:rFonts w:ascii="Times New Roman" w:cs="Times New Roman" w:eastAsia="Times New Roman" w:hAnsi="Times New Roman"/>
                <w:sz w:val="16"/>
                <w:szCs w:val="16"/>
                <w:color w:val="auto"/>
              </w:rPr>
              <w:t>Total</w:t>
            </w:r>
          </w:p>
        </w:tc>
        <w:tc>
          <w:tcPr>
            <w:tcW w:w="7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96"/>
              </w:rPr>
              <w:t>$ 75,620</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76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96"/>
              </w:rPr>
              <w:t>$ 62,483</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13,137</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21.0%</w:t>
            </w:r>
          </w:p>
        </w:tc>
        <w:tc>
          <w:tcPr>
            <w:tcW w:w="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99"/>
              </w:rPr>
              <w:t>139,727</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w w:val="99"/>
              </w:rPr>
              <w:t>122,878</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16,849</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13.7%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980" w:right="560" w:hanging="324"/>
        <w:spacing w:after="0" w:line="282" w:lineRule="auto"/>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sale of goods other than Bassett-branded products, such as accessories and bedding, and also includes the sale of furniture protection plans.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30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0" w:name="page31"/>
    <w:bookmarkEnd w:id="3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Results - Retail</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Net sales for the three months ended May 28, 2022 increased $13,137 from the prior year period. Written sales (the value of sales orders taken but not delivered) declined 13% from the second quarter of 2021. Gross margins for the three months ended May 28, 2022 increased by 160 basis points, primarily driven by improved pricing strategies, lower levels of promotional activity and increased margins on clearance activity. Selling, general and administrative expenses for the three months ended May 28, 2022 as a percentage of sales decreased as compared to the second quarter of 2021 primarily due to greater leverage on fixed costs from higher sales volumes coupled with lower overall advertising spend.</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Year-to-Date Analysis of Results - Retail</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Net sales for the six months ended May 28, 2022 increased $16,849 from the prior year period. Written sales (the value of sales orders taken but not delivered) declined 7.9% from the first half of 2021. Gross margins for the six months ended May 28, 2022 increased by 170 basis points, primarily driven by improved pricing strategies, lower levels of promotional activity and increased margins on clearance activity. Selling, general and administrative expenses for the six months ended May 28, 2022 as a percentage of sales decreased as compared to the first half of 2021 primarily due to greater leverage on fixed costs from higher sales volumes coupled with lower overall advertising spend.</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Retail Backlog</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previously discussed, since the beginning of the COVID pandemic in early 2020, Bassett and most of the home furnishings industry have been faced with continuing logistical challenges from COVID-related labor shortages and supply chain disruptions creating significant delays in order fulfillment and increasing backlogs. During the second quarter of fiscal 2022, we began to make progress in decreasing our retail backlog and expect it to continue decreasing as our ability to manufacture and ship product from our wholesale segment has improved coupled with slower written sales at retail. At May 28, 2022, retail backlog totaled $71,073 as compared to $84,685 at February 26, 2022, $82,894 at November 27, 2021, and $73,489 at May 29, 2021. At February 29, 2020, the end of our last fiscal quarter prior to the impact of the COVID pandemic upon our operations and the overall economy, our retail backlog was $29,775.</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 xml:space="preserve">Discontinued Operations </w:t>
      </w: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b w:val="1"/>
          <w:bCs w:val="1"/>
          <w:u w:val="single" w:color="auto"/>
          <w:color w:val="auto"/>
        </w:rPr>
        <w:t xml:space="preserve"> Logistical Services</w:t>
      </w:r>
    </w:p>
    <w:p>
      <w:pPr>
        <w:spacing w:after="0" w:line="229"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Results for the operations of Zenith, which was sold to J.B. Hunt subsequent to the end of the first quarter, for the periods ended May 28, 2022 and May 29, 2021 are as follows: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6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540" w:type="dxa"/>
            <w:vAlign w:val="bottom"/>
            <w:gridSpan w:val="4"/>
          </w:tcPr>
          <w:p>
            <w:pPr>
              <w:jc w:val="right"/>
              <w:ind w:right="210"/>
              <w:spacing w:after="0"/>
              <w:rPr>
                <w:sz w:val="20"/>
                <w:szCs w:val="20"/>
                <w:color w:val="auto"/>
              </w:rPr>
            </w:pPr>
            <w:r>
              <w:rPr>
                <w:rFonts w:ascii="Times New Roman" w:cs="Times New Roman" w:eastAsia="Times New Roman" w:hAnsi="Times New Roman"/>
                <w:sz w:val="18"/>
                <w:szCs w:val="18"/>
                <w:color w:val="auto"/>
              </w:rPr>
              <w:t>Quarter Ended</w:t>
            </w: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40" w:type="dxa"/>
            <w:vAlign w:val="bottom"/>
            <w:gridSpan w:val="3"/>
          </w:tcPr>
          <w:p>
            <w:pPr>
              <w:jc w:val="right"/>
              <w:ind w:right="740"/>
              <w:spacing w:after="0"/>
              <w:rPr>
                <w:sz w:val="20"/>
                <w:szCs w:val="20"/>
                <w:color w:val="auto"/>
              </w:rPr>
            </w:pPr>
            <w:r>
              <w:rPr>
                <w:rFonts w:ascii="Times New Roman" w:cs="Times New Roman" w:eastAsia="Times New Roman" w:hAnsi="Times New Roman"/>
                <w:sz w:val="18"/>
                <w:szCs w:val="18"/>
                <w:color w:val="auto"/>
              </w:rPr>
              <w:t>Change</w:t>
            </w: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50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Six Months Ended</w:t>
            </w:r>
          </w:p>
        </w:tc>
        <w:tc>
          <w:tcPr>
            <w:tcW w:w="7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jc w:val="right"/>
              <w:ind w:right="560"/>
              <w:spacing w:after="0"/>
              <w:rPr>
                <w:sz w:val="20"/>
                <w:szCs w:val="20"/>
                <w:color w:val="auto"/>
              </w:rPr>
            </w:pPr>
            <w:r>
              <w:rPr>
                <w:rFonts w:ascii="Times New Roman" w:cs="Times New Roman" w:eastAsia="Times New Roman" w:hAnsi="Times New Roman"/>
                <w:sz w:val="18"/>
                <w:szCs w:val="18"/>
                <w:color w:val="auto"/>
              </w:rPr>
              <w:t>Change</w:t>
            </w:r>
          </w:p>
        </w:tc>
        <w:tc>
          <w:tcPr>
            <w:tcW w:w="0" w:type="dxa"/>
            <w:vAlign w:val="bottom"/>
          </w:tcPr>
          <w:p>
            <w:pPr>
              <w:spacing w:after="0"/>
              <w:rPr>
                <w:sz w:val="1"/>
                <w:szCs w:val="1"/>
                <w:color w:val="auto"/>
              </w:rPr>
            </w:pPr>
          </w:p>
        </w:tc>
      </w:tr>
      <w:tr>
        <w:trPr>
          <w:trHeight w:val="223"/>
        </w:trPr>
        <w:tc>
          <w:tcPr>
            <w:tcW w:w="1660" w:type="dxa"/>
            <w:vAlign w:val="bottom"/>
          </w:tcPr>
          <w:p>
            <w:pPr>
              <w:spacing w:after="0"/>
              <w:rPr>
                <w:sz w:val="19"/>
                <w:szCs w:val="19"/>
                <w:color w:val="auto"/>
              </w:rPr>
            </w:pPr>
          </w:p>
        </w:tc>
        <w:tc>
          <w:tcPr>
            <w:tcW w:w="1380" w:type="dxa"/>
            <w:vAlign w:val="bottom"/>
            <w:tcBorders>
              <w:top w:val="single" w:sz="8" w:color="auto"/>
            </w:tcBorders>
            <w:gridSpan w:val="4"/>
          </w:tcPr>
          <w:p>
            <w:pPr>
              <w:jc w:val="right"/>
              <w:ind w:right="320"/>
              <w:spacing w:after="0"/>
              <w:rPr>
                <w:sz w:val="20"/>
                <w:szCs w:val="20"/>
                <w:color w:val="auto"/>
              </w:rPr>
            </w:pPr>
            <w:r>
              <w:rPr>
                <w:rFonts w:ascii="Times New Roman" w:cs="Times New Roman" w:eastAsia="Times New Roman" w:hAnsi="Times New Roman"/>
                <w:sz w:val="18"/>
                <w:szCs w:val="18"/>
                <w:color w:val="auto"/>
              </w:rPr>
              <w:t>May 28, 2022</w:t>
            </w:r>
          </w:p>
        </w:tc>
        <w:tc>
          <w:tcPr>
            <w:tcW w:w="1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May 29, 2021</w:t>
            </w:r>
          </w:p>
        </w:tc>
        <w:tc>
          <w:tcPr>
            <w:tcW w:w="280" w:type="dxa"/>
            <w:vAlign w:val="bottom"/>
          </w:tcPr>
          <w:p>
            <w:pPr>
              <w:spacing w:after="0"/>
              <w:rPr>
                <w:sz w:val="19"/>
                <w:szCs w:val="19"/>
                <w:color w:val="auto"/>
              </w:rPr>
            </w:pPr>
          </w:p>
        </w:tc>
        <w:tc>
          <w:tcPr>
            <w:tcW w:w="820" w:type="dxa"/>
            <w:vAlign w:val="bottom"/>
            <w:tcBorders>
              <w:top w:val="single" w:sz="8" w:color="auto"/>
            </w:tcBorders>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Dollars</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Percent</w:t>
            </w:r>
          </w:p>
        </w:tc>
        <w:tc>
          <w:tcPr>
            <w:tcW w:w="2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540" w:type="dxa"/>
            <w:vAlign w:val="bottom"/>
            <w:tcBorders>
              <w:top w:val="single" w:sz="8" w:color="auto"/>
            </w:tcBorders>
            <w:gridSpan w:val="3"/>
          </w:tcPr>
          <w:p>
            <w:pPr>
              <w:jc w:val="right"/>
              <w:ind w:right="460"/>
              <w:spacing w:after="0"/>
              <w:rPr>
                <w:sz w:val="20"/>
                <w:szCs w:val="20"/>
                <w:color w:val="auto"/>
              </w:rPr>
            </w:pPr>
            <w:r>
              <w:rPr>
                <w:rFonts w:ascii="Times New Roman" w:cs="Times New Roman" w:eastAsia="Times New Roman" w:hAnsi="Times New Roman"/>
                <w:sz w:val="18"/>
                <w:szCs w:val="18"/>
                <w:color w:val="auto"/>
              </w:rPr>
              <w:t>May 28, 2022</w:t>
            </w:r>
          </w:p>
        </w:tc>
        <w:tc>
          <w:tcPr>
            <w:tcW w:w="1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gridSpan w:val="2"/>
          </w:tcPr>
          <w:p>
            <w:pPr>
              <w:jc w:val="right"/>
              <w:ind w:right="93"/>
              <w:spacing w:after="0"/>
              <w:rPr>
                <w:sz w:val="20"/>
                <w:szCs w:val="20"/>
                <w:color w:val="auto"/>
              </w:rPr>
            </w:pPr>
            <w:r>
              <w:rPr>
                <w:rFonts w:ascii="Times New Roman" w:cs="Times New Roman" w:eastAsia="Times New Roman" w:hAnsi="Times New Roman"/>
                <w:sz w:val="18"/>
                <w:szCs w:val="18"/>
                <w:color w:val="auto"/>
              </w:rPr>
              <w:t>May 29, 2021</w:t>
            </w:r>
          </w:p>
        </w:tc>
        <w:tc>
          <w:tcPr>
            <w:tcW w:w="260" w:type="dxa"/>
            <w:vAlign w:val="bottom"/>
          </w:tcPr>
          <w:p>
            <w:pPr>
              <w:spacing w:after="0"/>
              <w:rPr>
                <w:sz w:val="19"/>
                <w:szCs w:val="19"/>
                <w:color w:val="auto"/>
              </w:rPr>
            </w:pPr>
          </w:p>
        </w:tc>
        <w:tc>
          <w:tcPr>
            <w:tcW w:w="720" w:type="dxa"/>
            <w:vAlign w:val="bottom"/>
            <w:tcBorders>
              <w:top w:val="single" w:sz="8" w:color="auto"/>
            </w:tcBorders>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Dollars</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16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166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Logistical services</w:t>
            </w:r>
          </w:p>
        </w:tc>
        <w:tc>
          <w:tcPr>
            <w:tcW w:w="2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240" w:type="dxa"/>
            <w:vAlign w:val="bottom"/>
            <w:shd w:val="clear" w:color="auto" w:fill="CCEEFF"/>
          </w:tcPr>
          <w:p>
            <w:pPr>
              <w:jc w:val="right"/>
              <w:ind w:right="74"/>
              <w:spacing w:after="0"/>
              <w:rPr>
                <w:sz w:val="20"/>
                <w:szCs w:val="20"/>
                <w:color w:val="auto"/>
              </w:rPr>
            </w:pPr>
            <w:r>
              <w:rPr>
                <w:rFonts w:ascii="Times New Roman" w:cs="Times New Roman" w:eastAsia="Times New Roman" w:hAnsi="Times New Roman"/>
                <w:sz w:val="17"/>
                <w:szCs w:val="17"/>
                <w:color w:val="auto"/>
                <w:w w:val="70"/>
              </w:rPr>
              <w:t>$</w:t>
            </w:r>
          </w:p>
        </w:tc>
        <w:tc>
          <w:tcPr>
            <w:tcW w:w="42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14,062</w:t>
            </w:r>
          </w:p>
        </w:tc>
        <w:tc>
          <w:tcPr>
            <w:tcW w:w="8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97"/>
              </w:rPr>
              <w:t>(14,062)</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96"/>
              </w:rPr>
              <w:t>16,776</w:t>
            </w:r>
          </w:p>
        </w:tc>
        <w:tc>
          <w:tcPr>
            <w:tcW w:w="9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26,080</w:t>
            </w: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(9,304)</w:t>
            </w:r>
          </w:p>
        </w:tc>
        <w:tc>
          <w:tcPr>
            <w:tcW w:w="8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-35.7%</w:t>
            </w:r>
          </w:p>
        </w:tc>
        <w:tc>
          <w:tcPr>
            <w:tcW w:w="0" w:type="dxa"/>
            <w:vAlign w:val="bottom"/>
          </w:tcPr>
          <w:p>
            <w:pPr>
              <w:spacing w:after="0"/>
              <w:rPr>
                <w:sz w:val="1"/>
                <w:szCs w:val="1"/>
                <w:color w:val="auto"/>
              </w:rPr>
            </w:pPr>
          </w:p>
        </w:tc>
      </w:tr>
      <w:tr>
        <w:trPr>
          <w:trHeight w:val="198"/>
        </w:trPr>
        <w:tc>
          <w:tcPr>
            <w:tcW w:w="166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Cost of logistical</w:t>
            </w:r>
          </w:p>
        </w:tc>
        <w:tc>
          <w:tcPr>
            <w:tcW w:w="2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660" w:type="dxa"/>
            <w:vAlign w:val="bottom"/>
          </w:tcPr>
          <w:p>
            <w:pPr>
              <w:spacing w:after="0"/>
              <w:rPr>
                <w:sz w:val="20"/>
                <w:szCs w:val="20"/>
                <w:color w:val="auto"/>
              </w:rPr>
            </w:pPr>
            <w:r>
              <w:rPr>
                <w:rFonts w:ascii="Times New Roman" w:cs="Times New Roman" w:eastAsia="Times New Roman" w:hAnsi="Times New Roman"/>
                <w:sz w:val="18"/>
                <w:szCs w:val="18"/>
                <w:color w:val="auto"/>
              </w:rPr>
              <w:t>services</w:t>
            </w:r>
          </w:p>
        </w:tc>
        <w:tc>
          <w:tcPr>
            <w:tcW w:w="240" w:type="dxa"/>
            <w:vAlign w:val="bottom"/>
          </w:tcPr>
          <w:p>
            <w:pPr>
              <w:spacing w:after="0"/>
              <w:rPr>
                <w:sz w:val="20"/>
                <w:szCs w:val="20"/>
                <w:color w:val="auto"/>
              </w:rPr>
            </w:pPr>
          </w:p>
        </w:tc>
        <w:tc>
          <w:tcPr>
            <w:tcW w:w="4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0.0%</w:t>
            </w:r>
          </w:p>
        </w:tc>
        <w:tc>
          <w:tcPr>
            <w:tcW w:w="100" w:type="dxa"/>
            <w:vAlign w:val="bottom"/>
          </w:tcPr>
          <w:p>
            <w:pPr>
              <w:spacing w:after="0"/>
              <w:rPr>
                <w:sz w:val="20"/>
                <w:szCs w:val="20"/>
                <w:color w:val="auto"/>
              </w:rPr>
            </w:pPr>
          </w:p>
        </w:tc>
        <w:tc>
          <w:tcPr>
            <w:tcW w:w="7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12,768</w:t>
            </w: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90.8%</w:t>
            </w:r>
          </w:p>
        </w:tc>
        <w:tc>
          <w:tcPr>
            <w:tcW w:w="100" w:type="dxa"/>
            <w:vAlign w:val="bottom"/>
          </w:tcPr>
          <w:p>
            <w:pPr>
              <w:spacing w:after="0"/>
              <w:rPr>
                <w:sz w:val="20"/>
                <w:szCs w:val="20"/>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97"/>
              </w:rPr>
              <w:t>(12,768)</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Pr>
          <w:p>
            <w:pPr>
              <w:spacing w:after="0"/>
              <w:rPr>
                <w:sz w:val="20"/>
                <w:szCs w:val="20"/>
                <w:color w:val="auto"/>
              </w:rPr>
            </w:pPr>
          </w:p>
        </w:tc>
        <w:tc>
          <w:tcPr>
            <w:tcW w:w="6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6"/>
              </w:rPr>
              <w:t>15,001</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89.4%</w:t>
            </w:r>
          </w:p>
        </w:tc>
        <w:tc>
          <w:tcPr>
            <w:tcW w:w="10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24,327</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93.3%</w:t>
            </w:r>
          </w:p>
        </w:tc>
        <w:tc>
          <w:tcPr>
            <w:tcW w:w="12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(9,326)</w:t>
            </w:r>
          </w:p>
        </w:tc>
        <w:tc>
          <w:tcPr>
            <w:tcW w:w="8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-38.3%</w:t>
            </w:r>
          </w:p>
        </w:tc>
        <w:tc>
          <w:tcPr>
            <w:tcW w:w="0" w:type="dxa"/>
            <w:vAlign w:val="bottom"/>
          </w:tcPr>
          <w:p>
            <w:pPr>
              <w:spacing w:after="0"/>
              <w:rPr>
                <w:sz w:val="1"/>
                <w:szCs w:val="1"/>
                <w:color w:val="auto"/>
              </w:rPr>
            </w:pPr>
          </w:p>
        </w:tc>
      </w:tr>
      <w:tr>
        <w:trPr>
          <w:trHeight w:val="235"/>
        </w:trPr>
        <w:tc>
          <w:tcPr>
            <w:tcW w:w="16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loss, net</w:t>
            </w:r>
          </w:p>
        </w:tc>
        <w:tc>
          <w:tcPr>
            <w:tcW w:w="24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CCEEFF"/>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0.0%</w:t>
            </w:r>
          </w:p>
        </w:tc>
        <w:tc>
          <w:tcPr>
            <w:tcW w:w="100" w:type="dxa"/>
            <w:vAlign w:val="bottom"/>
            <w:tcBorders>
              <w:bottom w:val="single" w:sz="8" w:color="CCEEFF"/>
            </w:tcBorders>
            <w:shd w:val="clear" w:color="auto" w:fill="CCEEFF"/>
          </w:tcPr>
          <w:p>
            <w:pPr>
              <w:spacing w:after="0"/>
              <w:rPr>
                <w:sz w:val="19"/>
                <w:szCs w:val="19"/>
                <w:color w:val="auto"/>
              </w:rPr>
            </w:pPr>
          </w:p>
        </w:tc>
        <w:tc>
          <w:tcPr>
            <w:tcW w:w="72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(72)</w:t>
            </w:r>
          </w:p>
        </w:tc>
        <w:tc>
          <w:tcPr>
            <w:tcW w:w="840" w:type="dxa"/>
            <w:vAlign w:val="bottom"/>
            <w:tcBorders>
              <w:bottom w:val="single" w:sz="8" w:color="CCEEFF"/>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100" w:type="dxa"/>
            <w:vAlign w:val="bottom"/>
            <w:tcBorders>
              <w:bottom w:val="single" w:sz="8" w:color="CCEEFF"/>
            </w:tcBorders>
            <w:shd w:val="clear" w:color="auto" w:fill="CCEEFF"/>
          </w:tcPr>
          <w:p>
            <w:pPr>
              <w:spacing w:after="0"/>
              <w:rPr>
                <w:sz w:val="19"/>
                <w:szCs w:val="19"/>
                <w:color w:val="auto"/>
              </w:rPr>
            </w:pPr>
          </w:p>
        </w:tc>
        <w:tc>
          <w:tcPr>
            <w:tcW w:w="72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72</w:t>
            </w:r>
          </w:p>
        </w:tc>
        <w:tc>
          <w:tcPr>
            <w:tcW w:w="92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64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780" w:type="dxa"/>
            <w:vAlign w:val="bottom"/>
            <w:tcBorders>
              <w:bottom w:val="single" w:sz="8" w:color="CCEEFF"/>
            </w:tcBorders>
            <w:shd w:val="clear" w:color="auto" w:fill="CCEEFF"/>
          </w:tcPr>
          <w:p>
            <w:pPr>
              <w:jc w:val="right"/>
              <w:ind w:right="633"/>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60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166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166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Income from</w:t>
            </w:r>
          </w:p>
        </w:tc>
        <w:tc>
          <w:tcPr>
            <w:tcW w:w="2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discontinued</w:t>
            </w:r>
          </w:p>
        </w:tc>
        <w:tc>
          <w:tcPr>
            <w:tcW w:w="240" w:type="dxa"/>
            <w:vAlign w:val="bottom"/>
            <w:vMerge w:val="restart"/>
            <w:shd w:val="clear" w:color="auto" w:fill="CCEEFF"/>
          </w:tcPr>
          <w:p>
            <w:pPr>
              <w:jc w:val="right"/>
              <w:ind w:right="74"/>
              <w:spacing w:after="0"/>
              <w:rPr>
                <w:sz w:val="20"/>
                <w:szCs w:val="20"/>
                <w:color w:val="auto"/>
              </w:rPr>
            </w:pPr>
            <w:r>
              <w:rPr>
                <w:rFonts w:ascii="Times New Roman" w:cs="Times New Roman" w:eastAsia="Times New Roman" w:hAnsi="Times New Roman"/>
                <w:sz w:val="17"/>
                <w:szCs w:val="17"/>
                <w:color w:val="auto"/>
                <w:w w:val="70"/>
              </w:rPr>
              <w:t>$</w:t>
            </w:r>
          </w:p>
        </w:tc>
        <w:tc>
          <w:tcPr>
            <w:tcW w:w="420" w:type="dxa"/>
            <w:vAlign w:val="bottom"/>
            <w:vMerge w:val="restart"/>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right w:val="single" w:sz="8" w:color="CCEEFF"/>
            </w:tcBorders>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0.0%</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vMerge w:val="restart"/>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1,222</w:t>
            </w:r>
          </w:p>
        </w:tc>
        <w:tc>
          <w:tcPr>
            <w:tcW w:w="840" w:type="dxa"/>
            <w:vAlign w:val="bottom"/>
            <w:tcBorders>
              <w:right w:val="single" w:sz="8" w:color="CCEEFF"/>
            </w:tcBorders>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8.7%</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vMerge w:val="restart"/>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(1,222)</w:t>
            </w:r>
          </w:p>
        </w:tc>
        <w:tc>
          <w:tcPr>
            <w:tcW w:w="9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vMerge w:val="restart"/>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1,712</w:t>
            </w:r>
          </w:p>
        </w:tc>
        <w:tc>
          <w:tcPr>
            <w:tcW w:w="9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10.2%</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1,644</w:t>
            </w:r>
          </w:p>
        </w:tc>
        <w:tc>
          <w:tcPr>
            <w:tcW w:w="10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6.3%</w:t>
            </w: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vMerge w:val="restart"/>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68</w:t>
            </w:r>
          </w:p>
        </w:tc>
        <w:tc>
          <w:tcPr>
            <w:tcW w:w="80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4.1%</w:t>
            </w:r>
          </w:p>
        </w:tc>
        <w:tc>
          <w:tcPr>
            <w:tcW w:w="0" w:type="dxa"/>
            <w:vAlign w:val="bottom"/>
          </w:tcPr>
          <w:p>
            <w:pPr>
              <w:spacing w:after="0"/>
              <w:rPr>
                <w:sz w:val="1"/>
                <w:szCs w:val="1"/>
                <w:color w:val="auto"/>
              </w:rPr>
            </w:pPr>
          </w:p>
        </w:tc>
      </w:tr>
      <w:tr>
        <w:trPr>
          <w:trHeight w:val="214"/>
        </w:trPr>
        <w:tc>
          <w:tcPr>
            <w:tcW w:w="1660" w:type="dxa"/>
            <w:vAlign w:val="bottom"/>
            <w:shd w:val="clear" w:color="auto" w:fill="CCEEFF"/>
          </w:tcPr>
          <w:p>
            <w:pPr>
              <w:spacing w:after="0" w:line="194" w:lineRule="exact"/>
              <w:rPr>
                <w:sz w:val="20"/>
                <w:szCs w:val="20"/>
                <w:color w:val="auto"/>
              </w:rPr>
            </w:pPr>
            <w:r>
              <w:rPr>
                <w:rFonts w:ascii="Times New Roman" w:cs="Times New Roman" w:eastAsia="Times New Roman" w:hAnsi="Times New Roman"/>
                <w:sz w:val="18"/>
                <w:szCs w:val="18"/>
                <w:color w:val="auto"/>
              </w:rPr>
              <w:t>operations before tax</w:t>
            </w:r>
          </w:p>
        </w:tc>
        <w:tc>
          <w:tcPr>
            <w:tcW w:w="240" w:type="dxa"/>
            <w:vAlign w:val="bottom"/>
            <w:vMerge w:val="continue"/>
            <w:shd w:val="clear" w:color="auto" w:fill="CCEEFF"/>
          </w:tcPr>
          <w:p>
            <w:pPr>
              <w:spacing w:after="0"/>
              <w:rPr>
                <w:sz w:val="18"/>
                <w:szCs w:val="18"/>
                <w:color w:val="auto"/>
              </w:rPr>
            </w:pPr>
          </w:p>
        </w:tc>
        <w:tc>
          <w:tcPr>
            <w:tcW w:w="420" w:type="dxa"/>
            <w:vAlign w:val="bottom"/>
            <w:vMerge w:val="continue"/>
            <w:shd w:val="clear" w:color="auto" w:fill="CCEEFF"/>
          </w:tcPr>
          <w:p>
            <w:pPr>
              <w:spacing w:after="0"/>
              <w:rPr>
                <w:sz w:val="18"/>
                <w:szCs w:val="18"/>
                <w:color w:val="auto"/>
              </w:rPr>
            </w:pPr>
          </w:p>
        </w:tc>
        <w:tc>
          <w:tcPr>
            <w:tcW w:w="720" w:type="dxa"/>
            <w:vAlign w:val="bottom"/>
            <w:tcBorders>
              <w:right w:val="single" w:sz="8" w:color="CCEEFF"/>
            </w:tcBorders>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720" w:type="dxa"/>
            <w:vAlign w:val="bottom"/>
            <w:vMerge w:val="continue"/>
            <w:shd w:val="clear" w:color="auto" w:fill="CCEEFF"/>
          </w:tcPr>
          <w:p>
            <w:pPr>
              <w:spacing w:after="0"/>
              <w:rPr>
                <w:sz w:val="18"/>
                <w:szCs w:val="18"/>
                <w:color w:val="auto"/>
              </w:rPr>
            </w:pPr>
          </w:p>
        </w:tc>
        <w:tc>
          <w:tcPr>
            <w:tcW w:w="840" w:type="dxa"/>
            <w:vAlign w:val="bottom"/>
            <w:tcBorders>
              <w:right w:val="single" w:sz="8" w:color="CCEEFF"/>
            </w:tcBorders>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720" w:type="dxa"/>
            <w:vAlign w:val="bottom"/>
            <w:vMerge w:val="continue"/>
            <w:shd w:val="clear" w:color="auto" w:fill="CCEEFF"/>
          </w:tcPr>
          <w:p>
            <w:pPr>
              <w:spacing w:after="0"/>
              <w:rPr>
                <w:sz w:val="18"/>
                <w:szCs w:val="18"/>
                <w:color w:val="auto"/>
              </w:rPr>
            </w:pPr>
          </w:p>
        </w:tc>
        <w:tc>
          <w:tcPr>
            <w:tcW w:w="920" w:type="dxa"/>
            <w:vAlign w:val="bottom"/>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640" w:type="dxa"/>
            <w:vAlign w:val="bottom"/>
            <w:vMerge w:val="continue"/>
            <w:shd w:val="clear" w:color="auto" w:fill="CCEEFF"/>
          </w:tcPr>
          <w:p>
            <w:pPr>
              <w:spacing w:after="0"/>
              <w:rPr>
                <w:sz w:val="18"/>
                <w:szCs w:val="18"/>
                <w:color w:val="auto"/>
              </w:rPr>
            </w:pPr>
          </w:p>
        </w:tc>
        <w:tc>
          <w:tcPr>
            <w:tcW w:w="900" w:type="dxa"/>
            <w:vAlign w:val="bottom"/>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500" w:type="dxa"/>
            <w:vAlign w:val="bottom"/>
            <w:vMerge w:val="continue"/>
            <w:shd w:val="clear" w:color="auto" w:fill="CCEEFF"/>
          </w:tcPr>
          <w:p>
            <w:pPr>
              <w:spacing w:after="0"/>
              <w:rPr>
                <w:sz w:val="18"/>
                <w:szCs w:val="18"/>
                <w:color w:val="auto"/>
              </w:rPr>
            </w:pPr>
          </w:p>
        </w:tc>
        <w:tc>
          <w:tcPr>
            <w:tcW w:w="1040" w:type="dxa"/>
            <w:vAlign w:val="bottom"/>
            <w:gridSpan w:val="2"/>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600" w:type="dxa"/>
            <w:vAlign w:val="bottom"/>
            <w:vMerge w:val="continue"/>
            <w:shd w:val="clear" w:color="auto" w:fill="CCEEFF"/>
          </w:tcPr>
          <w:p>
            <w:pPr>
              <w:spacing w:after="0"/>
              <w:rPr>
                <w:sz w:val="18"/>
                <w:szCs w:val="18"/>
                <w:color w:val="auto"/>
              </w:rPr>
            </w:pPr>
          </w:p>
        </w:tc>
        <w:tc>
          <w:tcPr>
            <w:tcW w:w="80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6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amounts shown above represent the results of Zenith’s business transactions with third parties. Because the sale of Zenith was closed on the first business day of the second fiscal quarter of 2022, operating results for that period are insignificant.</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Zenith also charged Bassett $9,121 for logistical services provided to our wholesale segment during the six months ended May 28, 2022, and $8,182 and $16,245 for the three and six months ended May 29, 2021. These shipping and handling costs are included in selling, general and administrative expenses in the accompanying condensed consolidated statements of income. We have entered into a service agreement with J.B. Hunt for the continuation of these services for a period of seven years following the sale of Zenith. Subsequent to the sale, we incurred $9,543 of expense during the three months ended May 28, 2022 for the performance of logistical services by J.B. Hunt.</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31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1" w:name="page32"/>
    <w:bookmarkEnd w:id="3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Other Items Affecting Net Income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Loss, Net</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loss, net, for the three and six months ended May 28, 2022 was $627 and $1,256, respectively, compared to $259 and $560 for the three and six months ended May 29, 2021, a net increase of $368 over the prior year quarter and $696 over the prior year to date. The net change was primarily due to higher net costs of Company-owned life insurance.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Income Taxes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effective tax rate was 26.0% for both the three and six months ended May 28, 2022, and 25.8% and 27.3% for the three and six months ended May 29, 2021, respectively. These effective rates differ from the federal statutory rate of 21% primarily due to the effects of state income taxes and various permanent differences, including tax of $550 for the three and six months ended May 28, 2022 associated with non-deductible goodwill written off in connection with our sale of Zenith, and tax benefits (deficiencies) of $18 and ($117) during the three and six months ended May 29, 2021 arising from stock-based compensation.</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Cash Flows</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Cash used in operations for the first half of fiscal 2022 was $8,946 compared to cash provided by operations of $12,050 for the first half of fiscal 2021, representing a decrease of $20,996 in cash flows from operations. Cash provided by the operating activities of our discontinued operations was $1,681 for the first half of fiscal 2022 compared to $3,646 for the prior year period, a decline of $1,965 as Zenith only operated during the first quarter of fiscal 2022. Excluding the decline in operating cash flow from discontinued operations, cash flows from continuing operations declined $19,031 from the prior year period. Cash flows from operating activities during the first half of fiscal 2022 included the payment of $14,663 in estimated taxes compared with only $626 for the prior year period, the increase primarily related to the taxable gain on the sale of Zenith. In addition, cash flows from the collection of retail customer deposits declined $13,250 compared to the first half of 2021 as the pace of written orders has slowed compared to the prior year and we have begun to reduce our retail order backlog. Changes in working capital for the first half of fiscal 2022 include increases in our investment in inventory as compared to the prior year period as well as increases in accounts receivable arising from strong sales in our wholesale segment.</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Our overall cash position increased by $37,236 during the first half of fiscal 2022, compared to a decline of $23 during the first half of fiscal 2021, an increase of $37,259 from the prior year period. Excluding the decline in overall cash flow from discontinued operations of $812, overall cash flow from continuing operations increased $38,048 from the prior year period. Offsetting the decline in cash flows from operations, net cash flows from investing activities during the first half of fiscal 2022 increased $78,076 to $72,354 of cash provided by investing activities compared to net cash used in investing activities of $3,722 for the prior year period. This increase was primarily due to net proceeds of $85,521 received from the sale of Zenith, partially offset by a $9,155 increase in capital expenditures over the prior year, including our purchase of our new retail store site in Tampa, Florida. Net cash used in financing activities during the first half of 2022 increased $17,821 to a net use of $26,172 as compared to a net use of $8,351 for the prior year period, primarily due to a special dividend of $14,494 declared and paid during the second quarter of 2022 and a $5,717 increase in share repurchases to $8,642 during the first half of fiscal 2022 as compared to $2,925 repurchased during the first half of fiscal 2021. On March 9, 2022, our Board of Directors increased the amount authorized under our existing share repurchase plan to $40,000, of which $32,448 remains available for future purchases as of May 28, 2022. With cash and cash equivalents and short-term investments totaling $89,325 on hand at May 28, 2022, expected future operating cash flows and the availability under our credit line noted below, we believe we have sufficient liquidity to fund operations for the foreseeable future.</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32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2" w:name="page33"/>
    <w:bookmarkEnd w:id="3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Debt and Other Obligations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bank credit facility provides for a line of credit of up to $25,000. At May 28, 2022, we had $3,931 outstanding under standby letters of credit against our line, leaving availability under our credit line of $21,069. In addition, we had outstanding standby letters of credit with another bank totaling $325 at May 28, 2022. The line bears interest at the One-Month Term Secured Overnight Financing Rate (“One-Month Term SOFR”) plus 1.5% and is unsecured. Our bank charges a fee of 0.25% on the daily unused balance of the line, payable quarterly. Under the terms of the facility, we must maintain the following financial covenants, measured quarterly on a rolling twelve-month basis:</w:t>
      </w:r>
    </w:p>
    <w:p>
      <w:pPr>
        <w:spacing w:after="0" w:line="183" w:lineRule="exact"/>
        <w:rPr>
          <w:sz w:val="20"/>
          <w:szCs w:val="20"/>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fixed charge coverage ratio of not less than 1.4 times,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lease-adjusted leverage ratio not to exceed 3.0 times,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Minimum tangible net worth of $140,000.</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were in compliance with these covenants at May 28, 2022 and expect to remain in compliance for the foreseeable future. The credit facility will mature on January 27, 2025, at which time any amounts outstanding under the facility will be due.</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used in our wholesale manufacturing operations. We also lease local delivery trucks used in our retail segment. The present value of our obligations for leases with terms in excess of one year at May 28, 2022 is $110,002 and is included in our accompanying condensed consolidated balance sheet at May 28, 2022. We were contingently liable under licensee lease obligation guarantees in the amount of $1,863 at May 28, 2022. Remaining terms under these lease guarantees range from approximately one to three years. See Note 10 to our condensed consolidated financial statements for additional details regarding our lease guarantees.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Investment in Retail Real Estate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have a substantial investment in real estate acquired for use as retail locations and occupied by Company-owned retail stores, including a site in Tampa, Florida recently purchased for $7,668 which is expected to open for business during the second quarter of fiscal 2023. Such real estate is included in property and equipment, net, in the accompanying condensed consolidated balance sheets and consists of eight properties with an aggregate square footage of 203,465 and a net book value of $21,236 at May 28, 2022.</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During the second quarter of fiscal 2022, we entered into a contract to sell one of our Company-owned store locations in Houston, Texas for approximately $8,200 net of closing costs. Accordingly, the $3,146 carrying value of the real property at that location is classified as retail real estate held for sale in the accompanying condensed consolidated balance sheet as of May 28, 2022. The sale closed on June 24, 2022, and we expect to vacate the premises by the end of the third quarter of fiscal 2022. This sale, together with our recent purchase of real property in Tampa, Florida, will be treated as an exchange of like-kind property under Section 1031 of the Internal Revenue Code of 1986, as amended, for the purpose of deferring the taxable gain of approximately $4,800 arising from the sale of the Houston property.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There have been no material changes to our critical accounting policies and estimates from the information provided in Item 7, “Management’s Discussion and Analysis of Financial Condition and Results of Operations”, included in our Annual Report on Form 10-K for the fiscal year ended November 27, 2021.</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utilize stand-by letters of credit in the procurement of certain goods in the normal course of business. In addition, we have guaranteed certain lease obligations of licensee operators for some of their store locations. See Note 10 to our condensed consolidated financial statements for further discussion of lease guarantees, including descriptions of the terms of such commitments and methods used to mitigate risks associated with these arrangements.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9 to our condensed consolidated financial statements for further information regarding certain contingencies as of May 28, 2022.</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33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3" w:name="page34"/>
    <w:bookmarkEnd w:id="3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 about Market Risk:</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2022.</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exposed to market risk from changes in the cost and availability of raw materials used in our manufacturing processes, principally wood, woven fabric, and foam products. The cost of foam products, which are petroleum-based, is sensitive to changes in the price of oil.</w:t>
      </w:r>
    </w:p>
    <w:p>
      <w:pPr>
        <w:spacing w:after="0" w:line="16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have potential exposure to market risk related to conditions in the commercial real estate market. Our retail real estate holdings of $21,236 at May 28, 2022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$1,863 which we have guaranteed on behalf of licensees as of May 28, 2022 we may not be able to secure sufficient sub-lease income in the current market to offset the payments required under the guarantees. We are also exposed to risk related to conditions in the commercial real estate rental market with respect to the right-of-use assets we carry on our balance sheet for leased retail store locations, manufacturing and warehouse facilities. At May 28, 2022, the unamortized balance of such right-of-use assets used in continuing operations totaled $90,417. Should we have to close or otherwise abandon one of these leased locations, we could incur additional impairment charges if rental market conditions do not support a fair value for the right of use asset in excess of its carrying value.</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Company’s principal executive officer and principal financial officer have evaluated the Company’s disclosure controls and procedures (as defined in Exchange Act Rule 13a-15(e)) as of the end of the period covered by this Quarterly Report on Form 10-Q. Based upon their evaluation, the principal executive officer and principal financial officer concluded that the Company’s disclosure controls and procedures are effective. There has been no change in the Company’s internal control over financial reporting during the Company’s most recent fiscal quarter that has materially affected, or is reasonably likely to materially affect, the Company’s internal control over financial reporting.</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4" w:name="page35"/>
    <w:bookmarkEnd w:id="34"/>
    <w:p>
      <w:pPr>
        <w:jc w:val="center"/>
        <w:spacing w:after="0"/>
        <w:rPr>
          <w:sz w:val="20"/>
          <w:szCs w:val="20"/>
          <w:color w:val="auto"/>
        </w:rPr>
      </w:pPr>
      <w:r>
        <w:rPr>
          <w:rFonts w:ascii="Times New Roman" w:cs="Times New Roman" w:eastAsia="Times New Roman" w:hAnsi="Times New Roman"/>
          <w:sz w:val="18"/>
          <w:szCs w:val="18"/>
          <w:u w:val="single" w:color="auto"/>
          <w:color w:val="auto"/>
        </w:rPr>
        <w:t>PART II - OTHER INFORMATION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Use of Proceeds and Issuer Purchases of Equity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stock repurchase activity by or on behalf of the Company or any “affiliated purchaser,” as defined by Rule 10b-18(a)</w:t>
      </w:r>
    </w:p>
    <w:p>
      <w:pPr>
        <w:spacing w:after="0" w:line="27" w:lineRule="exact"/>
        <w:rPr>
          <w:sz w:val="20"/>
          <w:szCs w:val="20"/>
          <w:color w:val="auto"/>
        </w:rPr>
      </w:pPr>
    </w:p>
    <w:p>
      <w:pPr>
        <w:ind w:firstLine="8"/>
        <w:spacing w:after="0" w:line="260" w:lineRule="auto"/>
        <w:tabs>
          <w:tab w:leader="none" w:pos="25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the Exchange Act, for the three and six months ended May 28, 2022 and the approximate dollar value of shares that may yet be purchased pursuant to our stock repurchase program:</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Total Number of</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Approximate Dollar</w:t>
            </w:r>
          </w:p>
        </w:tc>
      </w:tr>
      <w:tr>
        <w:trPr>
          <w:trHeight w:val="216"/>
        </w:trPr>
        <w:tc>
          <w:tcPr>
            <w:tcW w:w="2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Shares Purchased as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Value of Shares that</w:t>
            </w:r>
          </w:p>
        </w:tc>
      </w:tr>
      <w:tr>
        <w:trPr>
          <w:trHeight w:val="216"/>
        </w:trPr>
        <w:tc>
          <w:tcPr>
            <w:tcW w:w="2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Part of Publicly</w:t>
            </w:r>
          </w:p>
        </w:tc>
        <w:tc>
          <w:tcPr>
            <w:tcW w:w="100" w:type="dxa"/>
            <w:vAlign w:val="bottom"/>
          </w:tcPr>
          <w:p>
            <w:pPr>
              <w:spacing w:after="0"/>
              <w:rPr>
                <w:sz w:val="18"/>
                <w:szCs w:val="18"/>
                <w:color w:val="auto"/>
              </w:rPr>
            </w:pPr>
          </w:p>
        </w:tc>
        <w:tc>
          <w:tcPr>
            <w:tcW w:w="202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8"/>
              </w:rPr>
              <w:t>May Yet Be Purchased</w:t>
            </w:r>
          </w:p>
        </w:tc>
      </w:tr>
      <w:tr>
        <w:trPr>
          <w:trHeight w:val="216"/>
        </w:trPr>
        <w:tc>
          <w:tcPr>
            <w:tcW w:w="2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Announced Plans or</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Under the Plans or</w:t>
            </w:r>
          </w:p>
        </w:tc>
      </w:tr>
      <w:tr>
        <w:trPr>
          <w:trHeight w:val="238"/>
        </w:trPr>
        <w:tc>
          <w:tcPr>
            <w:tcW w:w="2600" w:type="dxa"/>
            <w:vAlign w:val="bottom"/>
          </w:tcPr>
          <w:p>
            <w:pPr>
              <w:spacing w:after="0"/>
              <w:rPr>
                <w:sz w:val="20"/>
                <w:szCs w:val="20"/>
                <w:color w:val="auto"/>
              </w:rPr>
            </w:pPr>
          </w:p>
        </w:tc>
        <w:tc>
          <w:tcPr>
            <w:tcW w:w="2620" w:type="dxa"/>
            <w:vAlign w:val="bottom"/>
            <w:gridSpan w:val="3"/>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Total Shares Purchased</w:t>
            </w:r>
          </w:p>
        </w:tc>
        <w:tc>
          <w:tcPr>
            <w:tcW w:w="100" w:type="dxa"/>
            <w:vAlign w:val="bottom"/>
          </w:tcPr>
          <w:p>
            <w:pPr>
              <w:spacing w:after="0"/>
              <w:rPr>
                <w:sz w:val="20"/>
                <w:szCs w:val="20"/>
                <w:color w:val="auto"/>
              </w:rPr>
            </w:pPr>
          </w:p>
        </w:tc>
        <w:tc>
          <w:tcPr>
            <w:tcW w:w="17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Average Price Paid</w:t>
            </w:r>
          </w:p>
        </w:tc>
        <w:tc>
          <w:tcPr>
            <w:tcW w:w="20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Programs (1)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Programs (1)</w:t>
            </w:r>
          </w:p>
        </w:tc>
      </w:tr>
      <w:tr>
        <w:trPr>
          <w:trHeight w:val="209"/>
        </w:trPr>
        <w:tc>
          <w:tcPr>
            <w:tcW w:w="2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7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February 27 - April 2, 2022</w:t>
            </w:r>
          </w:p>
        </w:tc>
        <w:tc>
          <w:tcPr>
            <w:tcW w:w="262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94,000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7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17.66</w:t>
            </w:r>
          </w:p>
        </w:tc>
        <w:tc>
          <w:tcPr>
            <w:tcW w:w="2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94,000</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38,695</w:t>
            </w:r>
          </w:p>
        </w:tc>
      </w:tr>
      <w:tr>
        <w:trPr>
          <w:trHeight w:val="216"/>
        </w:trPr>
        <w:tc>
          <w:tcPr>
            <w:tcW w:w="2600" w:type="dxa"/>
            <w:vAlign w:val="bottom"/>
          </w:tcPr>
          <w:p>
            <w:pPr>
              <w:spacing w:after="0"/>
              <w:rPr>
                <w:sz w:val="20"/>
                <w:szCs w:val="20"/>
                <w:color w:val="auto"/>
              </w:rPr>
            </w:pPr>
            <w:r>
              <w:rPr>
                <w:rFonts w:ascii="Times New Roman" w:cs="Times New Roman" w:eastAsia="Times New Roman" w:hAnsi="Times New Roman"/>
                <w:sz w:val="18"/>
                <w:szCs w:val="18"/>
                <w:color w:val="auto"/>
              </w:rPr>
              <w:t>April 3 - April 30, 2022</w:t>
            </w:r>
          </w:p>
        </w:tc>
        <w:tc>
          <w:tcPr>
            <w:tcW w:w="26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218,374</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17.16</w:t>
            </w:r>
          </w:p>
        </w:tc>
        <w:tc>
          <w:tcPr>
            <w:tcW w:w="2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218,374</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34,948</w:t>
            </w:r>
          </w:p>
        </w:tc>
      </w:tr>
      <w:tr>
        <w:trPr>
          <w:trHeight w:val="216"/>
        </w:trPr>
        <w:tc>
          <w:tcPr>
            <w:tcW w:w="2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May 1 - May 28, 2022</w:t>
            </w:r>
          </w:p>
        </w:tc>
        <w:tc>
          <w:tcPr>
            <w:tcW w:w="262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150,470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7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16.42</w:t>
            </w:r>
          </w:p>
        </w:tc>
        <w:tc>
          <w:tcPr>
            <w:tcW w:w="2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150,470</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32,448</w:t>
            </w:r>
          </w:p>
        </w:tc>
      </w:tr>
    </w:tbl>
    <w:p>
      <w:pPr>
        <w:spacing w:after="0" w:line="198" w:lineRule="exact"/>
        <w:rPr>
          <w:sz w:val="20"/>
          <w:szCs w:val="20"/>
          <w:color w:val="auto"/>
        </w:rPr>
      </w:pPr>
    </w:p>
    <w:p>
      <w:pPr>
        <w:ind w:left="340" w:right="200" w:hanging="332"/>
        <w:spacing w:after="0" w:line="266" w:lineRule="auto"/>
        <w:tabs>
          <w:tab w:leader="none" w:pos="34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authorized to repurchase Company stock under a plan which was originally announced in 1998. On March 9, 2022, the Board of Directors increased the remaining limit of the repurchase plan to $40,000. At May 28, 2022, $32,448 remained available for share repurchases under the plan.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35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5" w:name="page36"/>
    <w:bookmarkEnd w:id="35"/>
    <w:p>
      <w:pPr>
        <w:jc w:val="center"/>
        <w:spacing w:after="0"/>
        <w:rPr>
          <w:sz w:val="20"/>
          <w:szCs w:val="20"/>
          <w:color w:val="auto"/>
        </w:rPr>
      </w:pPr>
      <w:r>
        <w:rPr>
          <w:rFonts w:ascii="Times New Roman" w:cs="Times New Roman" w:eastAsia="Times New Roman" w:hAnsi="Times New Roman"/>
          <w:sz w:val="18"/>
          <w:szCs w:val="18"/>
          <w:u w:val="single" w:color="auto"/>
          <w:color w:val="auto"/>
        </w:rPr>
        <w:t>PART II - OTHER INFORMATION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MAY 28,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p>
      <w:pPr>
        <w:ind w:left="340" w:hanging="332"/>
        <w:spacing w:after="0"/>
        <w:tabs>
          <w:tab w:leader="none" w:pos="34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225" w:lineRule="exact"/>
        <w:rPr>
          <w:rFonts w:ascii="Times New Roman" w:cs="Times New Roman" w:eastAsia="Times New Roman" w:hAnsi="Times New Roman"/>
          <w:sz w:val="18"/>
          <w:szCs w:val="18"/>
          <w:color w:val="auto"/>
        </w:rPr>
      </w:pPr>
    </w:p>
    <w:p>
      <w:pPr>
        <w:ind w:left="3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3a – Articles of Incorporation as amended to date are incorporated herein by reference to the Exhibit to Form 10-Q for the fiscal quarter ended February 28, 1994.</w:t>
      </w:r>
    </w:p>
    <w:p>
      <w:pPr>
        <w:spacing w:after="0" w:line="161" w:lineRule="exact"/>
        <w:rPr>
          <w:rFonts w:ascii="Times New Roman" w:cs="Times New Roman" w:eastAsia="Times New Roman" w:hAnsi="Times New Roman"/>
          <w:sz w:val="18"/>
          <w:szCs w:val="18"/>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3b – </w:t>
      </w:r>
      <w:hyperlink r:id="rId89">
        <w:r>
          <w:rPr>
            <w:rFonts w:ascii="Times New Roman" w:cs="Times New Roman" w:eastAsia="Times New Roman" w:hAnsi="Times New Roman"/>
            <w:sz w:val="18"/>
            <w:szCs w:val="18"/>
            <w:u w:val="single" w:color="auto"/>
            <w:color w:val="0000EE"/>
          </w:rPr>
          <w:t>By-laws as amended to date are incorporated herein by reference to Exhibit 3 to Form 8-K filed with the SEC on January 19, 2021.</w:t>
        </w:r>
      </w:hyperlink>
    </w:p>
    <w:p>
      <w:pPr>
        <w:spacing w:after="0" w:line="225" w:lineRule="exact"/>
        <w:rPr>
          <w:rFonts w:ascii="Times New Roman" w:cs="Times New Roman" w:eastAsia="Times New Roman" w:hAnsi="Times New Roman"/>
          <w:sz w:val="18"/>
          <w:szCs w:val="18"/>
          <w:color w:val="auto"/>
        </w:rPr>
      </w:pPr>
    </w:p>
    <w:p>
      <w:pPr>
        <w:ind w:left="3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4 – Registrant hereby agrees to furnish the SEC, upon request, other instruments defining the rights of holders of long-term debt of the Registrant.</w:t>
      </w:r>
    </w:p>
    <w:p>
      <w:pPr>
        <w:spacing w:after="0" w:line="161" w:lineRule="exact"/>
        <w:rPr>
          <w:rFonts w:ascii="Times New Roman" w:cs="Times New Roman" w:eastAsia="Times New Roman" w:hAnsi="Times New Roman"/>
          <w:sz w:val="18"/>
          <w:szCs w:val="18"/>
          <w:color w:val="auto"/>
        </w:rPr>
      </w:pPr>
    </w:p>
    <w:p>
      <w:pPr>
        <w:jc w:val="both"/>
        <w:ind w:left="340" w:right="2820"/>
        <w:spacing w:after="0" w:line="5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 xml:space="preserve">Exhibit 31a – </w:t>
      </w:r>
      <w:r>
        <w:rPr>
          <w:rFonts w:ascii="Times New Roman" w:cs="Times New Roman" w:eastAsia="Times New Roman" w:hAnsi="Times New Roman"/>
          <w:sz w:val="17"/>
          <w:szCs w:val="17"/>
          <w:u w:val="single" w:color="auto"/>
          <w:color w:val="0000EE"/>
        </w:rPr>
        <w:t>Chief Executive Officer’s certification pursuant to Section 302 of the Sarbanes-Oxley Act of 2002</w:t>
      </w:r>
      <w:r>
        <w:rPr>
          <w:rFonts w:ascii="Times New Roman" w:cs="Times New Roman" w:eastAsia="Times New Roman" w:hAnsi="Times New Roman"/>
          <w:sz w:val="17"/>
          <w:szCs w:val="17"/>
          <w:color w:val="auto"/>
        </w:rPr>
        <w:t xml:space="preserve"> Exhibit 31b – </w:t>
      </w:r>
      <w:r>
        <w:rPr>
          <w:rFonts w:ascii="Times New Roman" w:cs="Times New Roman" w:eastAsia="Times New Roman" w:hAnsi="Times New Roman"/>
          <w:sz w:val="17"/>
          <w:szCs w:val="17"/>
          <w:u w:val="single" w:color="auto"/>
          <w:color w:val="0000EE"/>
        </w:rPr>
        <w:t>Chief Financial Officer’s certification pursuant to Section 302 of the Sarbanes-Oxley Act of 2002</w:t>
      </w:r>
    </w:p>
    <w:p>
      <w:pPr>
        <w:ind w:left="340" w:right="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32a – </w:t>
      </w:r>
      <w:r>
        <w:rPr>
          <w:rFonts w:ascii="Times New Roman" w:cs="Times New Roman" w:eastAsia="Times New Roman" w:hAnsi="Times New Roman"/>
          <w:sz w:val="18"/>
          <w:szCs w:val="18"/>
          <w:u w:val="single" w:color="auto"/>
          <w:color w:val="0000EE"/>
        </w:rPr>
        <w:t>Chief Executive Officer’s certification pursuant to 18 U.S.C. 1350, as adopted pursuant to Section 906 of the Sarbanes-Oxley Act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2002</w:t>
      </w:r>
    </w:p>
    <w:p>
      <w:pPr>
        <w:spacing w:after="0" w:line="161" w:lineRule="exact"/>
        <w:rPr>
          <w:rFonts w:ascii="Times New Roman" w:cs="Times New Roman" w:eastAsia="Times New Roman" w:hAnsi="Times New Roman"/>
          <w:sz w:val="18"/>
          <w:szCs w:val="18"/>
          <w:color w:val="auto"/>
        </w:rPr>
      </w:pPr>
    </w:p>
    <w:p>
      <w:pPr>
        <w:ind w:left="3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32b – </w:t>
      </w:r>
      <w:r>
        <w:rPr>
          <w:rFonts w:ascii="Times New Roman" w:cs="Times New Roman" w:eastAsia="Times New Roman" w:hAnsi="Times New Roman"/>
          <w:sz w:val="18"/>
          <w:szCs w:val="18"/>
          <w:u w:val="single" w:color="auto"/>
          <w:color w:val="0000EE"/>
        </w:rPr>
        <w:t>Chief Financial Officer’s certification pursuant to 18 U.S.C. 1350, as adopted pursuant to Section 906 of the Sarbanes-Oxley Act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2002</w:t>
      </w:r>
    </w:p>
    <w:p>
      <w:pPr>
        <w:spacing w:after="0" w:line="161" w:lineRule="exact"/>
        <w:rPr>
          <w:rFonts w:ascii="Times New Roman" w:cs="Times New Roman" w:eastAsia="Times New Roman" w:hAnsi="Times New Roman"/>
          <w:sz w:val="18"/>
          <w:szCs w:val="18"/>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101.INS Inline XBRL Instance</w:t>
      </w:r>
    </w:p>
    <w:p>
      <w:pPr>
        <w:spacing w:after="0" w:line="225" w:lineRule="exact"/>
        <w:rPr>
          <w:rFonts w:ascii="Times New Roman" w:cs="Times New Roman" w:eastAsia="Times New Roman" w:hAnsi="Times New Roman"/>
          <w:sz w:val="18"/>
          <w:szCs w:val="18"/>
          <w:color w:val="auto"/>
        </w:rPr>
      </w:pPr>
    </w:p>
    <w:p>
      <w:pPr>
        <w:ind w:left="340" w:right="6180"/>
        <w:spacing w:after="0" w:line="5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Exhibit 101.SCH Inline XBRL Taxonomy Extension Schema Exhibit 101.CAL Inline XBRL Taxonomy Extension Calculation Exhibit 101.DEF Inline XBRL Taxonomy Extension Definition Exhibit 101.LAB Inline XBRL Taxonomy Extension Labels Exhibit 101.PRE Inline XBRL Taxonomy Extension Presentation</w:t>
      </w:r>
    </w:p>
    <w:p>
      <w:pPr>
        <w:spacing w:after="0" w:line="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Exhibit 104. Cover Page Interactive Data File (formatted as Inline XBRL and contained in Exhibit 101).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36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6" w:name="page37"/>
    <w:bookmarkEnd w:id="36"/>
    <w:p>
      <w:pPr>
        <w:ind w:left="5080"/>
        <w:spacing w:after="0"/>
        <w:rPr>
          <w:sz w:val="20"/>
          <w:szCs w:val="20"/>
          <w:color w:val="auto"/>
        </w:rPr>
      </w:pPr>
      <w:r>
        <w:rPr>
          <w:rFonts w:ascii="Times New Roman" w:cs="Times New Roman" w:eastAsia="Times New Roman" w:hAnsi="Times New Roman"/>
          <w:sz w:val="18"/>
          <w:szCs w:val="18"/>
          <w:u w:val="single" w:color="auto"/>
          <w:color w:val="auto"/>
        </w:rPr>
        <w:t>SIGNATURES</w:t>
      </w:r>
    </w:p>
    <w:p>
      <w:pPr>
        <w:spacing w:after="0" w:line="200" w:lineRule="exact"/>
        <w:rPr>
          <w:sz w:val="20"/>
          <w:szCs w:val="20"/>
          <w:color w:val="auto"/>
        </w:rPr>
      </w:pPr>
    </w:p>
    <w:p>
      <w:pPr>
        <w:spacing w:after="0" w:line="24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BASSETT FURNITURE INDUSTRIES, INCORPORATED</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0" w:type="dxa"/>
            <w:vAlign w:val="bottom"/>
          </w:tcPr>
          <w:p>
            <w:pPr>
              <w:spacing w:after="0"/>
              <w:rPr>
                <w:sz w:val="20"/>
                <w:szCs w:val="20"/>
                <w:color w:val="auto"/>
              </w:rPr>
            </w:pPr>
            <w:r>
              <w:rPr>
                <w:rFonts w:ascii="Times New Roman" w:cs="Times New Roman" w:eastAsia="Times New Roman" w:hAnsi="Times New Roman"/>
                <w:sz w:val="18"/>
                <w:szCs w:val="18"/>
                <w:color w:val="auto"/>
              </w:rPr>
              <w:t>/s/</w:t>
            </w:r>
          </w:p>
        </w:tc>
        <w:tc>
          <w:tcPr>
            <w:tcW w:w="840" w:type="dxa"/>
            <w:vAlign w:val="bottom"/>
            <w:tcBorders>
              <w:bottom w:val="single" w:sz="8" w:color="auto"/>
            </w:tcBorders>
          </w:tcPr>
          <w:p>
            <w:pPr>
              <w:spacing w:after="0"/>
              <w:rPr>
                <w:sz w:val="20"/>
                <w:szCs w:val="20"/>
                <w:color w:val="auto"/>
              </w:rPr>
            </w:pPr>
          </w:p>
        </w:tc>
        <w:tc>
          <w:tcPr>
            <w:tcW w:w="2760" w:type="dxa"/>
            <w:vAlign w:val="bottom"/>
            <w:tcBorders>
              <w:bottom w:val="single" w:sz="8" w:color="auto"/>
            </w:tcBorders>
          </w:tcPr>
          <w:p>
            <w:pPr>
              <w:jc w:val="center"/>
              <w:ind w:right="730"/>
              <w:spacing w:after="0"/>
              <w:rPr>
                <w:sz w:val="20"/>
                <w:szCs w:val="20"/>
                <w:color w:val="auto"/>
              </w:rPr>
            </w:pP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tc>
        <w:tc>
          <w:tcPr>
            <w:tcW w:w="560" w:type="dxa"/>
            <w:vAlign w:val="bottom"/>
          </w:tcPr>
          <w:p>
            <w:pPr>
              <w:spacing w:after="0"/>
              <w:rPr>
                <w:sz w:val="20"/>
                <w:szCs w:val="20"/>
                <w:color w:val="auto"/>
              </w:rPr>
            </w:pPr>
          </w:p>
        </w:tc>
      </w:tr>
      <w:tr>
        <w:trPr>
          <w:trHeight w:val="191"/>
        </w:trPr>
        <w:tc>
          <w:tcPr>
            <w:tcW w:w="3940" w:type="dxa"/>
            <w:vAlign w:val="bottom"/>
            <w:gridSpan w:val="3"/>
          </w:tcPr>
          <w:p>
            <w:pPr>
              <w:spacing w:after="0" w:line="191" w:lineRule="exact"/>
              <w:rPr>
                <w:sz w:val="20"/>
                <w:szCs w:val="20"/>
                <w:color w:val="auto"/>
              </w:rPr>
            </w:pPr>
            <w:r>
              <w:rPr>
                <w:rFonts w:ascii="Times New Roman" w:cs="Times New Roman" w:eastAsia="Times New Roman" w:hAnsi="Times New Roman"/>
                <w:sz w:val="18"/>
                <w:szCs w:val="18"/>
                <w:color w:val="auto"/>
                <w:w w:val="99"/>
              </w:rPr>
              <w:t>Robert H. Spilman, Jr., Chairman and Chief Executive</w:t>
            </w:r>
          </w:p>
        </w:tc>
        <w:tc>
          <w:tcPr>
            <w:tcW w:w="560" w:type="dxa"/>
            <w:vAlign w:val="bottom"/>
          </w:tcPr>
          <w:p>
            <w:pPr>
              <w:ind w:left="40"/>
              <w:spacing w:after="0" w:line="191" w:lineRule="exact"/>
              <w:rPr>
                <w:sz w:val="20"/>
                <w:szCs w:val="20"/>
                <w:color w:val="auto"/>
              </w:rPr>
            </w:pPr>
            <w:r>
              <w:rPr>
                <w:rFonts w:ascii="Times New Roman" w:cs="Times New Roman" w:eastAsia="Times New Roman" w:hAnsi="Times New Roman"/>
                <w:sz w:val="18"/>
                <w:szCs w:val="18"/>
                <w:color w:val="auto"/>
                <w:w w:val="96"/>
              </w:rPr>
              <w:t>Officer</w:t>
            </w:r>
          </w:p>
        </w:tc>
      </w:tr>
      <w:tr>
        <w:trPr>
          <w:trHeight w:val="234"/>
        </w:trPr>
        <w:tc>
          <w:tcPr>
            <w:tcW w:w="1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June 30, 2022</w:t>
            </w:r>
          </w:p>
        </w:tc>
        <w:tc>
          <w:tcPr>
            <w:tcW w:w="2760" w:type="dxa"/>
            <w:vAlign w:val="bottom"/>
          </w:tcPr>
          <w:p>
            <w:pPr>
              <w:spacing w:after="0"/>
              <w:rPr>
                <w:sz w:val="20"/>
                <w:szCs w:val="20"/>
                <w:color w:val="auto"/>
              </w:rPr>
            </w:pPr>
          </w:p>
        </w:tc>
        <w:tc>
          <w:tcPr>
            <w:tcW w:w="560" w:type="dxa"/>
            <w:vAlign w:val="bottom"/>
          </w:tcPr>
          <w:p>
            <w:pPr>
              <w:spacing w:after="0"/>
              <w:rPr>
                <w:sz w:val="20"/>
                <w:szCs w:val="20"/>
                <w:color w:val="auto"/>
              </w:rPr>
            </w:pPr>
          </w:p>
        </w:tc>
      </w:tr>
      <w:tr>
        <w:trPr>
          <w:trHeight w:val="864"/>
        </w:trPr>
        <w:tc>
          <w:tcPr>
            <w:tcW w:w="1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w:t>
            </w:r>
          </w:p>
        </w:tc>
        <w:tc>
          <w:tcPr>
            <w:tcW w:w="3320" w:type="dxa"/>
            <w:vAlign w:val="bottom"/>
            <w:gridSpan w:val="2"/>
          </w:tcPr>
          <w:p>
            <w:pPr>
              <w:jc w:val="center"/>
              <w:ind w:right="1290"/>
              <w:spacing w:after="0"/>
              <w:rPr>
                <w:sz w:val="20"/>
                <w:szCs w:val="20"/>
                <w:color w:val="auto"/>
              </w:rPr>
            </w:pP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0</wp:posOffset>
            </wp:positionV>
            <wp:extent cx="2288540"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extLst>
                    </a:blip>
                    <a:srcRect/>
                    <a:stretch>
                      <a:fillRect/>
                    </a:stretch>
                  </pic:blipFill>
                  <pic:spPr bwMode="auto">
                    <a:xfrm>
                      <a:off x="0" y="0"/>
                      <a:ext cx="2288540" cy="825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J. Michael Daniel, Senior Vice President and Chief Financial Officer</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30, 2022</w:t>
      </w:r>
    </w:p>
    <w:p>
      <w:pPr>
        <w:spacing w:after="0" w:line="207" w:lineRule="exact"/>
        <w:rPr>
          <w:sz w:val="20"/>
          <w:szCs w:val="20"/>
          <w:color w:val="auto"/>
        </w:rPr>
      </w:pPr>
    </w:p>
    <w:p>
      <w:pPr>
        <w:ind w:left="5120"/>
        <w:spacing w:after="0"/>
        <w:rPr>
          <w:sz w:val="20"/>
          <w:szCs w:val="20"/>
          <w:color w:val="auto"/>
        </w:rPr>
      </w:pPr>
      <w:r>
        <w:rPr>
          <w:rFonts w:ascii="Times New Roman" w:cs="Times New Roman" w:eastAsia="Times New Roman" w:hAnsi="Times New Roman"/>
          <w:sz w:val="18"/>
          <w:szCs w:val="18"/>
          <w:color w:val="auto"/>
        </w:rPr>
        <w:t>Page 37 of 37</w:t>
      </w:r>
    </w:p>
    <w:p>
      <w:pPr>
        <w:sectPr>
          <w:pgSz w:w="11900" w:h="16838" w:orient="portrait"/>
          <w:cols w:equalWidth="0" w:num="1">
            <w:col w:w="10400"/>
          </w:cols>
          <w:pgMar w:left="320" w:top="580" w:right="1179" w:bottom="1440" w:gutter="0" w:footer="0" w:header="0"/>
        </w:sectPr>
      </w:pPr>
    </w:p>
    <w:bookmarkStart w:id="37" w:name="page38"/>
    <w:bookmarkEnd w:id="37"/>
    <w:p>
      <w:pPr>
        <w:jc w:val="right"/>
        <w:spacing w:after="0"/>
        <w:rPr>
          <w:sz w:val="20"/>
          <w:szCs w:val="20"/>
          <w:color w:val="auto"/>
        </w:rPr>
      </w:pPr>
      <w:r>
        <w:rPr>
          <w:rFonts w:ascii="Times New Roman" w:cs="Times New Roman" w:eastAsia="Times New Roman" w:hAnsi="Times New Roman"/>
          <w:sz w:val="18"/>
          <w:szCs w:val="18"/>
          <w:color w:val="auto"/>
        </w:rPr>
        <w:t>Exhibit 31a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Robert H. Spilman, Jr., certify that:</w:t>
      </w:r>
    </w:p>
    <w:p>
      <w:pPr>
        <w:spacing w:after="0" w:line="225" w:lineRule="exact"/>
        <w:rPr>
          <w:sz w:val="20"/>
          <w:szCs w:val="20"/>
          <w:color w:val="auto"/>
        </w:rPr>
      </w:pPr>
    </w:p>
    <w:p>
      <w:pPr>
        <w:ind w:left="340" w:hanging="332"/>
        <w:spacing w:after="0"/>
        <w:tabs>
          <w:tab w:leader="none" w:pos="3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52"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2"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8"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2"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2"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2"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8"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2"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8"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8"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30, 2022</w:t>
      </w:r>
    </w:p>
    <w:p>
      <w:pPr>
        <w:spacing w:after="0" w:line="225"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17145</wp:posOffset>
            </wp:positionV>
            <wp:extent cx="228854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extLst>
                    </a:blip>
                    <a:srcRect/>
                    <a:stretch>
                      <a:fillRect/>
                    </a:stretch>
                  </pic:blipFill>
                  <pic:spPr bwMode="auto">
                    <a:xfrm>
                      <a:off x="0" y="0"/>
                      <a:ext cx="2288540"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 Chairman and Chief Executive Officer</w:t>
      </w:r>
    </w:p>
    <w:p>
      <w:pPr>
        <w:sectPr>
          <w:pgSz w:w="11900" w:h="16838" w:orient="portrait"/>
          <w:cols w:equalWidth="0" w:num="1">
            <w:col w:w="11240"/>
          </w:cols>
          <w:pgMar w:left="320" w:top="121" w:right="339" w:bottom="1440" w:gutter="0" w:footer="0" w:header="0"/>
        </w:sectPr>
      </w:pPr>
    </w:p>
    <w:bookmarkStart w:id="38" w:name="page39"/>
    <w:bookmarkEnd w:id="38"/>
    <w:p>
      <w:pPr>
        <w:jc w:val="right"/>
        <w:spacing w:after="0"/>
        <w:rPr>
          <w:sz w:val="20"/>
          <w:szCs w:val="20"/>
          <w:color w:val="auto"/>
        </w:rPr>
      </w:pPr>
      <w:r>
        <w:rPr>
          <w:rFonts w:ascii="Times New Roman" w:cs="Times New Roman" w:eastAsia="Times New Roman" w:hAnsi="Times New Roman"/>
          <w:sz w:val="18"/>
          <w:szCs w:val="18"/>
          <w:color w:val="auto"/>
        </w:rPr>
        <w:t>Exhibit 31b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52"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2"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8"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2"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2"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8"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8"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30, 2022</w:t>
      </w:r>
    </w:p>
    <w:p>
      <w:pPr>
        <w:spacing w:after="0" w:line="225" w:lineRule="exact"/>
        <w:rPr>
          <w:sz w:val="20"/>
          <w:szCs w:val="20"/>
          <w:color w:val="auto"/>
        </w:rPr>
      </w:pPr>
    </w:p>
    <w:p>
      <w:pPr>
        <w:spacing w:after="0"/>
        <w:tabs>
          <w:tab w:leader="none" w:pos="148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17145</wp:posOffset>
            </wp:positionV>
            <wp:extent cx="228854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extLst>
                    </a:blip>
                    <a:srcRect/>
                    <a:stretch>
                      <a:fillRect/>
                    </a:stretch>
                  </pic:blipFill>
                  <pic:spPr bwMode="auto">
                    <a:xfrm>
                      <a:off x="0" y="0"/>
                      <a:ext cx="2288540"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 Senior Vice President and Chief Financial Officer</w:t>
      </w:r>
    </w:p>
    <w:p>
      <w:pPr>
        <w:sectPr>
          <w:pgSz w:w="11900" w:h="16838" w:orient="portrait"/>
          <w:cols w:equalWidth="0" w:num="1">
            <w:col w:w="11240"/>
          </w:cols>
          <w:pgMar w:left="320" w:top="121" w:right="339" w:bottom="1440" w:gutter="0" w:footer="0" w:header="0"/>
        </w:sectPr>
      </w:pPr>
    </w:p>
    <w:bookmarkStart w:id="39" w:name="page40"/>
    <w:bookmarkEnd w:id="39"/>
    <w:p>
      <w:pPr>
        <w:jc w:val="right"/>
        <w:spacing w:after="0"/>
        <w:rPr>
          <w:sz w:val="20"/>
          <w:szCs w:val="20"/>
          <w:color w:val="auto"/>
        </w:rPr>
      </w:pPr>
      <w:r>
        <w:rPr>
          <w:rFonts w:ascii="Times New Roman" w:cs="Times New Roman" w:eastAsia="Times New Roman" w:hAnsi="Times New Roman"/>
          <w:sz w:val="18"/>
          <w:szCs w:val="18"/>
          <w:color w:val="auto"/>
        </w:rPr>
        <w:t>Exhibit 32a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May 28, 2022,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76" w:lineRule="exact"/>
        <w:rPr>
          <w:sz w:val="20"/>
          <w:szCs w:val="20"/>
          <w:color w:val="auto"/>
        </w:rPr>
      </w:pPr>
    </w:p>
    <w:p>
      <w:pPr>
        <w:ind w:left="660" w:hanging="328"/>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right="140" w:firstLine="332"/>
        <w:spacing w:after="0" w:line="500" w:lineRule="auto"/>
        <w:tabs>
          <w:tab w:leader="none" w:pos="648"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June 30, 2022</w:t>
      </w:r>
    </w:p>
    <w:p>
      <w:pPr>
        <w:spacing w:after="0" w:line="2"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17145</wp:posOffset>
            </wp:positionV>
            <wp:extent cx="228854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extLst>
                    </a:blip>
                    <a:srcRect/>
                    <a:stretch>
                      <a:fillRect/>
                    </a:stretch>
                  </pic:blipFill>
                  <pic:spPr bwMode="auto">
                    <a:xfrm>
                      <a:off x="0" y="0"/>
                      <a:ext cx="2288540"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Chairman and Chief Executive Officer</w:t>
      </w:r>
    </w:p>
    <w:p>
      <w:pPr>
        <w:spacing w:after="0" w:line="200" w:lineRule="exact"/>
        <w:rPr>
          <w:sz w:val="20"/>
          <w:szCs w:val="20"/>
          <w:color w:val="auto"/>
        </w:rPr>
      </w:pPr>
    </w:p>
    <w:p>
      <w:pPr>
        <w:spacing w:after="0" w:line="221" w:lineRule="exact"/>
        <w:rPr>
          <w:sz w:val="20"/>
          <w:szCs w:val="20"/>
          <w:color w:val="auto"/>
        </w:rPr>
      </w:pPr>
    </w:p>
    <w:p>
      <w:pPr>
        <w:ind w:right="100"/>
        <w:spacing w:after="0" w:line="284" w:lineRule="auto"/>
        <w:rPr>
          <w:sz w:val="20"/>
          <w:szCs w:val="20"/>
          <w:color w:val="auto"/>
        </w:rPr>
      </w:pPr>
      <w:r>
        <w:rPr>
          <w:rFonts w:ascii="Times New Roman" w:cs="Times New Roman" w:eastAsia="Times New Roman" w:hAnsi="Times New Roman"/>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240"/>
          </w:cols>
          <w:pgMar w:left="320" w:top="121" w:right="339" w:bottom="1440" w:gutter="0" w:footer="0" w:header="0"/>
        </w:sectPr>
      </w:pPr>
    </w:p>
    <w:bookmarkStart w:id="40" w:name="page41"/>
    <w:bookmarkEnd w:id="40"/>
    <w:p>
      <w:pPr>
        <w:jc w:val="right"/>
        <w:spacing w:after="0"/>
        <w:rPr>
          <w:sz w:val="20"/>
          <w:szCs w:val="20"/>
          <w:color w:val="auto"/>
        </w:rPr>
      </w:pPr>
      <w:r>
        <w:rPr>
          <w:rFonts w:ascii="Times New Roman" w:cs="Times New Roman" w:eastAsia="Times New Roman" w:hAnsi="Times New Roman"/>
          <w:sz w:val="18"/>
          <w:szCs w:val="18"/>
          <w:color w:val="auto"/>
        </w:rPr>
        <w:t>Exhibit 32b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May 28, 2022, as filed with the Securities and Exchange Commission on the date hereof (the “Report”), I, J. Michael Daniel, Chief Financial Officer of the Company, certify, pursuant to 18 U.S.C. ss.1350, as adopted pursuant to ss.906 of the Sarbanes-Oxley Act of 2002, that:</w:t>
      </w:r>
    </w:p>
    <w:p>
      <w:pPr>
        <w:spacing w:after="0" w:line="176" w:lineRule="exact"/>
        <w:rPr>
          <w:sz w:val="20"/>
          <w:szCs w:val="20"/>
          <w:color w:val="auto"/>
        </w:rPr>
      </w:pPr>
    </w:p>
    <w:p>
      <w:pPr>
        <w:ind w:left="660" w:hanging="328"/>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right="140" w:firstLine="332"/>
        <w:spacing w:after="0" w:line="500" w:lineRule="auto"/>
        <w:tabs>
          <w:tab w:leader="none" w:pos="648"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June 30, 2022</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0" w:type="dxa"/>
            <w:vAlign w:val="bottom"/>
          </w:tcPr>
          <w:p>
            <w:pPr>
              <w:spacing w:after="0"/>
              <w:rPr>
                <w:sz w:val="20"/>
                <w:szCs w:val="20"/>
                <w:color w:val="auto"/>
              </w:rPr>
            </w:pPr>
            <w:r>
              <w:rPr>
                <w:rFonts w:ascii="Times New Roman" w:cs="Times New Roman" w:eastAsia="Times New Roman" w:hAnsi="Times New Roman"/>
                <w:sz w:val="18"/>
                <w:szCs w:val="18"/>
                <w:color w:val="auto"/>
              </w:rPr>
              <w:t>/s/</w:t>
            </w:r>
          </w:p>
        </w:tc>
        <w:tc>
          <w:tcPr>
            <w:tcW w:w="1080" w:type="dxa"/>
            <w:vAlign w:val="bottom"/>
            <w:tcBorders>
              <w:bottom w:val="single" w:sz="8" w:color="auto"/>
            </w:tcBorders>
          </w:tcPr>
          <w:p>
            <w:pPr>
              <w:spacing w:after="0"/>
              <w:rPr>
                <w:sz w:val="20"/>
                <w:szCs w:val="20"/>
                <w:color w:val="auto"/>
              </w:rPr>
            </w:pPr>
          </w:p>
        </w:tc>
        <w:tc>
          <w:tcPr>
            <w:tcW w:w="25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tc>
      </w:tr>
      <w:tr>
        <w:trPr>
          <w:trHeight w:val="211"/>
        </w:trPr>
        <w:tc>
          <w:tcPr>
            <w:tcW w:w="1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 Michael Daniel,</w:t>
            </w:r>
          </w:p>
        </w:tc>
        <w:tc>
          <w:tcPr>
            <w:tcW w:w="2520" w:type="dxa"/>
            <w:vAlign w:val="bottom"/>
          </w:tcPr>
          <w:p>
            <w:pPr>
              <w:spacing w:after="0"/>
              <w:rPr>
                <w:sz w:val="18"/>
                <w:szCs w:val="18"/>
                <w:color w:val="auto"/>
              </w:rPr>
            </w:pPr>
          </w:p>
        </w:tc>
      </w:tr>
    </w:tbl>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200" w:lineRule="exact"/>
        <w:rPr>
          <w:sz w:val="20"/>
          <w:szCs w:val="20"/>
          <w:color w:val="auto"/>
        </w:rPr>
      </w:pPr>
    </w:p>
    <w:p>
      <w:pPr>
        <w:spacing w:after="0" w:line="219" w:lineRule="exact"/>
        <w:rPr>
          <w:sz w:val="20"/>
          <w:szCs w:val="20"/>
          <w:color w:val="auto"/>
        </w:rPr>
      </w:pPr>
    </w:p>
    <w:p>
      <w:pPr>
        <w:ind w:right="100"/>
        <w:spacing w:after="0" w:line="284" w:lineRule="auto"/>
        <w:rPr>
          <w:sz w:val="20"/>
          <w:szCs w:val="20"/>
          <w:color w:val="auto"/>
        </w:rPr>
      </w:pPr>
      <w:r>
        <w:rPr>
          <w:rFonts w:ascii="Times New Roman" w:cs="Times New Roman" w:eastAsia="Times New Roman" w:hAnsi="Times New Roman"/>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6AFB66"/>
    <w:multiLevelType w:val="hybridMultilevel"/>
    <w:lvl w:ilvl="0">
      <w:lvlJc w:val="left"/>
      <w:lvlText w:val="☒"/>
      <w:numFmt w:val="bullet"/>
      <w:start w:val="1"/>
    </w:lvl>
  </w:abstractNum>
  <w:abstractNum w:abstractNumId="1">
    <w:nsid w:val="25E45D32"/>
    <w:multiLevelType w:val="hybridMultilevel"/>
    <w:lvl w:ilvl="0">
      <w:lvlJc w:val="left"/>
      <w:lvlText w:val="☐"/>
      <w:numFmt w:val="bullet"/>
      <w:start w:val="1"/>
    </w:lvl>
  </w:abstractNum>
  <w:abstractNum w:abstractNumId="2">
    <w:nsid w:val="519B500D"/>
    <w:multiLevelType w:val="hybridMultilevel"/>
    <w:lvl w:ilvl="0">
      <w:lvlJc w:val="left"/>
      <w:lvlText w:val="%1."/>
      <w:numFmt w:val="decimal"/>
      <w:start w:val="1"/>
    </w:lvl>
  </w:abstractNum>
  <w:abstractNum w:abstractNumId="3">
    <w:nsid w:val="431BD7B7"/>
    <w:multiLevelType w:val="hybridMultilevel"/>
    <w:lvl w:ilvl="0">
      <w:lvlJc w:val="left"/>
      <w:lvlText w:val="$"/>
      <w:numFmt w:val="bullet"/>
      <w:start w:val="1"/>
    </w:lvl>
  </w:abstractNum>
  <w:abstractNum w:abstractNumId="4">
    <w:nsid w:val="3F2DBA31"/>
    <w:multiLevelType w:val="hybridMultilevel"/>
    <w:lvl w:ilvl="0">
      <w:lvlJc w:val="left"/>
      <w:lvlText w:val="$"/>
      <w:numFmt w:val="bullet"/>
      <w:start w:val="1"/>
    </w:lvl>
  </w:abstractNum>
  <w:abstractNum w:abstractNumId="5">
    <w:nsid w:val="7C83E458"/>
    <w:multiLevelType w:val="hybridMultilevel"/>
    <w:lvl w:ilvl="0">
      <w:lvlJc w:val="left"/>
      <w:lvlText w:val="●"/>
      <w:numFmt w:val="bullet"/>
      <w:start w:val="1"/>
    </w:lvl>
  </w:abstractNum>
  <w:abstractNum w:abstractNumId="6">
    <w:nsid w:val="257130A3"/>
    <w:multiLevelType w:val="hybridMultilevel"/>
    <w:lvl w:ilvl="0">
      <w:lvlJc w:val="left"/>
      <w:lvlText w:val="$"/>
      <w:numFmt w:val="bullet"/>
      <w:start w:val="1"/>
    </w:lvl>
  </w:abstractNum>
  <w:abstractNum w:abstractNumId="7">
    <w:nsid w:val="62BBD95A"/>
    <w:multiLevelType w:val="hybridMultilevel"/>
    <w:lvl w:ilvl="0">
      <w:lvlJc w:val="left"/>
      <w:lvlText w:val="$"/>
      <w:numFmt w:val="bullet"/>
      <w:start w:val="1"/>
    </w:lvl>
  </w:abstractNum>
  <w:abstractNum w:abstractNumId="8">
    <w:nsid w:val="436C6125"/>
    <w:multiLevelType w:val="hybridMultilevel"/>
    <w:lvl w:ilvl="0">
      <w:lvlJc w:val="left"/>
      <w:lvlText w:val="(%1)"/>
      <w:numFmt w:val="decimal"/>
      <w:start w:val="1"/>
    </w:lvl>
  </w:abstractNum>
  <w:abstractNum w:abstractNumId="9">
    <w:nsid w:val="628C895D"/>
    <w:multiLevelType w:val="hybridMultilevel"/>
    <w:lvl w:ilvl="0">
      <w:lvlJc w:val="left"/>
      <w:lvlText w:val="$"/>
      <w:numFmt w:val="bullet"/>
      <w:start w:val="1"/>
    </w:lvl>
  </w:abstractNum>
  <w:abstractNum w:abstractNumId="10">
    <w:nsid w:val="333AB105"/>
    <w:multiLevelType w:val="hybridMultilevel"/>
    <w:lvl w:ilvl="0">
      <w:lvlJc w:val="left"/>
      <w:lvlText w:val="$"/>
      <w:numFmt w:val="bullet"/>
      <w:start w:val="1"/>
    </w:lvl>
  </w:abstractNum>
  <w:abstractNum w:abstractNumId="11">
    <w:nsid w:val="721DA317"/>
    <w:multiLevelType w:val="hybridMultilevel"/>
    <w:lvl w:ilvl="0">
      <w:lvlJc w:val="left"/>
      <w:lvlText w:val="$"/>
      <w:numFmt w:val="bullet"/>
      <w:start w:val="1"/>
    </w:lvl>
  </w:abstractNum>
  <w:abstractNum w:abstractNumId="12">
    <w:nsid w:val="2443A858"/>
    <w:multiLevelType w:val="hybridMultilevel"/>
    <w:lvl w:ilvl="0">
      <w:lvlJc w:val="left"/>
      <w:lvlText w:val="$"/>
      <w:numFmt w:val="bullet"/>
      <w:start w:val="1"/>
    </w:lvl>
  </w:abstractNum>
  <w:abstractNum w:abstractNumId="13">
    <w:nsid w:val="2D1D5AE9"/>
    <w:multiLevelType w:val="hybridMultilevel"/>
    <w:lvl w:ilvl="0">
      <w:lvlJc w:val="left"/>
      <w:lvlText w:val="$"/>
      <w:numFmt w:val="bullet"/>
      <w:start w:val="1"/>
    </w:lvl>
  </w:abstractNum>
  <w:abstractNum w:abstractNumId="14">
    <w:nsid w:val="6763845E"/>
    <w:multiLevelType w:val="hybridMultilevel"/>
    <w:lvl w:ilvl="0">
      <w:lvlJc w:val="left"/>
      <w:lvlText w:val="$"/>
      <w:numFmt w:val="bullet"/>
      <w:start w:val="1"/>
    </w:lvl>
  </w:abstractNum>
  <w:abstractNum w:abstractNumId="15">
    <w:nsid w:val="75A2A8D4"/>
    <w:multiLevelType w:val="hybridMultilevel"/>
    <w:lvl w:ilvl="0">
      <w:lvlJc w:val="left"/>
      <w:lvlText w:val="$"/>
      <w:numFmt w:val="bullet"/>
      <w:start w:val="1"/>
    </w:lvl>
  </w:abstractNum>
  <w:abstractNum w:abstractNumId="16">
    <w:nsid w:val="8EDBDAB"/>
    <w:multiLevelType w:val="hybridMultilevel"/>
    <w:lvl w:ilvl="0">
      <w:lvlJc w:val="left"/>
      <w:lvlText w:val="$"/>
      <w:numFmt w:val="bullet"/>
      <w:start w:val="1"/>
    </w:lvl>
  </w:abstractNum>
  <w:abstractNum w:abstractNumId="17">
    <w:nsid w:val="79838CB2"/>
    <w:multiLevelType w:val="hybridMultilevel"/>
    <w:lvl w:ilvl="0">
      <w:lvlJc w:val="left"/>
      <w:lvlText w:val="●"/>
      <w:numFmt w:val="bullet"/>
      <w:start w:val="1"/>
    </w:lvl>
  </w:abstractNum>
  <w:abstractNum w:abstractNumId="18">
    <w:nsid w:val="4353D0CD"/>
    <w:multiLevelType w:val="hybridMultilevel"/>
    <w:lvl w:ilvl="0">
      <w:lvlJc w:val="left"/>
      <w:lvlText w:val="(%1)"/>
      <w:numFmt w:val="decimal"/>
      <w:start w:val="1"/>
    </w:lvl>
  </w:abstractNum>
  <w:abstractNum w:abstractNumId="19">
    <w:nsid w:val="B03E0C6"/>
    <w:multiLevelType w:val="hybridMultilevel"/>
    <w:lvl w:ilvl="0">
      <w:lvlJc w:val="left"/>
      <w:lvlText w:val="•"/>
      <w:numFmt w:val="bullet"/>
      <w:start w:val="1"/>
    </w:lvl>
  </w:abstractNum>
  <w:abstractNum w:abstractNumId="20">
    <w:nsid w:val="189A769B"/>
    <w:multiLevelType w:val="hybridMultilevel"/>
    <w:lvl w:ilvl="0">
      <w:lvlJc w:val="left"/>
      <w:lvlText w:val="(%1)"/>
      <w:numFmt w:val="decimal"/>
      <w:start w:val="1"/>
    </w:lvl>
  </w:abstractNum>
  <w:abstractNum w:abstractNumId="21">
    <w:nsid w:val="54E49EB4"/>
    <w:multiLevelType w:val="hybridMultilevel"/>
    <w:lvl w:ilvl="0">
      <w:lvlJc w:val="left"/>
      <w:lvlText w:val="(%1)"/>
      <w:numFmt w:val="decimal"/>
      <w:start w:val="1"/>
    </w:lvl>
  </w:abstractNum>
  <w:abstractNum w:abstractNumId="22">
    <w:nsid w:val="71F32454"/>
    <w:multiLevelType w:val="hybridMultilevel"/>
    <w:lvl w:ilvl="0">
      <w:lvlJc w:val="left"/>
      <w:lvlText w:val="(%1)"/>
      <w:numFmt w:val="decimal"/>
      <w:start w:val="1"/>
    </w:lvl>
  </w:abstractNum>
  <w:abstractNum w:abstractNumId="23">
    <w:nsid w:val="2CA88611"/>
    <w:multiLevelType w:val="hybridMultilevel"/>
    <w:lvl w:ilvl="0">
      <w:lvlJc w:val="left"/>
      <w:lvlText w:val="(%1)"/>
      <w:numFmt w:val="decimal"/>
      <w:start w:val="1"/>
    </w:lvl>
  </w:abstractNum>
  <w:abstractNum w:abstractNumId="24">
    <w:nsid w:val="836C40E"/>
    <w:multiLevelType w:val="hybridMultilevel"/>
    <w:lvl w:ilvl="0">
      <w:lvlJc w:val="left"/>
      <w:lvlText w:val="●"/>
      <w:numFmt w:val="bullet"/>
      <w:start w:val="1"/>
    </w:lvl>
  </w:abstractNum>
  <w:abstractNum w:abstractNumId="25">
    <w:nsid w:val="2901D82"/>
    <w:multiLevelType w:val="hybridMultilevel"/>
    <w:lvl w:ilvl="0">
      <w:lvlJc w:val="left"/>
      <w:lvlText w:val="(%1)"/>
      <w:numFmt w:val="decimal"/>
      <w:start w:val="3"/>
    </w:lvl>
  </w:abstractNum>
  <w:abstractNum w:abstractNumId="26">
    <w:nsid w:val="3A95F874"/>
    <w:multiLevelType w:val="hybridMultilevel"/>
    <w:lvl w:ilvl="0">
      <w:lvlJc w:val="left"/>
      <w:lvlText w:val="(%1)"/>
      <w:numFmt w:val="decimal"/>
      <w:start w:val="1"/>
    </w:lvl>
  </w:abstractNum>
  <w:abstractNum w:abstractNumId="27">
    <w:nsid w:val="8138641"/>
    <w:multiLevelType w:val="hybridMultilevel"/>
    <w:lvl w:ilvl="0">
      <w:lvlJc w:val="left"/>
      <w:lvlText w:val="%1."/>
      <w:numFmt w:val="lowerLetter"/>
      <w:start w:val="1"/>
    </w:lvl>
  </w:abstractNum>
  <w:abstractNum w:abstractNumId="28">
    <w:nsid w:val="1E7FF521"/>
    <w:multiLevelType w:val="hybridMultilevel"/>
    <w:lvl w:ilvl="0">
      <w:lvlJc w:val="left"/>
      <w:lvlText w:val="%1."/>
      <w:numFmt w:val="decimal"/>
      <w:start w:val="1"/>
    </w:lvl>
    <w:lvl w:ilvl="1">
      <w:lvlJc w:val="left"/>
      <w:lvlText w:val="%2)"/>
      <w:numFmt w:val="lowerLetter"/>
      <w:start w:val="1"/>
    </w:lvl>
  </w:abstractNum>
  <w:abstractNum w:abstractNumId="29">
    <w:nsid w:val="7C3DBD3D"/>
    <w:multiLevelType w:val="hybridMultilevel"/>
    <w:lvl w:ilvl="0">
      <w:lvlJc w:val="left"/>
      <w:lvlText w:val="%1."/>
      <w:numFmt w:val="decimal"/>
      <w:start w:val="1"/>
    </w:lvl>
    <w:lvl w:ilvl="1">
      <w:lvlJc w:val="left"/>
      <w:lvlText w:val="%2)"/>
      <w:numFmt w:val="lowerLetter"/>
      <w:start w:val="1"/>
    </w:lvl>
  </w:abstractNum>
  <w:abstractNum w:abstractNumId="30">
    <w:nsid w:val="737B8DDC"/>
    <w:multiLevelType w:val="hybridMultilevel"/>
    <w:lvl w:ilvl="0">
      <w:lvlJc w:val="left"/>
      <w:lvlText w:val="%1."/>
      <w:numFmt w:val="decimal"/>
      <w:start w:val="1"/>
    </w:lvl>
  </w:abstractNum>
  <w:abstractNum w:abstractNumId="31">
    <w:nsid w:val="6CEAF08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90" Type="http://schemas.openxmlformats.org/officeDocument/2006/relationships/image" Target="media/image82.png"/><Relationship Id="rId91" Type="http://schemas.openxmlformats.org/officeDocument/2006/relationships/image" Target="media/image83.png"/><Relationship Id="rId92" Type="http://schemas.openxmlformats.org/officeDocument/2006/relationships/image" Target="media/image84.png"/><Relationship Id="rId93" Type="http://schemas.openxmlformats.org/officeDocument/2006/relationships/image" Target="media/image85.png"/><Relationship Id="rId94" Type="http://schemas.openxmlformats.org/officeDocument/2006/relationships/image" Target="media/image86.png"/><Relationship Id="rId89" Type="http://schemas.openxmlformats.org/officeDocument/2006/relationships/hyperlink" Target="http://www.sec.gov/Archives/edgar/data/0000010329/000143774921000856/ex_22125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2022-06-30T08:09:59Z</dcterms:created>
  <dcterms:modified xsi:type="dcterms:W3CDTF">2022-06-30T08:09:59Z</dcterms:modified>
</cp:coreProperties>
</file>