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 Michael Daniel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Vice President and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Bassett Furniture Industries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3525 Fairystone Park Highway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Bassett, Virginia 24055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Bassett Furniture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Industries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November 25,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25,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000-00209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J. Michael Daniel: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Form 10-K for the Fiscal Year Ended November 25,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19. Segment Information, page 58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We note your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disclosures regarding your new reportable segment "Corporate and other"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pages 3, 14, and 58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which includes other business activities that you aggregate with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other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insignificant operating segment. We further note your disclosure that Noa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Home does not meet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requirements to be a separate reportable segment. Please tell us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how you concluded these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corporate business activities are a reportable segment under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ASC 280-10-50-1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also qualifies for aggregation. Additionally, refer to the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280-10-55-3 and 4.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guidance in ASC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We note your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reconciliation of income (loss) from continuing operations to consolidated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operations. Please revise to reconcile the total of the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income (loss) from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reportable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measures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segments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profit or loss to consolidated income before income taxes,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 discontinued operations. Refer to ASC 280-10-50-30b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extraordinary items,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ASC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J. Michael Daniel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280-10-55-49.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Bassett Furniture Industries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10, 2024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2023 Annual Report to Security Holders filed on February 5, 2024. We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note your disclosures of several non-GAAP financial measures including adjusted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from operations, adjusted net income, and adjusted diluted income per share.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in future filings to comply with all non-GAAP rules, including, but not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to, a reconciliation to the most directly comparable GAAP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Stephany Yang at 202-551-3167 or Melissa Gilmore at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202-551-3777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LastNameJ. Michael Daniel</w:t>
            </w:r>
          </w:p>
        </w:tc>
        <w:tc>
          <w:tcPr>
            <w:tcW w:w="1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NameBassett Furniture Industries Inc.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10,</w:t>
            </w:r>
          </w:p>
        </w:tc>
        <w:tc>
          <w:tcPr>
            <w:tcW w:w="45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Page 2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2024-05-24T23:10:14Z</dcterms:created>
  <dcterms:modified xsi:type="dcterms:W3CDTF">2024-05-24T23:10:14Z</dcterms:modified>
</cp:coreProperties>
</file>