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500"/>
          </w:cols>
          <w:pgMar w:left="320" w:top="754"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5.07. Submission of Matters to a Vote of Security Holders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2025 annual meeting of shareholders was held on March 12, 2025. As of the record date for the meeting, the Company had 8,788,356 of common stock outstanding, each of which is entitled to one vote. According to the final voting results, all director nominees were elected.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The voting tabulation was as follows:</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00" w:type="dxa"/>
            <w:vAlign w:val="bottom"/>
          </w:tcPr>
          <w:p>
            <w:pPr>
              <w:spacing w:after="0"/>
              <w:rPr>
                <w:sz w:val="24"/>
                <w:szCs w:val="24"/>
                <w:color w:val="auto"/>
              </w:rPr>
            </w:pPr>
          </w:p>
        </w:tc>
        <w:tc>
          <w:tcPr>
            <w:tcW w:w="15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7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32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0" w:type="dxa"/>
            <w:vAlign w:val="bottom"/>
          </w:tcPr>
          <w:p>
            <w:pPr>
              <w:spacing w:after="0"/>
              <w:rPr>
                <w:sz w:val="20"/>
                <w:szCs w:val="20"/>
                <w:color w:val="auto"/>
              </w:rPr>
            </w:pPr>
          </w:p>
        </w:tc>
        <w:tc>
          <w:tcPr>
            <w:tcW w:w="15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7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4"/>
              </w:rPr>
              <w:t>Vote</w:t>
            </w:r>
          </w:p>
        </w:tc>
      </w:tr>
      <w:tr>
        <w:trPr>
          <w:trHeight w:val="209"/>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5,080,658</w:t>
            </w:r>
          </w:p>
        </w:tc>
        <w:tc>
          <w:tcPr>
            <w:tcW w:w="1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220,784</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John R. Belk</w:t>
            </w: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5,085,678</w:t>
            </w:r>
          </w:p>
        </w:tc>
        <w:tc>
          <w:tcPr>
            <w:tcW w:w="1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215,764</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Kristina Cashman</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5,032,106</w:t>
            </w:r>
          </w:p>
        </w:tc>
        <w:tc>
          <w:tcPr>
            <w:tcW w:w="1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269,336</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Virginia W. Hamlet</w:t>
            </w: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5,018,974</w:t>
            </w:r>
          </w:p>
        </w:tc>
        <w:tc>
          <w:tcPr>
            <w:tcW w:w="1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282,468</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Walter McDowell</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5,060,382</w:t>
            </w:r>
          </w:p>
        </w:tc>
        <w:tc>
          <w:tcPr>
            <w:tcW w:w="1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241,060</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5,048,016</w:t>
            </w:r>
          </w:p>
        </w:tc>
        <w:tc>
          <w:tcPr>
            <w:tcW w:w="1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253,426</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Wampler, Jr.</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4,937,710</w:t>
            </w:r>
          </w:p>
        </w:tc>
        <w:tc>
          <w:tcPr>
            <w:tcW w:w="1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363,732</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William C. Warden, Jr.</w:t>
            </w: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4,936,728</w:t>
            </w:r>
          </w:p>
        </w:tc>
        <w:tc>
          <w:tcPr>
            <w:tcW w:w="1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364,714</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2,042,785</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shareholders also voted on three proposals:</w:t>
      </w:r>
    </w:p>
    <w:p>
      <w:pPr>
        <w:spacing w:after="0" w:line="225" w:lineRule="exact"/>
        <w:rPr>
          <w:sz w:val="20"/>
          <w:szCs w:val="20"/>
          <w:color w:val="auto"/>
        </w:rPr>
      </w:pPr>
    </w:p>
    <w:p>
      <w:pPr>
        <w:ind w:right="3140" w:firstLine="332"/>
        <w:spacing w:after="0" w:line="514"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Ernst &amp; Young LLP as the Company’s Independent Registered Public Accounting Firm. The final tabulation was as follows:</w:t>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36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0" w:type="dxa"/>
            <w:vAlign w:val="bottom"/>
          </w:tcPr>
          <w:p>
            <w:pPr>
              <w:spacing w:after="0"/>
              <w:rPr>
                <w:sz w:val="20"/>
                <w:szCs w:val="20"/>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Vote</w:t>
            </w:r>
          </w:p>
        </w:tc>
      </w:tr>
      <w:tr>
        <w:trPr>
          <w:trHeight w:val="209"/>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Ernst &amp; Young LLP</w:t>
            </w:r>
          </w:p>
        </w:tc>
        <w:tc>
          <w:tcPr>
            <w:tcW w:w="2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7,205,397</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103,753</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35,077</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100" w:firstLine="332"/>
        <w:spacing w:after="0" w:line="514"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on an advisory vote regarding the approval of the compensation paid to certain executive officers. The final tabulation was as follows:</w:t>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0" w:type="dxa"/>
            <w:vAlign w:val="bottom"/>
          </w:tcPr>
          <w:p>
            <w:pPr>
              <w:spacing w:after="0"/>
              <w:rPr>
                <w:sz w:val="1"/>
                <w:szCs w:val="1"/>
                <w:color w:val="auto"/>
              </w:rPr>
            </w:pPr>
          </w:p>
        </w:tc>
      </w:tr>
      <w:tr>
        <w:trPr>
          <w:trHeight w:val="238"/>
        </w:trPr>
        <w:tc>
          <w:tcPr>
            <w:tcW w:w="36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0" w:type="dxa"/>
            <w:vAlign w:val="bottom"/>
          </w:tcPr>
          <w:p>
            <w:pPr>
              <w:spacing w:after="0"/>
              <w:rPr>
                <w:sz w:val="20"/>
                <w:szCs w:val="20"/>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Vote</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Approval of Officer Compensation</w:t>
            </w:r>
          </w:p>
        </w:tc>
        <w:tc>
          <w:tcPr>
            <w:tcW w:w="2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5,155,674</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80,494</w:t>
            </w: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65,274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332"/>
        <w:spacing w:after="0" w:line="514"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on an advisory vote regarding the frequency of shareholder approval of the compensation paid to certain executive officers. The final tabulation was as follows:</w:t>
      </w: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0" w:type="dxa"/>
            <w:vAlign w:val="bottom"/>
          </w:tcPr>
          <w:p>
            <w:pPr>
              <w:spacing w:after="0"/>
              <w:rPr>
                <w:sz w:val="1"/>
                <w:szCs w:val="1"/>
                <w:color w:val="auto"/>
              </w:rPr>
            </w:pPr>
          </w:p>
        </w:tc>
      </w:tr>
      <w:tr>
        <w:trPr>
          <w:trHeight w:val="238"/>
        </w:trPr>
        <w:tc>
          <w:tcPr>
            <w:tcW w:w="45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4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Frequency of Approval of Officer Compensation</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4,595,490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616,996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77,220</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2,042,785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By:/s/ J. Michael Daniel</w:t>
            </w:r>
          </w:p>
        </w:tc>
      </w:tr>
      <w:tr>
        <w:trPr>
          <w:trHeight w:val="191"/>
        </w:trPr>
        <w:tc>
          <w:tcPr>
            <w:tcW w:w="50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50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 Chief Financial Officer</w:t>
            </w:r>
          </w:p>
        </w:tc>
      </w:tr>
    </w:tbl>
    <w:p>
      <w:pPr>
        <w:spacing w:after="0" w:line="1" w:lineRule="exact"/>
        <w:rPr>
          <w:sz w:val="20"/>
          <w:szCs w:val="20"/>
          <w:color w:val="auto"/>
        </w:rPr>
      </w:pPr>
    </w:p>
    <w:sectPr>
      <w:pgSz w:w="11900" w:h="16838" w:orient="portrait"/>
      <w:cols w:equalWidth="0" w:num="1">
        <w:col w:w="10920"/>
      </w:cols>
      <w:pgMar w:left="320" w:top="5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2025-03-13T15:38:04Z</dcterms:created>
  <dcterms:modified xsi:type="dcterms:W3CDTF">2025-03-13T15:38:04Z</dcterms:modified>
</cp:coreProperties>
</file>