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3" w:lineRule="exact"/>
        <w:rPr>
          <w:sz w:val="24"/>
          <w:szCs w:val="24"/>
          <w:color w:val="auto"/>
        </w:rPr>
      </w:pPr>
    </w:p>
    <w:p>
      <w:pPr>
        <w:jc w:val="center"/>
        <w:ind w:right="-31"/>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31"/>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2674620</wp:posOffset>
            </wp:positionH>
            <wp:positionV relativeFrom="paragraph">
              <wp:posOffset>175895</wp:posOffset>
            </wp:positionV>
            <wp:extent cx="1783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p>
      <w:pPr>
        <w:jc w:val="center"/>
        <w:ind w:right="-31"/>
        <w:spacing w:after="0"/>
        <w:rPr>
          <w:sz w:val="20"/>
          <w:szCs w:val="20"/>
          <w:color w:val="auto"/>
        </w:rPr>
      </w:pPr>
      <w:r>
        <w:rPr>
          <w:rFonts w:ascii="Times New Roman" w:cs="Times New Roman" w:eastAsia="Times New Roman" w:hAnsi="Times New Roman"/>
          <w:sz w:val="22"/>
          <w:szCs w:val="22"/>
          <w:b w:val="1"/>
          <w:bCs w:val="1"/>
          <w:color w:val="auto"/>
        </w:rPr>
        <w:t xml:space="preserve">FORM </w:t>
      </w:r>
      <w:r>
        <w:rPr>
          <w:rFonts w:ascii="Times New Roman" w:cs="Times New Roman" w:eastAsia="Times New Roman" w:hAnsi="Times New Roman"/>
          <w:sz w:val="22"/>
          <w:szCs w:val="22"/>
          <w:color w:val="auto"/>
        </w:rPr>
        <w:t>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2674620</wp:posOffset>
            </wp:positionH>
            <wp:positionV relativeFrom="paragraph">
              <wp:posOffset>184785</wp:posOffset>
            </wp:positionV>
            <wp:extent cx="1783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3" w:lineRule="exact"/>
        <w:rPr>
          <w:sz w:val="24"/>
          <w:szCs w:val="24"/>
          <w:color w:val="auto"/>
        </w:rPr>
      </w:pPr>
    </w:p>
    <w:p>
      <w:pPr>
        <w:jc w:val="center"/>
        <w:ind w:right="-31"/>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ind w:right="-31"/>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ind w:right="-31"/>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31"/>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13,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2674620</wp:posOffset>
            </wp:positionH>
            <wp:positionV relativeFrom="paragraph">
              <wp:posOffset>328295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171"/>
        <w:spacing w:after="0"/>
        <w:rPr>
          <w:sz w:val="20"/>
          <w:szCs w:val="20"/>
          <w:color w:val="auto"/>
        </w:rPr>
      </w:pPr>
      <w:r>
        <w:rPr>
          <w:rFonts w:ascii="Times New Roman" w:cs="Times New Roman" w:eastAsia="Times New Roman" w:hAnsi="Times New Roman"/>
          <w:sz w:val="28"/>
          <w:szCs w:val="28"/>
          <w:b w:val="1"/>
          <w:bCs w:val="1"/>
          <w:color w:val="auto"/>
        </w:rPr>
        <w:t>BASSETT FURNITURE INDUSTRIES, INCORPORATED</w:t>
      </w:r>
    </w:p>
    <w:p>
      <w:pPr>
        <w:spacing w:after="0" w:line="55" w:lineRule="exact"/>
        <w:rPr>
          <w:sz w:val="24"/>
          <w:szCs w:val="24"/>
          <w:color w:val="auto"/>
        </w:rPr>
      </w:pPr>
    </w:p>
    <w:p>
      <w:pPr>
        <w:jc w:val="center"/>
        <w:ind w:right="-171"/>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2674620</wp:posOffset>
            </wp:positionH>
            <wp:positionV relativeFrom="paragraph">
              <wp:posOffset>175895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212"/>
          </w:cols>
          <w:pgMar w:left="328" w:top="648" w:right="359" w:bottom="1440" w:gutter="0" w:footer="0" w:header="0"/>
        </w:sectPr>
      </w:pPr>
    </w:p>
    <w:p>
      <w:pPr>
        <w:spacing w:after="0" w:line="200" w:lineRule="exact"/>
        <w:rPr>
          <w:sz w:val="24"/>
          <w:szCs w:val="24"/>
          <w:color w:val="auto"/>
        </w:rPr>
      </w:pPr>
    </w:p>
    <w:p>
      <w:pPr>
        <w:spacing w:after="0" w:line="343" w:lineRule="exact"/>
        <w:rPr>
          <w:sz w:val="24"/>
          <w:szCs w:val="24"/>
          <w:color w:val="auto"/>
        </w:rPr>
      </w:pPr>
    </w:p>
    <w:p>
      <w:pPr>
        <w:ind w:left="1512"/>
        <w:spacing w:after="0"/>
        <w:rPr>
          <w:sz w:val="20"/>
          <w:szCs w:val="20"/>
          <w:color w:val="auto"/>
        </w:rPr>
      </w:pPr>
      <w:r>
        <w:rPr>
          <w:rFonts w:ascii="Times New Roman" w:cs="Times New Roman" w:eastAsia="Times New Roman" w:hAnsi="Times New Roman"/>
          <w:sz w:val="18"/>
          <w:szCs w:val="18"/>
          <w:color w:val="auto"/>
        </w:rPr>
        <w:t>Virginia</w:t>
      </w:r>
    </w:p>
    <w:p>
      <w:pPr>
        <w:spacing w:after="0" w:line="27" w:lineRule="exact"/>
        <w:rPr>
          <w:sz w:val="24"/>
          <w:szCs w:val="24"/>
          <w:color w:val="auto"/>
        </w:rPr>
      </w:pPr>
    </w:p>
    <w:p>
      <w:pPr>
        <w:ind w:left="672"/>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9" w:lineRule="exact"/>
        <w:rPr>
          <w:sz w:val="24"/>
          <w:szCs w:val="24"/>
          <w:color w:val="auto"/>
        </w:rPr>
      </w:pPr>
    </w:p>
    <w:p>
      <w:pPr>
        <w:ind w:left="632"/>
        <w:spacing w:after="0"/>
        <w:rPr>
          <w:sz w:val="20"/>
          <w:szCs w:val="20"/>
          <w:color w:val="auto"/>
        </w:rPr>
      </w:pPr>
      <w:r>
        <w:rPr>
          <w:rFonts w:ascii="Times New Roman" w:cs="Times New Roman" w:eastAsia="Times New Roman" w:hAnsi="Times New Roman"/>
          <w:sz w:val="17"/>
          <w:szCs w:val="17"/>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9" w:lineRule="exact"/>
        <w:rPr>
          <w:sz w:val="24"/>
          <w:szCs w:val="24"/>
          <w:color w:val="auto"/>
        </w:rPr>
      </w:pPr>
    </w:p>
    <w:p>
      <w:pPr>
        <w:jc w:val="center"/>
        <w:ind w:right="1520"/>
        <w:spacing w:after="0"/>
        <w:rPr>
          <w:sz w:val="20"/>
          <w:szCs w:val="20"/>
          <w:color w:val="auto"/>
        </w:rPr>
      </w:pPr>
      <w:r>
        <w:rPr>
          <w:rFonts w:ascii="Times New Roman" w:cs="Times New Roman" w:eastAsia="Times New Roman" w:hAnsi="Times New Roman"/>
          <w:sz w:val="18"/>
          <w:szCs w:val="18"/>
          <w:b w:val="1"/>
          <w:bCs w:val="1"/>
          <w:color w:val="auto"/>
        </w:rPr>
        <w:t>000-00209</w:t>
      </w:r>
    </w:p>
    <w:p>
      <w:pPr>
        <w:spacing w:after="0" w:line="31" w:lineRule="exact"/>
        <w:rPr>
          <w:sz w:val="24"/>
          <w:szCs w:val="24"/>
          <w:color w:val="auto"/>
        </w:rPr>
      </w:pPr>
    </w:p>
    <w:p>
      <w:pPr>
        <w:jc w:val="center"/>
        <w:ind w:right="1520"/>
        <w:spacing w:after="0"/>
        <w:rPr>
          <w:sz w:val="20"/>
          <w:szCs w:val="20"/>
          <w:color w:val="auto"/>
        </w:rPr>
      </w:pPr>
      <w:r>
        <w:rPr>
          <w:rFonts w:ascii="Times New Roman" w:cs="Times New Roman" w:eastAsia="Times New Roman" w:hAnsi="Times New Roman"/>
          <w:sz w:val="18"/>
          <w:szCs w:val="18"/>
          <w:b w:val="1"/>
          <w:bCs w:val="1"/>
          <w:color w:val="auto"/>
        </w:rPr>
        <w:t>(Commission File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9"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54-0135270</w:t>
      </w:r>
    </w:p>
    <w:p>
      <w:pPr>
        <w:spacing w:after="0" w:line="31"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7"/>
          <w:szCs w:val="17"/>
          <w:b w:val="1"/>
          <w:bCs w:val="1"/>
          <w:color w:val="auto"/>
        </w:rPr>
        <w:t>Identification No.)</w:t>
      </w:r>
    </w:p>
    <w:p>
      <w:pPr>
        <w:spacing w:after="0" w:line="200" w:lineRule="exact"/>
        <w:rPr>
          <w:sz w:val="24"/>
          <w:szCs w:val="24"/>
          <w:color w:val="auto"/>
        </w:rPr>
      </w:pPr>
    </w:p>
    <w:p>
      <w:pPr>
        <w:sectPr>
          <w:pgSz w:w="11900" w:h="16838" w:orient="portrait"/>
          <w:cols w:equalWidth="0" w:num="3">
            <w:col w:w="4052" w:space="720"/>
            <w:col w:w="3240" w:space="720"/>
            <w:col w:w="2480"/>
          </w:cols>
          <w:pgMar w:left="328" w:top="648" w:right="359" w:bottom="1440" w:gutter="0" w:footer="0" w:header="0"/>
          <w:type w:val="continuous"/>
        </w:sectPr>
      </w:pPr>
    </w:p>
    <w:p>
      <w:pPr>
        <w:spacing w:after="0" w:line="14" w:lineRule="exact"/>
        <w:rPr>
          <w:sz w:val="24"/>
          <w:szCs w:val="24"/>
          <w:color w:val="auto"/>
        </w:rPr>
      </w:pPr>
    </w:p>
    <w:p>
      <w:pPr>
        <w:jc w:val="center"/>
        <w:ind w:right="1388"/>
        <w:spacing w:after="0"/>
        <w:rPr>
          <w:sz w:val="20"/>
          <w:szCs w:val="20"/>
          <w:color w:val="auto"/>
        </w:rPr>
      </w:pPr>
      <w:r>
        <w:rPr>
          <w:rFonts w:ascii="Times New Roman" w:cs="Times New Roman" w:eastAsia="Times New Roman" w:hAnsi="Times New Roman"/>
          <w:sz w:val="18"/>
          <w:szCs w:val="18"/>
          <w:b w:val="1"/>
          <w:bCs w:val="1"/>
          <w:color w:val="auto"/>
        </w:rPr>
        <w:t>3525 Fairystone Park Highway</w:t>
      </w:r>
    </w:p>
    <w:p>
      <w:pPr>
        <w:spacing w:after="0" w:line="31" w:lineRule="exact"/>
        <w:rPr>
          <w:sz w:val="24"/>
          <w:szCs w:val="24"/>
          <w:color w:val="auto"/>
        </w:rPr>
      </w:pPr>
    </w:p>
    <w:p>
      <w:pPr>
        <w:jc w:val="center"/>
        <w:ind w:right="1388"/>
        <w:spacing w:after="0"/>
        <w:rPr>
          <w:sz w:val="20"/>
          <w:szCs w:val="20"/>
          <w:color w:val="auto"/>
        </w:rPr>
      </w:pPr>
      <w:r>
        <w:rPr>
          <w:rFonts w:ascii="Times New Roman" w:cs="Times New Roman" w:eastAsia="Times New Roman" w:hAnsi="Times New Roman"/>
          <w:sz w:val="18"/>
          <w:szCs w:val="18"/>
          <w:b w:val="1"/>
          <w:bCs w:val="1"/>
          <w:color w:val="auto"/>
        </w:rPr>
        <w:t>Bassett, Virginia</w:t>
      </w:r>
    </w:p>
    <w:p>
      <w:pPr>
        <w:spacing w:after="0" w:line="9" w:lineRule="exact"/>
        <w:rPr>
          <w:sz w:val="24"/>
          <w:szCs w:val="24"/>
          <w:color w:val="auto"/>
        </w:rPr>
      </w:pPr>
    </w:p>
    <w:p>
      <w:pPr>
        <w:jc w:val="center"/>
        <w:ind w:right="1388"/>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8"/>
          <w:szCs w:val="18"/>
          <w:b w:val="1"/>
          <w:bCs w:val="1"/>
          <w:color w:val="auto"/>
        </w:rPr>
        <w:t>24055</w:t>
      </w:r>
    </w:p>
    <w:p>
      <w:pPr>
        <w:spacing w:after="0" w:line="31"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8"/>
          <w:szCs w:val="18"/>
          <w:b w:val="1"/>
          <w:bCs w:val="1"/>
          <w:color w:val="auto"/>
        </w:rPr>
        <w:t>(Zip Code)</w:t>
      </w:r>
    </w:p>
    <w:p>
      <w:pPr>
        <w:spacing w:after="0" w:line="200" w:lineRule="exact"/>
        <w:rPr>
          <w:sz w:val="24"/>
          <w:szCs w:val="24"/>
          <w:color w:val="auto"/>
        </w:rPr>
      </w:pPr>
    </w:p>
    <w:p>
      <w:pPr>
        <w:sectPr>
          <w:pgSz w:w="11900" w:h="16838" w:orient="portrait"/>
          <w:cols w:equalWidth="0" w:num="2">
            <w:col w:w="7572" w:space="720"/>
            <w:col w:w="2920"/>
          </w:cols>
          <w:pgMar w:left="328" w:top="648" w:right="359" w:bottom="1440" w:gutter="0" w:footer="0" w:header="0"/>
          <w:type w:val="continuous"/>
        </w:sectPr>
      </w:pPr>
    </w:p>
    <w:p>
      <w:pPr>
        <w:spacing w:after="0" w:line="3" w:lineRule="exact"/>
        <w:rPr>
          <w:sz w:val="24"/>
          <w:szCs w:val="24"/>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telephone number, including area code (276) 629-6000</w:t>
      </w:r>
    </w:p>
    <w:p>
      <w:pPr>
        <w:spacing w:after="0" w:line="225" w:lineRule="exact"/>
        <w:rPr>
          <w:sz w:val="24"/>
          <w:szCs w:val="24"/>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ind w:left="152"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32" w:hanging="332"/>
        <w:spacing w:after="0"/>
        <w:tabs>
          <w:tab w:leader="none" w:pos="33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32" w:hanging="332"/>
        <w:spacing w:after="0"/>
        <w:tabs>
          <w:tab w:leader="none" w:pos="33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32" w:hanging="332"/>
        <w:spacing w:after="0"/>
        <w:tabs>
          <w:tab w:leader="none" w:pos="33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152" w:right="2840" w:hanging="152"/>
        <w:spacing w:after="0" w:line="500" w:lineRule="auto"/>
        <w:tabs>
          <w:tab w:leader="none" w:pos="33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332" w:type="dxa"/>
        <w:tblCellMar>
          <w:top w:w="0" w:type="dxa"/>
          <w:left w:w="0" w:type="dxa"/>
          <w:bottom w:w="0" w:type="dxa"/>
          <w:right w:w="0" w:type="dxa"/>
        </w:tblCellMar>
      </w:tblPr>
      <w:tr>
        <w:trPr>
          <w:trHeight w:val="234"/>
        </w:trPr>
        <w:tc>
          <w:tcPr>
            <w:tcW w:w="3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00" w:type="dxa"/>
            <w:vAlign w:val="bottom"/>
          </w:tcPr>
          <w:p>
            <w:pPr>
              <w:spacing w:after="0"/>
              <w:rPr>
                <w:sz w:val="20"/>
                <w:szCs w:val="20"/>
                <w:color w:val="auto"/>
              </w:rPr>
            </w:pPr>
          </w:p>
        </w:tc>
        <w:tc>
          <w:tcPr>
            <w:tcW w:w="3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w:t>
            </w:r>
          </w:p>
        </w:tc>
        <w:tc>
          <w:tcPr>
            <w:tcW w:w="180" w:type="dxa"/>
            <w:vAlign w:val="bottom"/>
          </w:tcPr>
          <w:p>
            <w:pPr>
              <w:spacing w:after="0"/>
              <w:rPr>
                <w:sz w:val="20"/>
                <w:szCs w:val="20"/>
                <w:color w:val="auto"/>
              </w:rPr>
            </w:pPr>
          </w:p>
        </w:tc>
        <w:tc>
          <w:tcPr>
            <w:tcW w:w="3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exchange on which registered</w:t>
            </w:r>
          </w:p>
        </w:tc>
      </w:tr>
      <w:tr>
        <w:trPr>
          <w:trHeight w:val="228"/>
        </w:trPr>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($5.00 par value)</w:t>
            </w:r>
          </w:p>
        </w:tc>
        <w:tc>
          <w:tcPr>
            <w:tcW w:w="200" w:type="dxa"/>
            <w:vAlign w:val="bottom"/>
          </w:tcPr>
          <w:p>
            <w:pPr>
              <w:spacing w:after="0"/>
              <w:rPr>
                <w:sz w:val="19"/>
                <w:szCs w:val="19"/>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BSET</w:t>
            </w:r>
          </w:p>
        </w:tc>
        <w:tc>
          <w:tcPr>
            <w:tcW w:w="180" w:type="dxa"/>
            <w:vAlign w:val="bottom"/>
          </w:tcPr>
          <w:p>
            <w:pPr>
              <w:spacing w:after="0"/>
              <w:rPr>
                <w:sz w:val="19"/>
                <w:szCs w:val="19"/>
                <w:color w:val="auto"/>
              </w:rPr>
            </w:pPr>
          </w:p>
        </w:tc>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w:t>
            </w:r>
          </w:p>
        </w:tc>
      </w:tr>
    </w:tbl>
    <w:p>
      <w:pPr>
        <w:spacing w:after="0" w:line="179" w:lineRule="exact"/>
        <w:rPr>
          <w:sz w:val="24"/>
          <w:szCs w:val="24"/>
          <w:color w:val="auto"/>
        </w:rPr>
      </w:pPr>
    </w:p>
    <w:p>
      <w:pPr>
        <w:ind w:left="152" w:right="1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121" w:lineRule="exact"/>
        <w:rPr>
          <w:sz w:val="24"/>
          <w:szCs w:val="24"/>
          <w:color w:val="auto"/>
        </w:rPr>
      </w:pPr>
    </w:p>
    <w:p>
      <w:pPr>
        <w:ind w:left="152"/>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152"/>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342900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648" w:right="359" w:bottom="1440" w:gutter="0" w:footer="0" w:header="0"/>
          <w:type w:val="continuous"/>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13, 2025, Bassett Furniture Industries issued a news release relating to the declaration of a quarterly dividend of $0.20 per share of common stock payable on May 30, 2025, to shareholders of record at the close of business on May 16, 2025. A copy of the news release is attached to the report as Exhibit 99.</w:t>
      </w:r>
    </w:p>
    <w:p>
      <w:pPr>
        <w:spacing w:after="0" w:line="200" w:lineRule="exact"/>
        <w:rPr>
          <w:sz w:val="20"/>
          <w:szCs w:val="20"/>
          <w:color w:val="auto"/>
        </w:rPr>
      </w:pPr>
    </w:p>
    <w:p>
      <w:pPr>
        <w:spacing w:after="0" w:line="21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News release issued by Bassett Furniture Industries, Inc. on March 13, 2025.</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right="800" w:firstLine="16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March 13, 2025</w:t>
            </w:r>
          </w:p>
        </w:tc>
        <w:tc>
          <w:tcPr>
            <w:tcW w:w="6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  /s/ J. Michael Daniel</w:t>
            </w:r>
          </w:p>
        </w:tc>
      </w:tr>
      <w:tr>
        <w:trPr>
          <w:trHeight w:val="191"/>
        </w:trPr>
        <w:tc>
          <w:tcPr>
            <w:tcW w:w="5020" w:type="dxa"/>
            <w:vAlign w:val="bottom"/>
          </w:tcPr>
          <w:p>
            <w:pPr>
              <w:spacing w:after="0"/>
              <w:rPr>
                <w:sz w:val="16"/>
                <w:szCs w:val="16"/>
                <w:color w:val="auto"/>
              </w:rPr>
            </w:pPr>
          </w:p>
        </w:tc>
        <w:tc>
          <w:tcPr>
            <w:tcW w:w="622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J. Michael Daniel</w:t>
            </w:r>
          </w:p>
        </w:tc>
      </w:tr>
      <w:tr>
        <w:trPr>
          <w:trHeight w:val="234"/>
        </w:trPr>
        <w:tc>
          <w:tcPr>
            <w:tcW w:w="5020" w:type="dxa"/>
            <w:vAlign w:val="bottom"/>
          </w:tcPr>
          <w:p>
            <w:pPr>
              <w:spacing w:after="0"/>
              <w:rPr>
                <w:sz w:val="20"/>
                <w:szCs w:val="20"/>
                <w:color w:val="auto"/>
              </w:rPr>
            </w:pPr>
          </w:p>
        </w:tc>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Title:Senior Vice President – Chief Financial &amp; Administrative Officer</w:t>
            </w:r>
          </w:p>
        </w:tc>
      </w:tr>
    </w:tbl>
    <w:p>
      <w:pPr>
        <w:sectPr>
          <w:pgSz w:w="11900" w:h="16838" w:orient="portrait"/>
          <w:cols w:equalWidth="0" w:num="1">
            <w:col w:w="11240"/>
          </w:cols>
          <w:pgMar w:left="320" w:top="58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Exhibit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1122680" cy="3683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22680" cy="3683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Bassett Furniture Industries,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 Box 626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Bassett, VA 24055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J. Michael Daniel, Senior Vice</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President - Chief Financial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&amp; Administrative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(276) 629-6614 - Investors</w:t>
      </w:r>
    </w:p>
    <w:p>
      <w:pPr>
        <w:spacing w:after="0" w:line="200" w:lineRule="exact"/>
        <w:rPr>
          <w:sz w:val="20"/>
          <w:szCs w:val="20"/>
          <w:color w:val="auto"/>
        </w:rPr>
      </w:pPr>
    </w:p>
    <w:p>
      <w:pPr>
        <w:sectPr>
          <w:pgSz w:w="11900" w:h="16838" w:orient="portrait"/>
          <w:cols w:equalWidth="0" w:num="2">
            <w:col w:w="4900" w:space="720"/>
            <w:col w:w="5620"/>
          </w:cols>
          <w:pgMar w:left="320" w:top="121" w:right="339" w:bottom="1440" w:gutter="0" w:footer="0" w:header="0"/>
          <w:type w:val="continuous"/>
        </w:sectPr>
      </w:pPr>
    </w:p>
    <w:p>
      <w:pPr>
        <w:spacing w:after="0" w:line="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Peter D. Morrison, Vice President of Communications</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For Immediate Release</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(276) 629-6387 – Media</w:t>
      </w:r>
    </w:p>
    <w:p>
      <w:pPr>
        <w:sectPr>
          <w:pgSz w:w="11900" w:h="16838" w:orient="portrait"/>
          <w:cols w:equalWidth="0" w:num="1">
            <w:col w:w="11240"/>
          </w:cols>
          <w:pgMar w:left="320" w:top="121" w:right="339" w:bottom="1440" w:gutter="0" w:footer="0" w:header="0"/>
          <w:type w:val="continuous"/>
        </w:sectPr>
      </w:pP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40"/>
          <w:szCs w:val="40"/>
          <w:b w:val="1"/>
          <w:bCs w:val="1"/>
          <w:color w:val="auto"/>
        </w:rPr>
        <w:t>Bassett Furniture News Release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b w:val="1"/>
          <w:bCs w:val="1"/>
          <w:color w:val="auto"/>
        </w:rPr>
        <w:t>Bassett Announces Regular Quarterly Dividend</w:t>
      </w:r>
    </w:p>
    <w:p>
      <w:pPr>
        <w:spacing w:after="0" w:line="2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(Bassett, Va.) – March 13, 2025–Bassett Furniture Industries, Inc. (Nasdaq: BSET) announced today that its Board of Directors has declared a regular quarterly dividend of $0.20 per share of common stock, payable on May 30, 2025, to shareholders of record at the close of business on May 16,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About Bassett Furniture Industries, Inc.</w:t>
      </w:r>
    </w:p>
    <w:p>
      <w:pPr>
        <w:spacing w:after="0" w:line="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Bassett Furniture Industries, Inc. (NASDAQ:BSET), is a leading manufacturer and marketer of high quality home furnishings. With 87 company- and licensee-owned stores at the time of this release, Bassett has leveraged its strong brand name in furniture into a network of corporate and licensed stores that focus on providing consumers with a friendly environment for buying furniture and accessories. Bassett’s retail strategy includes stylish, custom-built furniture that features the latest on-trend furniture styles, free in-home design visits, and coordinated decorating accessories. Bassett also has a traditional wholesale business with more than 700 accounts on the open market, across the United States. For more information, visit the Company’s website at bassettfurniture.com. (BSET-E)</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sectPr>
      <w:pgSz w:w="11900" w:h="16838" w:orient="portrait"/>
      <w:cols w:equalWidth="0" w:num="1">
        <w:col w:w="11240"/>
      </w:cols>
      <w:pgMar w:left="320" w:top="12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99"/>
    </w:lvl>
  </w:abstractNum>
  <w:abstractNum w:abstractNumId="2">
    <w:nsid w:val="19495CFF"/>
    <w:multiLevelType w:val="hybridMultilevel"/>
    <w:lvl w:ilvl="0">
      <w:lvlJc w:val="left"/>
      <w:lvlText w:val="%1"/>
      <w:numFmt w:val="decimal"/>
      <w:start w:val="10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2025-03-13T10:18:08Z</dcterms:created>
  <dcterms:modified xsi:type="dcterms:W3CDTF">2025-03-13T10:18:08Z</dcterms:modified>
</cp:coreProperties>
</file>