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59"/>
        <w:spacing w:after="0"/>
        <w:rPr>
          <w:sz w:val="20"/>
          <w:szCs w:val="20"/>
          <w:color w:val="auto"/>
        </w:rPr>
      </w:pPr>
      <w:r>
        <w:rPr>
          <w:rFonts w:ascii="Times New Roman" w:cs="Times New Roman" w:eastAsia="Times New Roman" w:hAnsi="Times New Roman"/>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328930</wp:posOffset>
            </wp:positionV>
            <wp:extent cx="7132320" cy="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389255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9" w:lineRule="exact"/>
        <w:rPr>
          <w:sz w:val="24"/>
          <w:szCs w:val="24"/>
          <w:color w:val="auto"/>
        </w:rPr>
      </w:pPr>
    </w:p>
    <w:p>
      <w:pPr>
        <w:jc w:val="center"/>
        <w:ind w:right="-159"/>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spacing w:after="0" w:line="3" w:lineRule="exact"/>
        <w:rPr>
          <w:sz w:val="24"/>
          <w:szCs w:val="24"/>
          <w:color w:val="auto"/>
        </w:rPr>
      </w:pPr>
    </w:p>
    <w:p>
      <w:pPr>
        <w:jc w:val="center"/>
        <w:ind w:right="-159"/>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175895</wp:posOffset>
            </wp:positionV>
            <wp:extent cx="178308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00" w:lineRule="exact"/>
        <w:rPr>
          <w:sz w:val="24"/>
          <w:szCs w:val="24"/>
          <w:color w:val="auto"/>
        </w:rPr>
      </w:pPr>
    </w:p>
    <w:p>
      <w:pPr>
        <w:spacing w:after="0" w:line="294" w:lineRule="exact"/>
        <w:rPr>
          <w:sz w:val="24"/>
          <w:szCs w:val="24"/>
          <w:color w:val="auto"/>
        </w:rPr>
      </w:pPr>
    </w:p>
    <w:p>
      <w:pPr>
        <w:jc w:val="center"/>
        <w:ind w:right="-159"/>
        <w:spacing w:after="0"/>
        <w:rPr>
          <w:sz w:val="20"/>
          <w:szCs w:val="20"/>
          <w:color w:val="auto"/>
        </w:rPr>
      </w:pPr>
      <w:r>
        <w:rPr>
          <w:rFonts w:ascii="Times New Roman" w:cs="Times New Roman" w:eastAsia="Times New Roman" w:hAnsi="Times New Roman"/>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199390</wp:posOffset>
            </wp:positionV>
            <wp:extent cx="178308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00" w:lineRule="exact"/>
        <w:rPr>
          <w:sz w:val="24"/>
          <w:szCs w:val="24"/>
          <w:color w:val="auto"/>
        </w:rPr>
      </w:pPr>
    </w:p>
    <w:p>
      <w:pPr>
        <w:spacing w:after="0" w:line="355" w:lineRule="exact"/>
        <w:rPr>
          <w:sz w:val="24"/>
          <w:szCs w:val="24"/>
          <w:color w:val="auto"/>
        </w:rPr>
      </w:pPr>
    </w:p>
    <w:p>
      <w:pPr>
        <w:jc w:val="center"/>
        <w:ind w:right="-159"/>
        <w:spacing w:after="0"/>
        <w:rPr>
          <w:sz w:val="20"/>
          <w:szCs w:val="20"/>
          <w:color w:val="auto"/>
        </w:rPr>
      </w:pPr>
      <w:r>
        <w:rPr>
          <w:rFonts w:ascii="Times New Roman" w:cs="Times New Roman" w:eastAsia="Times New Roman" w:hAnsi="Times New Roman"/>
          <w:sz w:val="18"/>
          <w:szCs w:val="18"/>
          <w:b w:val="1"/>
          <w:bCs w:val="1"/>
          <w:color w:val="auto"/>
        </w:rPr>
        <w:t>CURRENT REPORT</w:t>
      </w:r>
    </w:p>
    <w:p>
      <w:pPr>
        <w:spacing w:after="0" w:line="225" w:lineRule="exact"/>
        <w:rPr>
          <w:sz w:val="24"/>
          <w:szCs w:val="24"/>
          <w:color w:val="auto"/>
        </w:rPr>
      </w:pPr>
    </w:p>
    <w:p>
      <w:pPr>
        <w:jc w:val="center"/>
        <w:ind w:right="-159"/>
        <w:spacing w:after="0"/>
        <w:rPr>
          <w:sz w:val="20"/>
          <w:szCs w:val="20"/>
          <w:color w:val="auto"/>
        </w:rPr>
      </w:pPr>
      <w:r>
        <w:rPr>
          <w:rFonts w:ascii="Times New Roman" w:cs="Times New Roman" w:eastAsia="Times New Roman" w:hAnsi="Times New Roman"/>
          <w:sz w:val="18"/>
          <w:szCs w:val="18"/>
          <w:b w:val="1"/>
          <w:bCs w:val="1"/>
          <w:color w:val="auto"/>
        </w:rPr>
        <w:t>PURSUANT TO SECTION 13 OR 15(d) OF THE</w:t>
      </w:r>
    </w:p>
    <w:p>
      <w:pPr>
        <w:spacing w:after="0" w:line="31" w:lineRule="exact"/>
        <w:rPr>
          <w:sz w:val="24"/>
          <w:szCs w:val="24"/>
          <w:color w:val="auto"/>
        </w:rPr>
      </w:pPr>
    </w:p>
    <w:p>
      <w:pPr>
        <w:jc w:val="center"/>
        <w:ind w:right="-159"/>
        <w:spacing w:after="0"/>
        <w:rPr>
          <w:sz w:val="20"/>
          <w:szCs w:val="20"/>
          <w:color w:val="auto"/>
        </w:rPr>
      </w:pPr>
      <w:r>
        <w:rPr>
          <w:rFonts w:ascii="Times New Roman" w:cs="Times New Roman" w:eastAsia="Times New Roman" w:hAnsi="Times New Roman"/>
          <w:sz w:val="18"/>
          <w:szCs w:val="18"/>
          <w:b w:val="1"/>
          <w:bCs w:val="1"/>
          <w:color w:val="auto"/>
        </w:rPr>
        <w:t>SECURITIES EXCHANGE ACT OF 1934</w:t>
      </w:r>
    </w:p>
    <w:p>
      <w:pPr>
        <w:spacing w:after="0" w:line="203" w:lineRule="exact"/>
        <w:rPr>
          <w:sz w:val="24"/>
          <w:szCs w:val="24"/>
          <w:color w:val="auto"/>
        </w:rPr>
      </w:pPr>
    </w:p>
    <w:p>
      <w:pPr>
        <w:jc w:val="center"/>
        <w:ind w:right="-159"/>
        <w:spacing w:after="0"/>
        <w:rPr>
          <w:sz w:val="20"/>
          <w:szCs w:val="20"/>
          <w:color w:val="auto"/>
        </w:rPr>
      </w:pPr>
      <w:r>
        <w:rPr>
          <w:rFonts w:ascii="Times New Roman" w:cs="Times New Roman" w:eastAsia="Times New Roman" w:hAnsi="Times New Roman"/>
          <w:sz w:val="18"/>
          <w:szCs w:val="18"/>
          <w:b w:val="1"/>
          <w:bCs w:val="1"/>
          <w:color w:val="auto"/>
        </w:rPr>
        <w:t>Date of Report (Date of earliest event reported) September 29, 2022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191135</wp:posOffset>
            </wp:positionV>
            <wp:extent cx="178308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00" w:lineRule="exact"/>
        <w:rPr>
          <w:sz w:val="24"/>
          <w:szCs w:val="24"/>
          <w:color w:val="auto"/>
        </w:rPr>
      </w:pPr>
    </w:p>
    <w:p>
      <w:pPr>
        <w:spacing w:after="0" w:line="318" w:lineRule="exact"/>
        <w:rPr>
          <w:sz w:val="24"/>
          <w:szCs w:val="24"/>
          <w:color w:val="auto"/>
        </w:rPr>
      </w:pPr>
    </w:p>
    <w:p>
      <w:pPr>
        <w:jc w:val="center"/>
        <w:ind w:right="-159"/>
        <w:spacing w:after="0"/>
        <w:rPr>
          <w:sz w:val="20"/>
          <w:szCs w:val="20"/>
          <w:color w:val="auto"/>
        </w:rPr>
      </w:pPr>
      <w:r>
        <w:rPr>
          <w:rFonts w:ascii="Times New Roman" w:cs="Times New Roman" w:eastAsia="Times New Roman" w:hAnsi="Times New Roman"/>
          <w:sz w:val="32"/>
          <w:szCs w:val="32"/>
          <w:b w:val="1"/>
          <w:bCs w:val="1"/>
          <w:color w:val="auto"/>
        </w:rPr>
        <w:t>BASSETT FURNITURE INDUSTRIES, INCORPORATED</w:t>
      </w:r>
    </w:p>
    <w:p>
      <w:pPr>
        <w:spacing w:after="0" w:line="45" w:lineRule="exact"/>
        <w:rPr>
          <w:sz w:val="24"/>
          <w:szCs w:val="24"/>
          <w:color w:val="auto"/>
        </w:rPr>
      </w:pPr>
    </w:p>
    <w:p>
      <w:pPr>
        <w:jc w:val="center"/>
        <w:ind w:right="-159"/>
        <w:spacing w:after="0"/>
        <w:rPr>
          <w:sz w:val="20"/>
          <w:szCs w:val="20"/>
          <w:color w:val="auto"/>
        </w:rPr>
      </w:pPr>
      <w:r>
        <w:rPr>
          <w:rFonts w:ascii="Times New Roman" w:cs="Times New Roman" w:eastAsia="Times New Roman" w:hAnsi="Times New Roman"/>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175895</wp:posOffset>
            </wp:positionV>
            <wp:extent cx="178308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783080" cy="8890"/>
                    </a:xfrm>
                    <a:prstGeom prst="rect">
                      <a:avLst/>
                    </a:prstGeom>
                    <a:noFill/>
                  </pic:spPr>
                </pic:pic>
              </a:graphicData>
            </a:graphic>
          </wp:anchor>
        </w:drawing>
      </w:r>
    </w:p>
    <w:p>
      <w:pPr>
        <w:sectPr>
          <w:pgSz w:w="11900" w:h="16838" w:orient="portrait"/>
          <w:cols w:equalWidth="0" w:num="1">
            <w:col w:w="11080"/>
          </w:cols>
          <w:pgMar w:left="320" w:top="848" w:right="499" w:bottom="1440" w:gutter="0" w:footer="0" w:header="0"/>
        </w:sectPr>
      </w:pPr>
    </w:p>
    <w:p>
      <w:pPr>
        <w:spacing w:after="0" w:line="200" w:lineRule="exact"/>
        <w:rPr>
          <w:sz w:val="24"/>
          <w:szCs w:val="24"/>
          <w:color w:val="auto"/>
        </w:rPr>
      </w:pPr>
    </w:p>
    <w:p>
      <w:pPr>
        <w:spacing w:after="0" w:line="339" w:lineRule="exact"/>
        <w:rPr>
          <w:sz w:val="24"/>
          <w:szCs w:val="24"/>
          <w:color w:val="auto"/>
        </w:rPr>
      </w:pPr>
    </w:p>
    <w:p>
      <w:pPr>
        <w:ind w:left="2040"/>
        <w:spacing w:after="0"/>
        <w:rPr>
          <w:sz w:val="20"/>
          <w:szCs w:val="20"/>
          <w:color w:val="auto"/>
        </w:rPr>
      </w:pPr>
      <w:r>
        <w:rPr>
          <w:rFonts w:ascii="Times New Roman" w:cs="Times New Roman" w:eastAsia="Times New Roman" w:hAnsi="Times New Roman"/>
          <w:sz w:val="18"/>
          <w:szCs w:val="18"/>
          <w:b w:val="1"/>
          <w:bCs w:val="1"/>
          <w:color w:val="auto"/>
        </w:rPr>
        <w:t>Virginia</w:t>
      </w:r>
    </w:p>
    <w:p>
      <w:pPr>
        <w:spacing w:after="0" w:line="31" w:lineRule="exact"/>
        <w:rPr>
          <w:sz w:val="24"/>
          <w:szCs w:val="24"/>
          <w:color w:val="auto"/>
        </w:rPr>
      </w:pPr>
    </w:p>
    <w:p>
      <w:pPr>
        <w:ind w:left="1240"/>
        <w:spacing w:after="0"/>
        <w:rPr>
          <w:sz w:val="20"/>
          <w:szCs w:val="20"/>
          <w:color w:val="auto"/>
        </w:rPr>
      </w:pPr>
      <w:r>
        <w:rPr>
          <w:rFonts w:ascii="Times New Roman" w:cs="Times New Roman" w:eastAsia="Times New Roman" w:hAnsi="Times New Roman"/>
          <w:sz w:val="18"/>
          <w:szCs w:val="18"/>
          <w:b w:val="1"/>
          <w:bCs w:val="1"/>
          <w:color w:val="auto"/>
        </w:rPr>
        <w:t>(State or other jurisdiction of</w:t>
      </w:r>
    </w:p>
    <w:p>
      <w:pPr>
        <w:spacing w:after="0" w:line="9" w:lineRule="exact"/>
        <w:rPr>
          <w:sz w:val="24"/>
          <w:szCs w:val="24"/>
          <w:color w:val="auto"/>
        </w:rPr>
      </w:pPr>
    </w:p>
    <w:p>
      <w:pPr>
        <w:ind w:left="1180"/>
        <w:spacing w:after="0"/>
        <w:rPr>
          <w:sz w:val="20"/>
          <w:szCs w:val="20"/>
          <w:color w:val="auto"/>
        </w:rPr>
      </w:pPr>
      <w:r>
        <w:rPr>
          <w:rFonts w:ascii="Times New Roman" w:cs="Times New Roman" w:eastAsia="Times New Roman" w:hAnsi="Times New Roman"/>
          <w:sz w:val="18"/>
          <w:szCs w:val="18"/>
          <w:b w:val="1"/>
          <w:bCs w:val="1"/>
          <w:color w:val="auto"/>
        </w:rPr>
        <w:t>incorporation or organization)</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19" w:lineRule="exact"/>
        <w:rPr>
          <w:sz w:val="24"/>
          <w:szCs w:val="24"/>
          <w:color w:val="auto"/>
        </w:rPr>
      </w:pPr>
    </w:p>
    <w:p>
      <w:pPr>
        <w:jc w:val="center"/>
        <w:ind w:right="980"/>
        <w:spacing w:after="0"/>
        <w:rPr>
          <w:sz w:val="20"/>
          <w:szCs w:val="20"/>
          <w:color w:val="auto"/>
        </w:rPr>
      </w:pPr>
      <w:r>
        <w:rPr>
          <w:rFonts w:ascii="Times New Roman" w:cs="Times New Roman" w:eastAsia="Times New Roman" w:hAnsi="Times New Roman"/>
          <w:sz w:val="18"/>
          <w:szCs w:val="18"/>
          <w:b w:val="1"/>
          <w:bCs w:val="1"/>
          <w:color w:val="auto"/>
        </w:rPr>
        <w:t>000-00209</w:t>
      </w:r>
    </w:p>
    <w:p>
      <w:pPr>
        <w:spacing w:after="0" w:line="31" w:lineRule="exact"/>
        <w:rPr>
          <w:sz w:val="24"/>
          <w:szCs w:val="24"/>
          <w:color w:val="auto"/>
        </w:rPr>
      </w:pPr>
    </w:p>
    <w:p>
      <w:pPr>
        <w:jc w:val="center"/>
        <w:ind w:right="980"/>
        <w:spacing w:after="0"/>
        <w:rPr>
          <w:sz w:val="20"/>
          <w:szCs w:val="20"/>
          <w:color w:val="auto"/>
        </w:rPr>
      </w:pPr>
      <w:r>
        <w:rPr>
          <w:rFonts w:ascii="Times New Roman" w:cs="Times New Roman" w:eastAsia="Times New Roman" w:hAnsi="Times New Roman"/>
          <w:sz w:val="17"/>
          <w:szCs w:val="17"/>
          <w:b w:val="1"/>
          <w:bCs w:val="1"/>
          <w:color w:val="auto"/>
        </w:rPr>
        <w:t>(Commission File No.)</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19" w:lineRule="exact"/>
        <w:rPr>
          <w:sz w:val="24"/>
          <w:szCs w:val="24"/>
          <w:color w:val="auto"/>
        </w:rPr>
      </w:pPr>
    </w:p>
    <w:p>
      <w:pPr>
        <w:jc w:val="center"/>
        <w:ind w:right="560"/>
        <w:spacing w:after="0"/>
        <w:rPr>
          <w:sz w:val="20"/>
          <w:szCs w:val="20"/>
          <w:color w:val="auto"/>
        </w:rPr>
      </w:pPr>
      <w:r>
        <w:rPr>
          <w:rFonts w:ascii="Times New Roman" w:cs="Times New Roman" w:eastAsia="Times New Roman" w:hAnsi="Times New Roman"/>
          <w:sz w:val="18"/>
          <w:szCs w:val="18"/>
          <w:b w:val="1"/>
          <w:bCs w:val="1"/>
          <w:color w:val="auto"/>
        </w:rPr>
        <w:t>54-0135270</w:t>
      </w:r>
    </w:p>
    <w:p>
      <w:pPr>
        <w:spacing w:after="0" w:line="31" w:lineRule="exact"/>
        <w:rPr>
          <w:sz w:val="24"/>
          <w:szCs w:val="24"/>
          <w:color w:val="auto"/>
        </w:rPr>
      </w:pPr>
    </w:p>
    <w:p>
      <w:pPr>
        <w:jc w:val="center"/>
        <w:ind w:right="560"/>
        <w:spacing w:after="0"/>
        <w:rPr>
          <w:sz w:val="20"/>
          <w:szCs w:val="20"/>
          <w:color w:val="auto"/>
        </w:rPr>
      </w:pPr>
      <w:r>
        <w:rPr>
          <w:rFonts w:ascii="Times New Roman" w:cs="Times New Roman" w:eastAsia="Times New Roman" w:hAnsi="Times New Roman"/>
          <w:sz w:val="18"/>
          <w:szCs w:val="18"/>
          <w:b w:val="1"/>
          <w:bCs w:val="1"/>
          <w:color w:val="auto"/>
        </w:rPr>
        <w:t>(I.R.S. Employer</w:t>
      </w:r>
    </w:p>
    <w:p>
      <w:pPr>
        <w:spacing w:after="0" w:line="9" w:lineRule="exact"/>
        <w:rPr>
          <w:sz w:val="24"/>
          <w:szCs w:val="24"/>
          <w:color w:val="auto"/>
        </w:rPr>
      </w:pPr>
    </w:p>
    <w:p>
      <w:pPr>
        <w:jc w:val="center"/>
        <w:ind w:right="560"/>
        <w:spacing w:after="0"/>
        <w:rPr>
          <w:sz w:val="20"/>
          <w:szCs w:val="20"/>
          <w:color w:val="auto"/>
        </w:rPr>
      </w:pPr>
      <w:r>
        <w:rPr>
          <w:rFonts w:ascii="Times New Roman" w:cs="Times New Roman" w:eastAsia="Times New Roman" w:hAnsi="Times New Roman"/>
          <w:sz w:val="18"/>
          <w:szCs w:val="18"/>
          <w:b w:val="1"/>
          <w:bCs w:val="1"/>
          <w:color w:val="auto"/>
        </w:rPr>
        <w:t>Identification No.)</w:t>
      </w:r>
    </w:p>
    <w:p>
      <w:pPr>
        <w:spacing w:after="0" w:line="200" w:lineRule="exact"/>
        <w:rPr>
          <w:sz w:val="24"/>
          <w:szCs w:val="24"/>
          <w:color w:val="auto"/>
        </w:rPr>
      </w:pPr>
    </w:p>
    <w:p>
      <w:pPr>
        <w:sectPr>
          <w:pgSz w:w="11900" w:h="16838" w:orient="portrait"/>
          <w:cols w:equalWidth="0" w:num="3">
            <w:col w:w="4980" w:space="720"/>
            <w:col w:w="2680" w:space="720"/>
            <w:col w:w="1980"/>
          </w:cols>
          <w:pgMar w:left="320" w:top="848" w:right="499" w:bottom="1440" w:gutter="0" w:footer="0" w:header="0"/>
          <w:type w:val="continuous"/>
        </w:sectPr>
      </w:pPr>
    </w:p>
    <w:p>
      <w:pPr>
        <w:spacing w:after="0" w:line="3" w:lineRule="exact"/>
        <w:rPr>
          <w:sz w:val="24"/>
          <w:szCs w:val="24"/>
          <w:color w:val="auto"/>
        </w:rPr>
      </w:pPr>
    </w:p>
    <w:p>
      <w:pPr>
        <w:jc w:val="center"/>
        <w:ind w:left="420"/>
        <w:spacing w:after="0"/>
        <w:rPr>
          <w:sz w:val="20"/>
          <w:szCs w:val="20"/>
          <w:color w:val="auto"/>
        </w:rPr>
      </w:pPr>
      <w:r>
        <w:rPr>
          <w:rFonts w:ascii="Times New Roman" w:cs="Times New Roman" w:eastAsia="Times New Roman" w:hAnsi="Times New Roman"/>
          <w:sz w:val="18"/>
          <w:szCs w:val="18"/>
          <w:b w:val="1"/>
          <w:bCs w:val="1"/>
          <w:color w:val="auto"/>
        </w:rPr>
        <w:t>3525 Fairystone Park Highway</w:t>
      </w:r>
    </w:p>
    <w:p>
      <w:pPr>
        <w:spacing w:after="0" w:line="31" w:lineRule="exact"/>
        <w:rPr>
          <w:sz w:val="24"/>
          <w:szCs w:val="24"/>
          <w:color w:val="auto"/>
        </w:rPr>
      </w:pPr>
    </w:p>
    <w:p>
      <w:pPr>
        <w:jc w:val="center"/>
        <w:ind w:left="420"/>
        <w:spacing w:after="0"/>
        <w:rPr>
          <w:sz w:val="20"/>
          <w:szCs w:val="20"/>
          <w:color w:val="auto"/>
        </w:rPr>
      </w:pPr>
      <w:r>
        <w:rPr>
          <w:rFonts w:ascii="Times New Roman" w:cs="Times New Roman" w:eastAsia="Times New Roman" w:hAnsi="Times New Roman"/>
          <w:sz w:val="18"/>
          <w:szCs w:val="18"/>
          <w:b w:val="1"/>
          <w:bCs w:val="1"/>
          <w:color w:val="auto"/>
        </w:rPr>
        <w:t>Bassett, Virginia</w:t>
      </w:r>
    </w:p>
    <w:p>
      <w:pPr>
        <w:spacing w:after="0" w:line="9" w:lineRule="exact"/>
        <w:rPr>
          <w:sz w:val="24"/>
          <w:szCs w:val="24"/>
          <w:color w:val="auto"/>
        </w:rPr>
      </w:pPr>
    </w:p>
    <w:p>
      <w:pPr>
        <w:jc w:val="center"/>
        <w:ind w:left="420"/>
        <w:spacing w:after="0"/>
        <w:rPr>
          <w:sz w:val="20"/>
          <w:szCs w:val="20"/>
          <w:color w:val="auto"/>
        </w:rPr>
      </w:pPr>
      <w:r>
        <w:rPr>
          <w:rFonts w:ascii="Times New Roman" w:cs="Times New Roman" w:eastAsia="Times New Roman" w:hAnsi="Times New Roman"/>
          <w:sz w:val="18"/>
          <w:szCs w:val="18"/>
          <w:b w:val="1"/>
          <w:bCs w:val="1"/>
          <w:color w:val="auto"/>
        </w:rPr>
        <w:t>(Address of principal executive</w:t>
      </w:r>
    </w:p>
    <w:p>
      <w:pPr>
        <w:spacing w:after="0" w:line="9" w:lineRule="exact"/>
        <w:rPr>
          <w:sz w:val="24"/>
          <w:szCs w:val="24"/>
          <w:color w:val="auto"/>
        </w:rPr>
      </w:pPr>
    </w:p>
    <w:p>
      <w:pPr>
        <w:jc w:val="center"/>
        <w:ind w:left="420"/>
        <w:spacing w:after="0"/>
        <w:rPr>
          <w:sz w:val="20"/>
          <w:szCs w:val="20"/>
          <w:color w:val="auto"/>
        </w:rPr>
      </w:pPr>
      <w:r>
        <w:rPr>
          <w:rFonts w:ascii="Times New Roman" w:cs="Times New Roman" w:eastAsia="Times New Roman" w:hAnsi="Times New Roman"/>
          <w:sz w:val="18"/>
          <w:szCs w:val="18"/>
          <w:b w:val="1"/>
          <w:bCs w:val="1"/>
          <w:color w:val="auto"/>
        </w:rPr>
        <w:t>offices)</w:t>
      </w:r>
    </w:p>
    <w:p>
      <w:pPr>
        <w:spacing w:after="0" w:line="20" w:lineRule="exact"/>
        <w:rPr>
          <w:sz w:val="24"/>
          <w:szCs w:val="24"/>
          <w:color w:val="auto"/>
        </w:rPr>
      </w:pPr>
      <w:r>
        <w:rPr>
          <w:sz w:val="24"/>
          <w:szCs w:val="24"/>
          <w:color w:val="auto"/>
        </w:rPr>
        <w:br w:type="column"/>
      </w:r>
    </w:p>
    <w:p>
      <w:pPr>
        <w:spacing w:after="0" w:line="199" w:lineRule="exact"/>
        <w:rPr>
          <w:sz w:val="24"/>
          <w:szCs w:val="24"/>
          <w:color w:val="auto"/>
        </w:rPr>
      </w:pPr>
    </w:p>
    <w:p>
      <w:pPr>
        <w:jc w:val="center"/>
        <w:ind w:right="3460"/>
        <w:spacing w:after="0"/>
        <w:rPr>
          <w:sz w:val="20"/>
          <w:szCs w:val="20"/>
          <w:color w:val="auto"/>
        </w:rPr>
      </w:pPr>
      <w:r>
        <w:rPr>
          <w:rFonts w:ascii="Times New Roman" w:cs="Times New Roman" w:eastAsia="Times New Roman" w:hAnsi="Times New Roman"/>
          <w:sz w:val="18"/>
          <w:szCs w:val="18"/>
          <w:b w:val="1"/>
          <w:bCs w:val="1"/>
          <w:color w:val="auto"/>
        </w:rPr>
        <w:t>24055</w:t>
      </w:r>
    </w:p>
    <w:p>
      <w:pPr>
        <w:spacing w:after="0" w:line="31" w:lineRule="exact"/>
        <w:rPr>
          <w:sz w:val="24"/>
          <w:szCs w:val="24"/>
          <w:color w:val="auto"/>
        </w:rPr>
      </w:pPr>
    </w:p>
    <w:p>
      <w:pPr>
        <w:jc w:val="center"/>
        <w:ind w:right="3460"/>
        <w:spacing w:after="0"/>
        <w:rPr>
          <w:sz w:val="20"/>
          <w:szCs w:val="20"/>
          <w:color w:val="auto"/>
        </w:rPr>
      </w:pPr>
      <w:r>
        <w:rPr>
          <w:rFonts w:ascii="Times New Roman" w:cs="Times New Roman" w:eastAsia="Times New Roman" w:hAnsi="Times New Roman"/>
          <w:sz w:val="18"/>
          <w:szCs w:val="18"/>
          <w:b w:val="1"/>
          <w:bCs w:val="1"/>
          <w:color w:val="auto"/>
        </w:rPr>
        <w:t>(Zip Code)</w:t>
      </w:r>
    </w:p>
    <w:p>
      <w:pPr>
        <w:spacing w:after="0" w:line="415" w:lineRule="exact"/>
        <w:rPr>
          <w:sz w:val="24"/>
          <w:szCs w:val="24"/>
          <w:color w:val="auto"/>
        </w:rPr>
      </w:pPr>
    </w:p>
    <w:p>
      <w:pPr>
        <w:sectPr>
          <w:pgSz w:w="11900" w:h="16838" w:orient="portrait"/>
          <w:cols w:equalWidth="0" w:num="2">
            <w:col w:w="6060" w:space="720"/>
            <w:col w:w="4300"/>
          </w:cols>
          <w:pgMar w:left="320" w:top="848" w:right="499" w:bottom="1440" w:gutter="0" w:footer="0" w:header="0"/>
          <w:type w:val="continuous"/>
        </w:sectPr>
      </w:pPr>
    </w:p>
    <w:p>
      <w:pPr>
        <w:spacing w:after="0" w:line="3" w:lineRule="exact"/>
        <w:rPr>
          <w:sz w:val="24"/>
          <w:szCs w:val="24"/>
          <w:color w:val="auto"/>
        </w:rPr>
      </w:pPr>
    </w:p>
    <w:p>
      <w:pPr>
        <w:jc w:val="center"/>
        <w:ind w:right="-179"/>
        <w:spacing w:after="0"/>
        <w:rPr>
          <w:sz w:val="20"/>
          <w:szCs w:val="20"/>
          <w:color w:val="auto"/>
        </w:rPr>
      </w:pPr>
      <w:r>
        <w:rPr>
          <w:rFonts w:ascii="Times New Roman" w:cs="Times New Roman" w:eastAsia="Times New Roman" w:hAnsi="Times New Roman"/>
          <w:sz w:val="18"/>
          <w:szCs w:val="18"/>
          <w:b w:val="1"/>
          <w:bCs w:val="1"/>
          <w:color w:val="auto"/>
        </w:rPr>
        <w:t>Registrant</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s telephone number, including area code (276) 629-6000</w:t>
      </w:r>
    </w:p>
    <w:p>
      <w:pPr>
        <w:spacing w:after="0" w:line="225" w:lineRule="exact"/>
        <w:rPr>
          <w:sz w:val="24"/>
          <w:szCs w:val="24"/>
          <w:color w:val="auto"/>
        </w:rPr>
      </w:pPr>
    </w:p>
    <w:p>
      <w:pPr>
        <w:jc w:val="center"/>
        <w:ind w:right="-179"/>
        <w:spacing w:after="0"/>
        <w:rPr>
          <w:sz w:val="20"/>
          <w:szCs w:val="20"/>
          <w:color w:val="auto"/>
        </w:rPr>
      </w:pPr>
      <w:r>
        <w:rPr>
          <w:rFonts w:ascii="Times New Roman" w:cs="Times New Roman" w:eastAsia="Times New Roman" w:hAnsi="Times New Roman"/>
          <w:sz w:val="18"/>
          <w:szCs w:val="18"/>
          <w:b w:val="1"/>
          <w:bCs w:val="1"/>
          <w:color w:val="auto"/>
        </w:rPr>
        <w:t>(Former name or former address, if changed since last report)</w:t>
      </w:r>
    </w:p>
    <w:p>
      <w:pPr>
        <w:spacing w:after="0" w:line="229" w:lineRule="exact"/>
        <w:rPr>
          <w:sz w:val="24"/>
          <w:szCs w:val="24"/>
          <w:color w:val="auto"/>
        </w:rPr>
      </w:pPr>
    </w:p>
    <w:p>
      <w:pPr>
        <w:ind w:right="520"/>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162" w:lineRule="exact"/>
        <w:rPr>
          <w:sz w:val="24"/>
          <w:szCs w:val="24"/>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right="2820" w:firstLine="8"/>
        <w:spacing w:after="0" w:line="500" w:lineRule="auto"/>
        <w:tabs>
          <w:tab w:leader="none" w:pos="216"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13e-4(c) under the Exchange Act (17 CFR 240.13e-4(c)) Securities registered pursuant to Section 12(b) of the Act:</w:t>
      </w:r>
    </w:p>
    <w:p>
      <w:pPr>
        <w:spacing w:after="0" w:line="2" w:lineRule="exact"/>
        <w:rPr>
          <w:sz w:val="24"/>
          <w:szCs w:val="24"/>
          <w:color w:val="auto"/>
        </w:rPr>
      </w:pPr>
    </w:p>
    <w:tbl>
      <w:tblPr>
        <w:tblLayout w:type="fixed"/>
        <w:tblInd w:w="340" w:type="dxa"/>
        <w:tblCellMar>
          <w:top w:w="0" w:type="dxa"/>
          <w:left w:w="0" w:type="dxa"/>
          <w:bottom w:w="0" w:type="dxa"/>
          <w:right w:w="0" w:type="dxa"/>
        </w:tblCellMar>
      </w:tblPr>
      <w:tr>
        <w:trPr>
          <w:trHeight w:val="234"/>
        </w:trPr>
        <w:tc>
          <w:tcPr>
            <w:tcW w:w="34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Title of each class</w:t>
            </w:r>
          </w:p>
        </w:tc>
        <w:tc>
          <w:tcPr>
            <w:tcW w:w="280" w:type="dxa"/>
            <w:vAlign w:val="bottom"/>
          </w:tcPr>
          <w:p>
            <w:pPr>
              <w:spacing w:after="0"/>
              <w:rPr>
                <w:sz w:val="20"/>
                <w:szCs w:val="20"/>
                <w:color w:val="auto"/>
              </w:rPr>
            </w:pPr>
          </w:p>
        </w:tc>
        <w:tc>
          <w:tcPr>
            <w:tcW w:w="21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Trading Symbol</w:t>
            </w:r>
          </w:p>
        </w:tc>
        <w:tc>
          <w:tcPr>
            <w:tcW w:w="280" w:type="dxa"/>
            <w:vAlign w:val="bottom"/>
          </w:tcPr>
          <w:p>
            <w:pPr>
              <w:spacing w:after="0"/>
              <w:rPr>
                <w:sz w:val="20"/>
                <w:szCs w:val="20"/>
                <w:color w:val="auto"/>
              </w:rPr>
            </w:pPr>
          </w:p>
        </w:tc>
        <w:tc>
          <w:tcPr>
            <w:tcW w:w="33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Name of exchange on which registered</w:t>
            </w:r>
          </w:p>
        </w:tc>
      </w:tr>
      <w:tr>
        <w:trPr>
          <w:trHeight w:val="228"/>
        </w:trPr>
        <w:tc>
          <w:tcPr>
            <w:tcW w:w="342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Common Stock ($5.00 par value)</w:t>
            </w:r>
          </w:p>
        </w:tc>
        <w:tc>
          <w:tcPr>
            <w:tcW w:w="280" w:type="dxa"/>
            <w:vAlign w:val="bottom"/>
          </w:tcPr>
          <w:p>
            <w:pPr>
              <w:spacing w:after="0"/>
              <w:rPr>
                <w:sz w:val="19"/>
                <w:szCs w:val="19"/>
                <w:color w:val="auto"/>
              </w:rPr>
            </w:pPr>
          </w:p>
        </w:tc>
        <w:tc>
          <w:tcPr>
            <w:tcW w:w="21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BSET</w:t>
            </w:r>
          </w:p>
        </w:tc>
        <w:tc>
          <w:tcPr>
            <w:tcW w:w="280" w:type="dxa"/>
            <w:vAlign w:val="bottom"/>
          </w:tcPr>
          <w:p>
            <w:pPr>
              <w:spacing w:after="0"/>
              <w:rPr>
                <w:sz w:val="19"/>
                <w:szCs w:val="19"/>
                <w:color w:val="auto"/>
              </w:rPr>
            </w:pPr>
          </w:p>
        </w:tc>
        <w:tc>
          <w:tcPr>
            <w:tcW w:w="33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NASDAQ</w:t>
            </w:r>
          </w:p>
        </w:tc>
      </w:tr>
    </w:tbl>
    <w:p>
      <w:pPr>
        <w:spacing w:after="0" w:line="179" w:lineRule="exact"/>
        <w:rPr>
          <w:sz w:val="24"/>
          <w:szCs w:val="24"/>
          <w:color w:val="auto"/>
        </w:rPr>
      </w:pPr>
    </w:p>
    <w:p>
      <w:pPr>
        <w:ind w:right="120"/>
        <w:spacing w:after="0" w:line="282" w:lineRule="auto"/>
        <w:rPr>
          <w:sz w:val="20"/>
          <w:szCs w:val="20"/>
          <w:color w:val="auto"/>
        </w:rPr>
      </w:pPr>
      <w:r>
        <w:rPr>
          <w:rFonts w:ascii="Times New Roman" w:cs="Times New Roman" w:eastAsia="Times New Roman" w:hAnsi="Times New Roman"/>
          <w:sz w:val="18"/>
          <w:szCs w:val="18"/>
          <w:color w:val="auto"/>
        </w:rPr>
        <w:t>Indicate by check mark whether the registrant is an emerging growth company as defined in Rule 405 of the Securities Act of 1933 or Rule 12b-2 of the Securities Exchange Act of 1934.</w:t>
      </w:r>
    </w:p>
    <w:p>
      <w:pPr>
        <w:spacing w:after="0" w:line="133" w:lineRule="exact"/>
        <w:rPr>
          <w:sz w:val="24"/>
          <w:szCs w:val="24"/>
          <w:color w:val="auto"/>
        </w:rPr>
      </w:pPr>
    </w:p>
    <w:p>
      <w:pPr>
        <w:spacing w:after="0" w:line="207" w:lineRule="exact"/>
        <w:rPr>
          <w:sz w:val="20"/>
          <w:szCs w:val="20"/>
          <w:color w:val="auto"/>
        </w:rPr>
      </w:pPr>
      <w:r>
        <w:rPr>
          <w:rFonts w:ascii="Times New Roman" w:cs="Times New Roman" w:eastAsia="Times New Roman" w:hAnsi="Times New Roman"/>
          <w:sz w:val="18"/>
          <w:szCs w:val="18"/>
          <w:color w:val="auto"/>
        </w:rPr>
        <w:t xml:space="preserve">Emerging growth company </w:t>
      </w:r>
      <w:r>
        <w:rPr>
          <w:rFonts w:ascii="MS PGothic" w:cs="MS PGothic" w:eastAsia="MS PGothic" w:hAnsi="MS PGothic"/>
          <w:sz w:val="18"/>
          <w:szCs w:val="18"/>
          <w:color w:val="auto"/>
        </w:rPr>
        <w:t>☐</w:t>
      </w:r>
    </w:p>
    <w:p>
      <w:pPr>
        <w:spacing w:after="0" w:line="254" w:lineRule="exact"/>
        <w:rPr>
          <w:sz w:val="24"/>
          <w:szCs w:val="24"/>
          <w:color w:val="auto"/>
        </w:rPr>
      </w:pPr>
    </w:p>
    <w:p>
      <w:pPr>
        <w:spacing w:after="0" w:line="235"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159385</wp:posOffset>
            </wp:positionV>
            <wp:extent cx="713232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202565</wp:posOffset>
            </wp:positionV>
            <wp:extent cx="7132320" cy="254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622300</wp:posOffset>
            </wp:positionV>
            <wp:extent cx="71323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080"/>
          </w:cols>
          <w:pgMar w:left="320" w:top="848" w:right="499" w:bottom="1440" w:gutter="0" w:footer="0" w:header="0"/>
          <w:type w:val="continuous"/>
        </w:sectPr>
      </w:pPr>
    </w:p>
    <w:bookmarkStart w:id="1" w:name="page2"/>
    <w:bookmarkEnd w:id="1"/>
    <w:p>
      <w:pPr>
        <w:spacing w:after="0"/>
        <w:rPr>
          <w:sz w:val="20"/>
          <w:szCs w:val="20"/>
          <w:color w:val="auto"/>
        </w:rPr>
      </w:pPr>
      <w:r>
        <w:rPr>
          <w:rFonts w:ascii="Times New Roman" w:cs="Times New Roman" w:eastAsia="Times New Roman" w:hAnsi="Times New Roman"/>
          <w:sz w:val="18"/>
          <w:szCs w:val="18"/>
          <w:b w:val="1"/>
          <w:bCs w:val="1"/>
          <w:color w:val="auto"/>
        </w:rPr>
        <w:t>Item 2.02. Results of Operations and Financial Condition.</w:t>
      </w:r>
    </w:p>
    <w:p>
      <w:pPr>
        <w:spacing w:after="0" w:line="229"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On September 29, 2022, Bassett Furniture Industries issued a news release relating to the third quarter financial results for the fiscal year ending November 26, 2022. A copy of the news release announcing this information is attached to this report as Exhibit 99.</w:t>
      </w:r>
    </w:p>
    <w:p>
      <w:pPr>
        <w:spacing w:after="0" w:line="3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9.01. Financial Statements and Exhibits.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 Exhibits</w:t>
      </w:r>
    </w:p>
    <w:p>
      <w:pPr>
        <w:spacing w:after="0" w:line="225" w:lineRule="exact"/>
        <w:rPr>
          <w:sz w:val="20"/>
          <w:szCs w:val="20"/>
          <w:color w:val="auto"/>
        </w:rPr>
      </w:pPr>
    </w:p>
    <w:p>
      <w:pPr>
        <w:spacing w:after="0"/>
        <w:tabs>
          <w:tab w:leader="none" w:pos="640" w:val="left"/>
        </w:tabs>
        <w:rPr>
          <w:sz w:val="20"/>
          <w:szCs w:val="20"/>
          <w:color w:val="auto"/>
        </w:rPr>
      </w:pPr>
      <w:r>
        <w:rPr>
          <w:rFonts w:ascii="Times New Roman" w:cs="Times New Roman" w:eastAsia="Times New Roman" w:hAnsi="Times New Roman"/>
          <w:sz w:val="18"/>
          <w:szCs w:val="18"/>
          <w:color w:val="auto"/>
        </w:rPr>
        <w:t>99.1</w:t>
      </w:r>
      <w:r>
        <w:rPr>
          <w:sz w:val="20"/>
          <w:szCs w:val="20"/>
          <w:color w:val="auto"/>
        </w:rPr>
        <w:tab/>
      </w:r>
      <w:r>
        <w:rPr>
          <w:rFonts w:ascii="Times New Roman" w:cs="Times New Roman" w:eastAsia="Times New Roman" w:hAnsi="Times New Roman"/>
          <w:sz w:val="17"/>
          <w:szCs w:val="17"/>
          <w:u w:val="single" w:color="auto"/>
          <w:color w:val="0000EE"/>
        </w:rPr>
        <w:t>News Release issued by Bassett Furniture Industries, Inc. on September 29, 2022.</w:t>
      </w:r>
    </w:p>
    <w:p>
      <w:pPr>
        <w:spacing w:after="0" w:line="225" w:lineRule="exact"/>
        <w:rPr>
          <w:sz w:val="20"/>
          <w:szCs w:val="20"/>
          <w:color w:val="auto"/>
        </w:rPr>
      </w:pPr>
    </w:p>
    <w:p>
      <w:pPr>
        <w:spacing w:after="0"/>
        <w:tabs>
          <w:tab w:leader="none" w:pos="640" w:val="left"/>
        </w:tabs>
        <w:rPr>
          <w:sz w:val="20"/>
          <w:szCs w:val="20"/>
          <w:color w:val="auto"/>
        </w:rPr>
      </w:pPr>
      <w:r>
        <w:rPr>
          <w:rFonts w:ascii="Times New Roman" w:cs="Times New Roman" w:eastAsia="Times New Roman" w:hAnsi="Times New Roman"/>
          <w:sz w:val="18"/>
          <w:szCs w:val="18"/>
          <w:color w:val="auto"/>
        </w:rPr>
        <w:t>104</w:t>
      </w:r>
      <w:r>
        <w:rPr>
          <w:sz w:val="20"/>
          <w:szCs w:val="20"/>
          <w:color w:val="auto"/>
        </w:rPr>
        <w:tab/>
      </w:r>
      <w:r>
        <w:rPr>
          <w:rFonts w:ascii="Times New Roman" w:cs="Times New Roman" w:eastAsia="Times New Roman" w:hAnsi="Times New Roman"/>
          <w:sz w:val="18"/>
          <w:szCs w:val="18"/>
          <w:color w:val="auto"/>
        </w:rPr>
        <w:t>Cover Page Interactive Data File (embedded within the inline XBRL document).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377190</wp:posOffset>
            </wp:positionV>
            <wp:extent cx="713232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576" w:right="379" w:bottom="1440" w:gutter="0" w:footer="0" w:header="0"/>
        </w:sectPr>
      </w:pPr>
    </w:p>
    <w:bookmarkStart w:id="2" w:name="page3"/>
    <w:bookmarkEnd w:id="2"/>
    <w:p>
      <w:pPr>
        <w:jc w:val="center"/>
        <w:ind w:right="-319"/>
        <w:spacing w:after="0"/>
        <w:rPr>
          <w:sz w:val="20"/>
          <w:szCs w:val="20"/>
          <w:color w:val="auto"/>
        </w:rPr>
      </w:pPr>
      <w:r>
        <w:rPr>
          <w:rFonts w:ascii="Times New Roman" w:cs="Times New Roman" w:eastAsia="Times New Roman" w:hAnsi="Times New Roman"/>
          <w:sz w:val="18"/>
          <w:szCs w:val="18"/>
          <w:color w:val="auto"/>
        </w:rPr>
        <w:t>Signatures</w:t>
      </w:r>
    </w:p>
    <w:p>
      <w:pPr>
        <w:spacing w:after="0" w:line="225"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hereunto duly authorized.</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620" w:type="dxa"/>
            <w:vAlign w:val="bottom"/>
          </w:tcPr>
          <w:p>
            <w:pPr>
              <w:spacing w:after="0"/>
              <w:rPr>
                <w:sz w:val="20"/>
                <w:szCs w:val="20"/>
                <w:color w:val="auto"/>
              </w:rPr>
            </w:pPr>
          </w:p>
        </w:tc>
        <w:tc>
          <w:tcPr>
            <w:tcW w:w="4400" w:type="dxa"/>
            <w:vAlign w:val="bottom"/>
            <w:gridSpan w:val="2"/>
          </w:tcPr>
          <w:p>
            <w:pPr>
              <w:spacing w:after="0"/>
              <w:rPr>
                <w:sz w:val="20"/>
                <w:szCs w:val="20"/>
                <w:color w:val="auto"/>
              </w:rPr>
            </w:pPr>
            <w:r>
              <w:rPr>
                <w:rFonts w:ascii="Times New Roman" w:cs="Times New Roman" w:eastAsia="Times New Roman" w:hAnsi="Times New Roman"/>
                <w:sz w:val="18"/>
                <w:szCs w:val="18"/>
                <w:color w:val="auto"/>
                <w:w w:val="99"/>
              </w:rPr>
              <w:t>BASSETT FURNITURE INDUSTRIES, INCORPORATED</w:t>
            </w:r>
          </w:p>
        </w:tc>
      </w:tr>
      <w:tr>
        <w:trPr>
          <w:trHeight w:val="392"/>
        </w:trPr>
        <w:tc>
          <w:tcPr>
            <w:tcW w:w="5620" w:type="dxa"/>
            <w:vAlign w:val="bottom"/>
          </w:tcPr>
          <w:p>
            <w:pPr>
              <w:spacing w:after="0"/>
              <w:rPr>
                <w:sz w:val="20"/>
                <w:szCs w:val="20"/>
                <w:color w:val="auto"/>
              </w:rPr>
            </w:pPr>
            <w:r>
              <w:rPr>
                <w:rFonts w:ascii="Times New Roman" w:cs="Times New Roman" w:eastAsia="Times New Roman" w:hAnsi="Times New Roman"/>
                <w:sz w:val="18"/>
                <w:szCs w:val="18"/>
                <w:color w:val="auto"/>
              </w:rPr>
              <w:t>Date: September 29, 2022</w:t>
            </w:r>
          </w:p>
        </w:tc>
        <w:tc>
          <w:tcPr>
            <w:tcW w:w="18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w w:val="99"/>
              </w:rPr>
              <w:t>By: /s/ J. Michael Daniel</w:t>
            </w:r>
          </w:p>
        </w:tc>
        <w:tc>
          <w:tcPr>
            <w:tcW w:w="2600" w:type="dxa"/>
            <w:vAlign w:val="bottom"/>
          </w:tcPr>
          <w:p>
            <w:pPr>
              <w:spacing w:after="0"/>
              <w:rPr>
                <w:sz w:val="24"/>
                <w:szCs w:val="24"/>
                <w:color w:val="auto"/>
              </w:rPr>
            </w:pPr>
          </w:p>
        </w:tc>
      </w:tr>
      <w:tr>
        <w:trPr>
          <w:trHeight w:val="218"/>
        </w:trPr>
        <w:tc>
          <w:tcPr>
            <w:tcW w:w="5620" w:type="dxa"/>
            <w:vAlign w:val="bottom"/>
          </w:tcPr>
          <w:p>
            <w:pPr>
              <w:spacing w:after="0"/>
              <w:rPr>
                <w:sz w:val="18"/>
                <w:szCs w:val="18"/>
                <w:color w:val="auto"/>
              </w:rPr>
            </w:pPr>
          </w:p>
        </w:tc>
        <w:tc>
          <w:tcPr>
            <w:tcW w:w="44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J. Michael Daniel</w:t>
            </w:r>
          </w:p>
        </w:tc>
      </w:tr>
      <w:tr>
        <w:trPr>
          <w:trHeight w:val="234"/>
        </w:trPr>
        <w:tc>
          <w:tcPr>
            <w:tcW w:w="5620" w:type="dxa"/>
            <w:vAlign w:val="bottom"/>
          </w:tcPr>
          <w:p>
            <w:pPr>
              <w:spacing w:after="0"/>
              <w:rPr>
                <w:sz w:val="20"/>
                <w:szCs w:val="20"/>
                <w:color w:val="auto"/>
              </w:rPr>
            </w:pPr>
          </w:p>
        </w:tc>
        <w:tc>
          <w:tcPr>
            <w:tcW w:w="44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Title:  Senior Vice President – Chief Financial Officer</w:t>
            </w:r>
          </w:p>
        </w:tc>
      </w:tr>
    </w:tbl>
    <w:p>
      <w:pPr>
        <w:sectPr>
          <w:pgSz w:w="11900" w:h="16838" w:orient="portrait"/>
          <w:cols w:equalWidth="0" w:num="1">
            <w:col w:w="10920"/>
          </w:cols>
          <w:pgMar w:left="320" w:top="580" w:right="659" w:bottom="1440" w:gutter="0" w:footer="0" w:header="0"/>
        </w:sectPr>
      </w:pPr>
    </w:p>
    <w:bookmarkStart w:id="3" w:name="page4"/>
    <w:bookmarkEnd w:id="3"/>
    <w:p>
      <w:pPr>
        <w:spacing w:after="0"/>
        <w:rPr>
          <w:sz w:val="20"/>
          <w:szCs w:val="20"/>
          <w:color w:val="auto"/>
        </w:rPr>
      </w:pPr>
      <w:r>
        <w:rPr>
          <w:rFonts w:ascii="Times New Roman" w:cs="Times New Roman" w:eastAsia="Times New Roman" w:hAnsi="Times New Roman"/>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156845</wp:posOffset>
            </wp:positionV>
            <wp:extent cx="1097280" cy="3771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097280" cy="377190"/>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Bassett Furniture Industries, Inc.</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P.O. Box 626</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Bassett, VA 24055</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J. Michael Daniel</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Senior Vice President and</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Chief Financial Officer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(276) 629-6614 – Investors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mdaniel@bassettfurniture.com</w:t>
      </w:r>
    </w:p>
    <w:p>
      <w:pPr>
        <w:spacing w:after="0" w:line="200" w:lineRule="exact"/>
        <w:rPr>
          <w:sz w:val="20"/>
          <w:szCs w:val="20"/>
          <w:color w:val="auto"/>
        </w:rPr>
      </w:pPr>
    </w:p>
    <w:p>
      <w:pPr>
        <w:sectPr>
          <w:pgSz w:w="11900" w:h="16838" w:orient="portrait"/>
          <w:cols w:equalWidth="0" w:num="2">
            <w:col w:w="6040" w:space="720"/>
            <w:col w:w="4480"/>
          </w:cols>
          <w:pgMar w:left="320" w:top="117" w:right="339" w:bottom="1440" w:gutter="0" w:footer="0" w:header="0"/>
          <w:type w:val="continuous"/>
        </w:sectPr>
      </w:pP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For Immediate Release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8"/>
          <w:szCs w:val="18"/>
          <w:b w:val="1"/>
          <w:bCs w:val="1"/>
          <w:color w:val="auto"/>
        </w:rPr>
        <w:t>Peter D. Morrison</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Vice President of Communications</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(276) 629-6450 – Media</w:t>
      </w:r>
    </w:p>
    <w:p>
      <w:pPr>
        <w:spacing w:after="0" w:line="200" w:lineRule="exact"/>
        <w:rPr>
          <w:sz w:val="20"/>
          <w:szCs w:val="20"/>
          <w:color w:val="auto"/>
        </w:rPr>
      </w:pPr>
    </w:p>
    <w:p>
      <w:pPr>
        <w:sectPr>
          <w:pgSz w:w="11900" w:h="16838" w:orient="portrait"/>
          <w:cols w:equalWidth="0" w:num="2">
            <w:col w:w="6040" w:space="720"/>
            <w:col w:w="4480"/>
          </w:cols>
          <w:pgMar w:left="320" w:top="117" w:right="339" w:bottom="1440" w:gutter="0" w:footer="0" w:header="0"/>
          <w:type w:val="continuous"/>
        </w:sectPr>
      </w:pPr>
    </w:p>
    <w:p>
      <w:pPr>
        <w:spacing w:after="0" w:line="200" w:lineRule="exact"/>
        <w:rPr>
          <w:sz w:val="20"/>
          <w:szCs w:val="20"/>
          <w:color w:val="auto"/>
        </w:rPr>
      </w:pPr>
    </w:p>
    <w:p>
      <w:pPr>
        <w:spacing w:after="0"/>
        <w:rPr>
          <w:sz w:val="20"/>
          <w:szCs w:val="20"/>
          <w:color w:val="auto"/>
        </w:rPr>
      </w:pPr>
      <w:r>
        <w:rPr>
          <w:rFonts w:ascii="Times New Roman" w:cs="Times New Roman" w:eastAsia="Times New Roman" w:hAnsi="Times New Roman"/>
          <w:sz w:val="32"/>
          <w:szCs w:val="32"/>
          <w:color w:val="auto"/>
        </w:rPr>
        <w:t>Bassett Furniture News Release</w:t>
      </w:r>
    </w:p>
    <w:p>
      <w:pPr>
        <w:spacing w:after="0" w:line="3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Bassett Announces Fiscal Third Quarter Results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29845</wp:posOffset>
            </wp:positionV>
            <wp:extent cx="71323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pacing w:after="0" w:line="293"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(Bassett, Va.) – September 29, 2022 – Bassett Furniture Industries, Inc. (Nasdaq: BSET) announced today its results of operations for its third quarter ended August 27, 2022.</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u w:val="single" w:color="auto"/>
          <w:color w:val="auto"/>
        </w:rPr>
        <w:t>Fiscal 2022 Third Quarter Highlights of Continuing Operations</w:t>
      </w:r>
    </w:p>
    <w:p>
      <w:pPr>
        <w:spacing w:after="0" w:line="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u w:val="single" w:color="auto"/>
          <w:color w:val="auto"/>
        </w:rPr>
        <w:t>(Dollars in millions)</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232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8"/>
                <w:szCs w:val="18"/>
                <w:b w:val="1"/>
                <w:bCs w:val="1"/>
                <w:color w:val="auto"/>
              </w:rPr>
              <w:t>Sales</w:t>
            </w:r>
          </w:p>
        </w:tc>
        <w:tc>
          <w:tcPr>
            <w:tcW w:w="960" w:type="dxa"/>
            <w:vAlign w:val="bottom"/>
            <w:tcBorders>
              <w:bottom w:val="single" w:sz="8" w:color="auto"/>
            </w:tcBorders>
          </w:tcPr>
          <w:p>
            <w:pPr>
              <w:spacing w:after="0"/>
              <w:rPr>
                <w:sz w:val="20"/>
                <w:szCs w:val="20"/>
                <w:color w:val="auto"/>
              </w:rPr>
            </w:pPr>
          </w:p>
        </w:tc>
        <w:tc>
          <w:tcPr>
            <w:tcW w:w="920" w:type="dxa"/>
            <w:vAlign w:val="bottom"/>
            <w:tcBorders>
              <w:bottom w:val="single" w:sz="8" w:color="auto"/>
            </w:tcBorders>
          </w:tcPr>
          <w:p>
            <w:pPr>
              <w:spacing w:after="0"/>
              <w:rPr>
                <w:sz w:val="20"/>
                <w:szCs w:val="20"/>
                <w:color w:val="auto"/>
              </w:rPr>
            </w:pPr>
          </w:p>
        </w:tc>
        <w:tc>
          <w:tcPr>
            <w:tcW w:w="28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spacing w:after="0"/>
              <w:rPr>
                <w:sz w:val="20"/>
                <w:szCs w:val="20"/>
                <w:color w:val="auto"/>
              </w:rPr>
            </w:pPr>
          </w:p>
        </w:tc>
        <w:tc>
          <w:tcPr>
            <w:tcW w:w="2260" w:type="dxa"/>
            <w:vAlign w:val="bottom"/>
            <w:tcBorders>
              <w:bottom w:val="single" w:sz="8" w:color="auto"/>
            </w:tcBorders>
            <w:gridSpan w:val="4"/>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Operating Income</w:t>
            </w:r>
          </w:p>
        </w:tc>
        <w:tc>
          <w:tcPr>
            <w:tcW w:w="880" w:type="dxa"/>
            <w:vAlign w:val="bottom"/>
            <w:tcBorders>
              <w:bottom w:val="single" w:sz="8" w:color="auto"/>
            </w:tcBorders>
          </w:tcPr>
          <w:p>
            <w:pPr>
              <w:spacing w:after="0"/>
              <w:rPr>
                <w:sz w:val="20"/>
                <w:szCs w:val="20"/>
                <w:color w:val="auto"/>
              </w:rPr>
            </w:pPr>
          </w:p>
        </w:tc>
        <w:tc>
          <w:tcPr>
            <w:tcW w:w="160" w:type="dxa"/>
            <w:vAlign w:val="bottom"/>
          </w:tcPr>
          <w:p>
            <w:pPr>
              <w:spacing w:after="0"/>
              <w:rPr>
                <w:sz w:val="20"/>
                <w:szCs w:val="20"/>
                <w:color w:val="auto"/>
              </w:rPr>
            </w:pPr>
          </w:p>
        </w:tc>
      </w:tr>
      <w:tr>
        <w:trPr>
          <w:trHeight w:val="209"/>
        </w:trPr>
        <w:tc>
          <w:tcPr>
            <w:tcW w:w="232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160" w:type="dxa"/>
            <w:vAlign w:val="bottom"/>
            <w:tcBorders>
              <w:bottom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rPr>
              <w:t>3rd Qtr</w:t>
            </w:r>
          </w:p>
        </w:tc>
        <w:tc>
          <w:tcPr>
            <w:tcW w:w="660" w:type="dxa"/>
            <w:vAlign w:val="bottom"/>
            <w:tcBorders>
              <w:bottom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Dollar</w:t>
            </w:r>
          </w:p>
        </w:tc>
        <w:tc>
          <w:tcPr>
            <w:tcW w:w="920" w:type="dxa"/>
            <w:vAlign w:val="bottom"/>
          </w:tcPr>
          <w:p>
            <w:pPr>
              <w:jc w:val="right"/>
              <w:ind w:right="270"/>
              <w:spacing w:after="0"/>
              <w:rPr>
                <w:sz w:val="20"/>
                <w:szCs w:val="20"/>
                <w:color w:val="auto"/>
              </w:rPr>
            </w:pPr>
            <w:r>
              <w:rPr>
                <w:rFonts w:ascii="Times New Roman" w:cs="Times New Roman" w:eastAsia="Times New Roman" w:hAnsi="Times New Roman"/>
                <w:sz w:val="18"/>
                <w:szCs w:val="18"/>
                <w:b w:val="1"/>
                <w:bCs w:val="1"/>
                <w:color w:val="auto"/>
              </w:rPr>
              <w:t>%</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3rd Qtr</w:t>
            </w:r>
          </w:p>
        </w:tc>
        <w:tc>
          <w:tcPr>
            <w:tcW w:w="1140" w:type="dxa"/>
            <w:vAlign w:val="bottom"/>
            <w:gridSpan w:val="2"/>
          </w:tcPr>
          <w:p>
            <w:pPr>
              <w:ind w:left="240"/>
              <w:spacing w:after="0"/>
              <w:rPr>
                <w:sz w:val="20"/>
                <w:szCs w:val="20"/>
                <w:color w:val="auto"/>
              </w:rPr>
            </w:pPr>
            <w:r>
              <w:rPr>
                <w:rFonts w:ascii="Times New Roman" w:cs="Times New Roman" w:eastAsia="Times New Roman" w:hAnsi="Times New Roman"/>
                <w:sz w:val="18"/>
                <w:szCs w:val="18"/>
                <w:b w:val="1"/>
                <w:bCs w:val="1"/>
                <w:color w:val="auto"/>
              </w:rPr>
              <w:t>% of</w:t>
            </w:r>
          </w:p>
        </w:tc>
        <w:tc>
          <w:tcPr>
            <w:tcW w:w="120" w:type="dxa"/>
            <w:vAlign w:val="bottom"/>
          </w:tcPr>
          <w:p>
            <w:pPr>
              <w:spacing w:after="0"/>
              <w:rPr>
                <w:sz w:val="18"/>
                <w:szCs w:val="18"/>
                <w:color w:val="auto"/>
              </w:rPr>
            </w:pPr>
          </w:p>
        </w:tc>
        <w:tc>
          <w:tcPr>
            <w:tcW w:w="1000" w:type="dxa"/>
            <w:vAlign w:val="bottom"/>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3rd Qtr</w:t>
            </w:r>
          </w:p>
        </w:tc>
        <w:tc>
          <w:tcPr>
            <w:tcW w:w="880" w:type="dxa"/>
            <w:vAlign w:val="bottom"/>
          </w:tcPr>
          <w:p>
            <w:pPr>
              <w:ind w:left="240"/>
              <w:spacing w:after="0"/>
              <w:rPr>
                <w:sz w:val="20"/>
                <w:szCs w:val="20"/>
                <w:color w:val="auto"/>
              </w:rPr>
            </w:pPr>
            <w:r>
              <w:rPr>
                <w:rFonts w:ascii="Times New Roman" w:cs="Times New Roman" w:eastAsia="Times New Roman" w:hAnsi="Times New Roman"/>
                <w:sz w:val="18"/>
                <w:szCs w:val="18"/>
                <w:b w:val="1"/>
                <w:bCs w:val="1"/>
                <w:color w:val="auto"/>
              </w:rPr>
              <w:t>% of</w:t>
            </w:r>
          </w:p>
        </w:tc>
        <w:tc>
          <w:tcPr>
            <w:tcW w:w="160" w:type="dxa"/>
            <w:vAlign w:val="bottom"/>
          </w:tcPr>
          <w:p>
            <w:pPr>
              <w:spacing w:after="0"/>
              <w:rPr>
                <w:sz w:val="18"/>
                <w:szCs w:val="18"/>
                <w:color w:val="auto"/>
              </w:rPr>
            </w:pPr>
          </w:p>
        </w:tc>
      </w:tr>
      <w:tr>
        <w:trPr>
          <w:trHeight w:val="223"/>
        </w:trPr>
        <w:tc>
          <w:tcPr>
            <w:tcW w:w="232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ind w:right="270"/>
              <w:spacing w:after="0"/>
              <w:rPr>
                <w:sz w:val="20"/>
                <w:szCs w:val="20"/>
                <w:color w:val="auto"/>
              </w:rPr>
            </w:pPr>
            <w:r>
              <w:rPr>
                <w:rFonts w:ascii="Times New Roman" w:cs="Times New Roman" w:eastAsia="Times New Roman" w:hAnsi="Times New Roman"/>
                <w:sz w:val="18"/>
                <w:szCs w:val="18"/>
                <w:b w:val="1"/>
                <w:bCs w:val="1"/>
                <w:color w:val="auto"/>
              </w:rPr>
              <w:t>2022</w:t>
            </w:r>
          </w:p>
        </w:tc>
        <w:tc>
          <w:tcPr>
            <w:tcW w:w="340" w:type="dxa"/>
            <w:vAlign w:val="bottom"/>
            <w:tcBorders>
              <w:bottom w:val="single" w:sz="8" w:color="auto"/>
            </w:tcBorders>
          </w:tcPr>
          <w:p>
            <w:pPr>
              <w:spacing w:after="0"/>
              <w:rPr>
                <w:sz w:val="19"/>
                <w:szCs w:val="19"/>
                <w:color w:val="auto"/>
              </w:rPr>
            </w:pPr>
          </w:p>
        </w:tc>
        <w:tc>
          <w:tcPr>
            <w:tcW w:w="660" w:type="dxa"/>
            <w:vAlign w:val="bottom"/>
            <w:tcBorders>
              <w:bottom w:val="single" w:sz="8" w:color="auto"/>
            </w:tcBorders>
          </w:tcPr>
          <w:p>
            <w:pPr>
              <w:jc w:val="right"/>
              <w:ind w:right="170"/>
              <w:spacing w:after="0"/>
              <w:rPr>
                <w:sz w:val="20"/>
                <w:szCs w:val="20"/>
                <w:color w:val="auto"/>
              </w:rPr>
            </w:pPr>
            <w:r>
              <w:rPr>
                <w:rFonts w:ascii="Times New Roman" w:cs="Times New Roman" w:eastAsia="Times New Roman" w:hAnsi="Times New Roman"/>
                <w:sz w:val="18"/>
                <w:szCs w:val="18"/>
                <w:b w:val="1"/>
                <w:bCs w:val="1"/>
                <w:color w:val="auto"/>
              </w:rPr>
              <w:t>2021</w:t>
            </w:r>
          </w:p>
        </w:tc>
        <w:tc>
          <w:tcPr>
            <w:tcW w:w="22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ind w:right="250"/>
              <w:spacing w:after="0"/>
              <w:rPr>
                <w:sz w:val="20"/>
                <w:szCs w:val="20"/>
                <w:color w:val="auto"/>
              </w:rPr>
            </w:pPr>
            <w:r>
              <w:rPr>
                <w:rFonts w:ascii="Times New Roman" w:cs="Times New Roman" w:eastAsia="Times New Roman" w:hAnsi="Times New Roman"/>
                <w:sz w:val="18"/>
                <w:szCs w:val="18"/>
                <w:b w:val="1"/>
                <w:bCs w:val="1"/>
                <w:color w:val="auto"/>
              </w:rPr>
              <w:t>Change</w:t>
            </w:r>
          </w:p>
        </w:tc>
        <w:tc>
          <w:tcPr>
            <w:tcW w:w="9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rPr>
              <w:t>Change</w:t>
            </w:r>
          </w:p>
        </w:tc>
        <w:tc>
          <w:tcPr>
            <w:tcW w:w="28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410"/>
              <w:spacing w:after="0"/>
              <w:rPr>
                <w:sz w:val="20"/>
                <w:szCs w:val="20"/>
                <w:color w:val="auto"/>
              </w:rPr>
            </w:pPr>
            <w:r>
              <w:rPr>
                <w:rFonts w:ascii="Times New Roman" w:cs="Times New Roman" w:eastAsia="Times New Roman" w:hAnsi="Times New Roman"/>
                <w:sz w:val="18"/>
                <w:szCs w:val="18"/>
                <w:b w:val="1"/>
                <w:bCs w:val="1"/>
                <w:color w:val="auto"/>
              </w:rPr>
              <w:t>2022</w:t>
            </w:r>
          </w:p>
        </w:tc>
        <w:tc>
          <w:tcPr>
            <w:tcW w:w="860" w:type="dxa"/>
            <w:vAlign w:val="bottom"/>
            <w:tcBorders>
              <w:bottom w:val="single" w:sz="8" w:color="auto"/>
            </w:tcBorders>
          </w:tcPr>
          <w:p>
            <w:pPr>
              <w:ind w:left="220"/>
              <w:spacing w:after="0"/>
              <w:rPr>
                <w:sz w:val="20"/>
                <w:szCs w:val="20"/>
                <w:color w:val="auto"/>
              </w:rPr>
            </w:pPr>
            <w:r>
              <w:rPr>
                <w:rFonts w:ascii="Times New Roman" w:cs="Times New Roman" w:eastAsia="Times New Roman" w:hAnsi="Times New Roman"/>
                <w:sz w:val="18"/>
                <w:szCs w:val="18"/>
                <w:b w:val="1"/>
                <w:bCs w:val="1"/>
                <w:color w:val="auto"/>
              </w:rPr>
              <w:t>Sales</w:t>
            </w:r>
          </w:p>
        </w:tc>
        <w:tc>
          <w:tcPr>
            <w:tcW w:w="28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410"/>
              <w:spacing w:after="0"/>
              <w:rPr>
                <w:sz w:val="20"/>
                <w:szCs w:val="20"/>
                <w:color w:val="auto"/>
              </w:rPr>
            </w:pPr>
            <w:r>
              <w:rPr>
                <w:rFonts w:ascii="Times New Roman" w:cs="Times New Roman" w:eastAsia="Times New Roman" w:hAnsi="Times New Roman"/>
                <w:sz w:val="18"/>
                <w:szCs w:val="18"/>
                <w:b w:val="1"/>
                <w:bCs w:val="1"/>
                <w:color w:val="auto"/>
              </w:rPr>
              <w:t>2021</w:t>
            </w:r>
          </w:p>
        </w:tc>
        <w:tc>
          <w:tcPr>
            <w:tcW w:w="880" w:type="dxa"/>
            <w:vAlign w:val="bottom"/>
            <w:tcBorders>
              <w:bottom w:val="single" w:sz="8" w:color="auto"/>
            </w:tcBorders>
          </w:tcPr>
          <w:p>
            <w:pPr>
              <w:ind w:left="240"/>
              <w:spacing w:after="0"/>
              <w:rPr>
                <w:sz w:val="20"/>
                <w:szCs w:val="20"/>
                <w:color w:val="auto"/>
              </w:rPr>
            </w:pPr>
            <w:r>
              <w:rPr>
                <w:rFonts w:ascii="Times New Roman" w:cs="Times New Roman" w:eastAsia="Times New Roman" w:hAnsi="Times New Roman"/>
                <w:sz w:val="18"/>
                <w:szCs w:val="18"/>
                <w:b w:val="1"/>
                <w:bCs w:val="1"/>
                <w:color w:val="auto"/>
              </w:rPr>
              <w:t>Sales</w:t>
            </w:r>
          </w:p>
        </w:tc>
        <w:tc>
          <w:tcPr>
            <w:tcW w:w="160" w:type="dxa"/>
            <w:vAlign w:val="bottom"/>
          </w:tcPr>
          <w:p>
            <w:pPr>
              <w:spacing w:after="0"/>
              <w:rPr>
                <w:sz w:val="19"/>
                <w:szCs w:val="19"/>
                <w:color w:val="auto"/>
              </w:rPr>
            </w:pPr>
          </w:p>
        </w:tc>
      </w:tr>
      <w:tr>
        <w:trPr>
          <w:trHeight w:val="209"/>
        </w:trPr>
        <w:tc>
          <w:tcPr>
            <w:tcW w:w="2320" w:type="dxa"/>
            <w:vAlign w:val="bottom"/>
            <w:shd w:val="clear" w:color="auto" w:fill="CCEEFF"/>
          </w:tcPr>
          <w:p>
            <w:pPr>
              <w:spacing w:after="0" w:line="210" w:lineRule="exact"/>
              <w:rPr>
                <w:sz w:val="20"/>
                <w:szCs w:val="20"/>
                <w:color w:val="auto"/>
              </w:rPr>
            </w:pPr>
            <w:r>
              <w:rPr>
                <w:rFonts w:ascii="Times New Roman" w:cs="Times New Roman" w:eastAsia="Times New Roman" w:hAnsi="Times New Roman"/>
                <w:sz w:val="15"/>
                <w:szCs w:val="15"/>
                <w:color w:val="auto"/>
              </w:rPr>
              <w:t xml:space="preserve">Consolidated </w:t>
            </w:r>
            <w:r>
              <w:rPr>
                <w:rFonts w:ascii="Times New Roman" w:cs="Times New Roman" w:eastAsia="Times New Roman" w:hAnsi="Times New Roman"/>
                <w:sz w:val="24"/>
                <w:szCs w:val="24"/>
                <w:color w:val="auto"/>
                <w:vertAlign w:val="superscript"/>
              </w:rPr>
              <w:t>(1)</w:t>
            </w: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118.0</w:t>
            </w:r>
          </w:p>
        </w:tc>
        <w:tc>
          <w:tcPr>
            <w:tcW w:w="3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104.9</w:t>
            </w: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13.1</w:t>
            </w:r>
          </w:p>
        </w:tc>
        <w:tc>
          <w:tcPr>
            <w:tcW w:w="12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12.5%</w:t>
            </w: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000" w:type="dxa"/>
            <w:vAlign w:val="bottom"/>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10.7</w:t>
            </w:r>
          </w:p>
        </w:tc>
        <w:tc>
          <w:tcPr>
            <w:tcW w:w="11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9.2%</w:t>
            </w: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5.0</w:t>
            </w:r>
          </w:p>
        </w:tc>
        <w:tc>
          <w:tcPr>
            <w:tcW w:w="104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4.8%</w:t>
            </w:r>
          </w:p>
        </w:tc>
      </w:tr>
      <w:tr>
        <w:trPr>
          <w:trHeight w:val="216"/>
        </w:trPr>
        <w:tc>
          <w:tcPr>
            <w:tcW w:w="23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2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Wholesale</w:t>
            </w: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79.0</w:t>
            </w:r>
          </w:p>
        </w:tc>
        <w:tc>
          <w:tcPr>
            <w:tcW w:w="3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73.1</w:t>
            </w: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5.9</w:t>
            </w:r>
          </w:p>
        </w:tc>
        <w:tc>
          <w:tcPr>
            <w:tcW w:w="12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8.3%</w:t>
            </w: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000" w:type="dxa"/>
            <w:vAlign w:val="bottom"/>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1.6</w:t>
            </w:r>
          </w:p>
        </w:tc>
        <w:tc>
          <w:tcPr>
            <w:tcW w:w="11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2.0%</w:t>
            </w: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4.5</w:t>
            </w:r>
          </w:p>
        </w:tc>
        <w:tc>
          <w:tcPr>
            <w:tcW w:w="104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6.2%</w:t>
            </w:r>
          </w:p>
        </w:tc>
      </w:tr>
      <w:tr>
        <w:trPr>
          <w:trHeight w:val="216"/>
        </w:trPr>
        <w:tc>
          <w:tcPr>
            <w:tcW w:w="23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2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Retail</w:t>
            </w: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70.9</w:t>
            </w:r>
          </w:p>
        </w:tc>
        <w:tc>
          <w:tcPr>
            <w:tcW w:w="3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58.6</w:t>
            </w: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12.3</w:t>
            </w:r>
          </w:p>
        </w:tc>
        <w:tc>
          <w:tcPr>
            <w:tcW w:w="12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21.0%</w:t>
            </w: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000" w:type="dxa"/>
            <w:vAlign w:val="bottom"/>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4.5</w:t>
            </w:r>
          </w:p>
        </w:tc>
        <w:tc>
          <w:tcPr>
            <w:tcW w:w="11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6.3%</w:t>
            </w: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0.9</w:t>
            </w:r>
          </w:p>
        </w:tc>
        <w:tc>
          <w:tcPr>
            <w:tcW w:w="104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1.5%</w:t>
            </w:r>
          </w:p>
        </w:tc>
      </w:tr>
    </w:tbl>
    <w:p>
      <w:pPr>
        <w:spacing w:after="0" w:line="225" w:lineRule="exact"/>
        <w:rPr>
          <w:sz w:val="20"/>
          <w:szCs w:val="20"/>
          <w:color w:val="auto"/>
        </w:rPr>
      </w:pPr>
    </w:p>
    <w:p>
      <w:pPr>
        <w:ind w:left="180" w:right="240" w:hanging="172"/>
        <w:spacing w:after="0" w:line="266" w:lineRule="auto"/>
        <w:tabs>
          <w:tab w:leader="none" w:pos="273"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consolidated results include certain intercompany eliminations as well as a gain on the sale of real estate in Q3 2022 which is not included in our segment results. See Table 4, “Segment Information” below for an illustration of the effects of these items on our consolidated sales and operating income.</w:t>
      </w:r>
    </w:p>
    <w:p>
      <w:pPr>
        <w:spacing w:after="0" w:line="203"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Consolidated revenue for our third quarter of 2022 came in at $118.0 million, a 12.5% increase compared to last year. Operating profit of $6.1 million improved by 22.1%, excluding the $4.6 million gain from the sale of our Southwest Freeway store in Houston, which brought the all-in income from operations to $10.7 million. Earnings per share of $0.82 was well ahead of $0.31 per share in 2021. We aggressively pursued our customer acquisition strategies while formulating business plans that take the uncertain business environment that clouds the outlook for 2023 into account. Nonetheless, we trust that the collective strength provided by our domestic manufacturing platform, international sourcing partnerships, dedicated distribution network, best in class logistics system, and burgeoning digital capabilities portend continued success for Bassett despite the challenges that currently exist for the U.S. economy.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354330</wp:posOffset>
            </wp:positionV>
            <wp:extent cx="7132320"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type w:val="continuous"/>
        </w:sectPr>
      </w:pPr>
    </w:p>
    <w:bookmarkStart w:id="4" w:name="page5"/>
    <w:bookmarkEnd w:id="4"/>
    <w:p>
      <w:pPr>
        <w:jc w:val="both"/>
        <w:spacing w:after="0" w:line="252" w:lineRule="auto"/>
        <w:rPr>
          <w:sz w:val="20"/>
          <w:szCs w:val="20"/>
          <w:color w:val="auto"/>
        </w:rPr>
      </w:pPr>
      <w:r>
        <w:rPr>
          <w:rFonts w:ascii="Times New Roman" w:cs="Times New Roman" w:eastAsia="Times New Roman" w:hAnsi="Times New Roman"/>
          <w:sz w:val="18"/>
          <w:szCs w:val="18"/>
          <w:color w:val="auto"/>
        </w:rPr>
        <w:t>Shipments from our wholesale segment grew by 8.1% with upholstery operations posting a 12.5% sales increase while wood operations grew a modest 1.3%. Said another way, shipments of domestically produced merchandise grew by 18.1% while imported product shipments declined by 15.7%. Significant for the period was the resurgent performance of our Newton, NC upholstery complex where combined shipments grew by 21.5% and divisional profitability returned to pre-covid levels. We are now producing goods with material costs that are fully reflected in the price for which they are invoiced as the rampant price increases that we have absorbed over the past two years have subsided. Further, we are excited by the early retail success of the new “Modern Casual” product range that hit stores in time for Labor Day, which we are counting on to help keep our production schedules on track moving forward. Fabric outages have improved significantly from the depths of the pandemic related chaos of 2021 and our lead times have markedly improved in the past few months. Shipments of our outdoor seating product continued its sizzling growth – this time at a rate of 30.3%. Amidst these strong performances is the problematic situation that we face with our imported Club Level product range. Recall that Club Level sales exploded in 2021 and that our inventory levels last year were such that we were out servicing our competition and enjoying robust shipments. Accordingly, we responded by ordering replenishment inventory at record levels into the teeth of the unprecedented ocean freight rate spiral. As sales of the product slowed at the beginning of April, incoming shipments, often months late due to Asian production delays, began to swell our inventory levels. Consequently, we have been aggressively discounting certain portions of our Club Level line and have suffered significant margin hits in so doing for the past four months. We expect this dynamic to persist for the next six months as we align inventory levels with current rates of sale. In the end, however, we remain committed to the long-term viability of the Club Level product line and value the open market account business that it will continue to provide. Also affecting our overall wholesale margins are the marketing spending levels that we have chosen to employ and, to a lesser extent, miscellaneous expenditures including the LIFO charges that have accompanied the inventory build that has characterized the twenty-one months since the end of covid dominated fiscal 2020. Overall inventory of $91.7 million at the end of the August quarter actually decreased for the first time since the pandemic build and should have peaked for the Bassett footprint for the foreseeable future. Returning our wholesale margins to their historical levels is an important element of successfully moving into 2023, although we do plan to continue our aggressive marketing spending as long as we can see corresponding upticks in business as a result.</w:t>
      </w:r>
    </w:p>
    <w:p>
      <w:pPr>
        <w:spacing w:after="0" w:line="189"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Our corporate retail group extended their strong run of positive operating results, this time producing their “best ever” third quarter with $70.9 million of deliveries while providing $4.5 million of operating income to the cause. For the nine months, corporate retail revenue of $210.6 million represents an increase of 16.1% over 2021 and the $15.8 million of operating profit brought forth exceeds any full year bottom line performance to date. Delivered gross margins of 51.8% remained near our target range despite the headwinds that four store closings presented. Due to construction related supply chain issues, the opening of one of the contemplated replacement stores – this one in Dallas, was delayed from the original late August date until the new date in early November. In conjunction with the Dallas opening, we are remodeling two other Metroplex stores – Southlake and Frisco. There we are testing a “take with” strategy for certain accessory items and have designed a supporting fixturing package for all three Dallas area stores. Looking ahead to next year, we will incorporate these elements into the Austin, TX remodel project as well as into new stores that will open in Tampa, FL and in Houston. We are also considering another Florida location as well. In April, we opened a Regional Fulfillment Center (“RFC”) in Orlando to provide our stores and other customers with the ability to offer a two-week in-home delivery option to add a new selling opportunity to our incumbent design focused custom-made furniture business. We are excited to see the initial benefit of the quick ship capability and have subsequently opened another RFC in the Baltimore area to service the mid-Atlantic stores.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354965</wp:posOffset>
            </wp:positionV>
            <wp:extent cx="713232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sectPr>
      </w:pPr>
    </w:p>
    <w:bookmarkStart w:id="5" w:name="page6"/>
    <w:bookmarkEnd w:id="5"/>
    <w:p>
      <w:pPr>
        <w:jc w:val="both"/>
        <w:spacing w:after="0" w:line="254" w:lineRule="auto"/>
        <w:rPr>
          <w:sz w:val="20"/>
          <w:szCs w:val="20"/>
          <w:color w:val="auto"/>
        </w:rPr>
      </w:pPr>
      <w:r>
        <w:rPr>
          <w:rFonts w:ascii="Times New Roman" w:cs="Times New Roman" w:eastAsia="Times New Roman" w:hAnsi="Times New Roman"/>
          <w:sz w:val="18"/>
          <w:szCs w:val="18"/>
          <w:color w:val="auto"/>
        </w:rPr>
        <w:t>To begin our fourth quarter, on September 6th, we announced the acquisition of Montreal- based online furniture retailer, Noa Home Inc. Founded in 2016, Noa sells furniture, mattresses and accessory items online in four markets – Australia, Singapore, the UK, and Canada. Net revenue for their most current fiscal year was C$19.1 million. We have been enthusiastically collaborating with the Noa team over the past few months to identify and implement the synergies that do exist today and can be capitalized upon in the future between our two organizations. First on the list is to provide the capital to improve their in-stock positioning on their best-selling items. Next is to enter a 3PL warehouse in western Canada to open up the entire country for Noa distribution as they have heretofore only serviced Ontario and Quebec. We are simultaneously developing Bassett made upholstery products that can complement their existing best seller lineup and have entered initial production orders to ship to Noa warehouses. Once we make sure that we have begun to maximize the opportunity in their existing markets, we will start the planning process to introduce the Noa experience to the U.S. market sometime in 2023.</w:t>
      </w:r>
    </w:p>
    <w:p>
      <w:pPr>
        <w:spacing w:after="0" w:line="192"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High inflation, rising mortgage rates, and a slowdown in the housing market have certainly taken a toll on the equity values of publicly traded furniture companies this year. We are definitely in the mode of “focusing on what we can control” as there are currently forces at work greater than Bassett in a macro sense. To that end, we invested in a robust marketing program for the recent three-week Labor Day promotion and the results were quite gratifying as our corporate retail stores recorded sales volumes better than both 2020 and 2021, which were, of course, very strong. We do believe that although our customer is being more judicious with their disposable income today than two years ago, their personal balance sheets are strong. So, there will be folks in the marketplace and we have to win them over. Meanwhile, Bassett has the financial strength to weather a downturn and an integrated strategy designed to provide multiple paths for growth in the future.</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Robert H. Spilman, Jr., Chairman and CEO</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About Bassett Furniture Industries, Inc.</w:t>
      </w:r>
    </w:p>
    <w:p>
      <w:pPr>
        <w:spacing w:after="0" w:line="27"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18"/>
          <w:szCs w:val="18"/>
          <w:color w:val="auto"/>
        </w:rPr>
        <w:t>Bassett Furniture Industries, Inc. (NASDAQ:BSET), is a leading manufacturer and marketer of high quality home furnishings. With 92 company- and licensee-owned stores at the time of this release, Bassett has leveraged its strong brand name in furniture into a network of corporate and licensed stores that focus on providing consumers with a friendly environment for buying furniture and accessories. Bassett’s retail strategy includes stylish, custom-built furniture that features the latest on-trend furniture styles, free in-home design visits, and coordinated decorating accessories. Bassett also has a traditional wholesale business with more than 700 accounts on the open market, across the United States and internationally and a logistics business specializing in home furnishings. For more information, visit the Company’s website at bassettfurniture.com. (BSET-E)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354965</wp:posOffset>
            </wp:positionV>
            <wp:extent cx="7132320"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sectPr>
      </w:pPr>
    </w:p>
    <w:bookmarkStart w:id="6" w:name="page7"/>
    <w:bookmarkEnd w:id="6"/>
    <w:p>
      <w:pPr>
        <w:jc w:val="both"/>
        <w:ind w:firstLine="414"/>
        <w:spacing w:after="0" w:line="259" w:lineRule="auto"/>
        <w:rPr>
          <w:sz w:val="20"/>
          <w:szCs w:val="20"/>
          <w:color w:val="auto"/>
        </w:rPr>
      </w:pPr>
      <w:r>
        <w:rPr>
          <w:rFonts w:ascii="Times New Roman" w:cs="Times New Roman" w:eastAsia="Times New Roman" w:hAnsi="Times New Roman"/>
          <w:sz w:val="18"/>
          <w:szCs w:val="18"/>
          <w:b w:val="1"/>
          <w:bCs w:val="1"/>
          <w:color w:val="auto"/>
        </w:rPr>
        <w:t xml:space="preserve">Certain of the statements in this release, particularly those preceded by, followed by or including the words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believes,</w:t>
      </w: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b w:val="1"/>
          <w:bCs w:val="1"/>
          <w:color w:val="auto"/>
        </w:rPr>
        <w:t>plans,</w:t>
      </w: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b w:val="1"/>
          <w:bCs w:val="1"/>
          <w:color w:val="auto"/>
        </w:rPr>
        <w:t>expects,</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anticipates,</w:t>
      </w: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b w:val="1"/>
          <w:bCs w:val="1"/>
          <w:color w:val="auto"/>
        </w:rPr>
        <w:t>intends,</w:t>
      </w: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b w:val="1"/>
          <w:bCs w:val="1"/>
          <w:color w:val="auto"/>
        </w:rPr>
        <w:t>should,</w:t>
      </w: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b w:val="1"/>
          <w:bCs w:val="1"/>
          <w:color w:val="auto"/>
        </w:rPr>
        <w:t>estimates,</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or similar expressions, or those relating to or anticipating financial results or changes in operations</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 xml:space="preserve">for periods beyond the end of the third fiscal quarter of 2022, constitute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forward looking statements</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within the meaning of Section 27A of the</w:t>
      </w:r>
    </w:p>
    <w:p>
      <w:pPr>
        <w:jc w:val="both"/>
        <w:spacing w:after="0" w:line="250" w:lineRule="auto"/>
        <w:rPr>
          <w:sz w:val="20"/>
          <w:szCs w:val="20"/>
          <w:color w:val="auto"/>
        </w:rPr>
      </w:pPr>
      <w:r>
        <w:rPr>
          <w:rFonts w:ascii="Times New Roman" w:cs="Times New Roman" w:eastAsia="Times New Roman" w:hAnsi="Times New Roman"/>
          <w:sz w:val="18"/>
          <w:szCs w:val="18"/>
          <w:b w:val="1"/>
          <w:bCs w:val="1"/>
          <w:color w:val="auto"/>
        </w:rPr>
        <w:t>Securities Act of 1933, as amended. For those statements, Bassett claims the protection of the safe harbor for forward looking statements contained in the Private Securities Litigation Reform Act of 1995. In many cases, Bassett cannot predict what factors would cause actual results to differ materially from those indicated in the forward-looking statements. Expectations included in the forward-looking statements are based on preliminary information as well as certain assumptions which management believes to be reasonable at this time. The following important factors affect Bassett and could cause actual results to differ materially from those indicated in the forward looking statements: the effects of national and global economic or other conditions (including, without limitation, the effects on revenue, supply and demand resulting from the duration and extent of the COVID-19 pandemic) and future events on the retail demand for home furnishings and the ability of Bassett</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s customers and consumers to obtain credit; the success of marketing, logistics, retail and other initiatives; and the economic, competitive, governmental and other factors identified in Bassett</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s filings with the Securities and Exchange Commission. Any forward-looking statement that Bassett makes speaks only as of the date of such statement, and Bassett undertakes no obligation to update any forward-looking statements, whether as a result of new information, future events or otherwise. Comparisons of results for current and any prior periods are not intended to express any future trends or indication of future performance, unless expressed as such, and should only be viewed as historical data.</w:t>
      </w:r>
    </w:p>
    <w:p>
      <w:pPr>
        <w:spacing w:after="0" w:line="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365760</wp:posOffset>
            </wp:positionV>
            <wp:extent cx="7132320"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76" w:right="339" w:bottom="1440" w:gutter="0" w:footer="0" w:header="0"/>
        </w:sectPr>
      </w:pPr>
    </w:p>
    <w:bookmarkStart w:id="7" w:name="page8"/>
    <w:bookmarkEnd w:id="7"/>
    <w:p>
      <w:pPr>
        <w:jc w:val="center"/>
        <w:spacing w:after="0"/>
        <w:rPr>
          <w:sz w:val="20"/>
          <w:szCs w:val="20"/>
          <w:color w:val="auto"/>
        </w:rPr>
      </w:pPr>
      <w:r>
        <w:rPr>
          <w:rFonts w:ascii="Times New Roman" w:cs="Times New Roman" w:eastAsia="Times New Roman" w:hAnsi="Times New Roman"/>
          <w:sz w:val="18"/>
          <w:szCs w:val="18"/>
          <w:b w:val="1"/>
          <w:bCs w:val="1"/>
          <w:color w:val="auto"/>
        </w:rPr>
        <w:t>Table 1</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BASSETT FURNITURE INDUSTRIES, INC.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Condensed Consolidated Statements of Income - 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(In thousands, except for per share data)</w:t>
      </w:r>
    </w:p>
    <w:p>
      <w:pPr>
        <w:spacing w:after="0" w:line="234"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24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680" w:type="dxa"/>
            <w:vAlign w:val="bottom"/>
            <w:tcBorders>
              <w:bottom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2020" w:type="dxa"/>
            <w:vAlign w:val="bottom"/>
            <w:tcBorders>
              <w:bottom w:val="single" w:sz="8" w:color="auto"/>
            </w:tcBorders>
            <w:gridSpan w:val="5"/>
          </w:tcPr>
          <w:p>
            <w:pPr>
              <w:jc w:val="right"/>
              <w:ind w:right="600"/>
              <w:spacing w:after="0"/>
              <w:rPr>
                <w:sz w:val="20"/>
                <w:szCs w:val="20"/>
                <w:color w:val="auto"/>
              </w:rPr>
            </w:pPr>
            <w:r>
              <w:rPr>
                <w:rFonts w:ascii="Times New Roman" w:cs="Times New Roman" w:eastAsia="Times New Roman" w:hAnsi="Times New Roman"/>
                <w:sz w:val="18"/>
                <w:szCs w:val="18"/>
                <w:color w:val="auto"/>
              </w:rPr>
              <w:t>Quarter Ended</w:t>
            </w:r>
          </w:p>
        </w:tc>
        <w:tc>
          <w:tcPr>
            <w:tcW w:w="760" w:type="dxa"/>
            <w:vAlign w:val="bottom"/>
            <w:tcBorders>
              <w:bottom w:val="single" w:sz="8" w:color="auto"/>
            </w:tcBorders>
          </w:tcPr>
          <w:p>
            <w:pPr>
              <w:spacing w:after="0"/>
              <w:rPr>
                <w:sz w:val="20"/>
                <w:szCs w:val="20"/>
                <w:color w:val="auto"/>
              </w:rPr>
            </w:pPr>
          </w:p>
        </w:tc>
        <w:tc>
          <w:tcPr>
            <w:tcW w:w="280" w:type="dxa"/>
            <w:vAlign w:val="bottom"/>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680" w:type="dxa"/>
            <w:vAlign w:val="bottom"/>
            <w:tcBorders>
              <w:bottom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1820" w:type="dxa"/>
            <w:vAlign w:val="bottom"/>
            <w:tcBorders>
              <w:bottom w:val="single" w:sz="8" w:color="auto"/>
            </w:tcBorders>
            <w:gridSpan w:val="4"/>
          </w:tcPr>
          <w:p>
            <w:pPr>
              <w:jc w:val="right"/>
              <w:ind w:right="90"/>
              <w:spacing w:after="0"/>
              <w:rPr>
                <w:sz w:val="20"/>
                <w:szCs w:val="20"/>
                <w:color w:val="auto"/>
              </w:rPr>
            </w:pPr>
            <w:r>
              <w:rPr>
                <w:rFonts w:ascii="Times New Roman" w:cs="Times New Roman" w:eastAsia="Times New Roman" w:hAnsi="Times New Roman"/>
                <w:sz w:val="18"/>
                <w:szCs w:val="18"/>
                <w:color w:val="auto"/>
              </w:rPr>
              <w:t>Nine Months Ended</w:t>
            </w:r>
          </w:p>
        </w:tc>
        <w:tc>
          <w:tcPr>
            <w:tcW w:w="200" w:type="dxa"/>
            <w:vAlign w:val="bottom"/>
            <w:tcBorders>
              <w:bottom w:val="single" w:sz="8" w:color="auto"/>
            </w:tcBorders>
          </w:tcPr>
          <w:p>
            <w:pPr>
              <w:spacing w:after="0"/>
              <w:rPr>
                <w:sz w:val="20"/>
                <w:szCs w:val="20"/>
                <w:color w:val="auto"/>
              </w:rPr>
            </w:pPr>
          </w:p>
        </w:tc>
        <w:tc>
          <w:tcPr>
            <w:tcW w:w="780" w:type="dxa"/>
            <w:vAlign w:val="bottom"/>
            <w:tcBorders>
              <w:bottom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9"/>
        </w:trPr>
        <w:tc>
          <w:tcPr>
            <w:tcW w:w="3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940" w:type="dxa"/>
            <w:vAlign w:val="bottom"/>
            <w:gridSpan w:val="4"/>
          </w:tcPr>
          <w:p>
            <w:pPr>
              <w:jc w:val="right"/>
              <w:ind w:right="560"/>
              <w:spacing w:after="0"/>
              <w:rPr>
                <w:sz w:val="20"/>
                <w:szCs w:val="20"/>
                <w:color w:val="auto"/>
              </w:rPr>
            </w:pPr>
            <w:r>
              <w:rPr>
                <w:rFonts w:ascii="Times New Roman" w:cs="Times New Roman" w:eastAsia="Times New Roman" w:hAnsi="Times New Roman"/>
                <w:sz w:val="18"/>
                <w:szCs w:val="18"/>
                <w:color w:val="auto"/>
              </w:rPr>
              <w:t>August 27, 2022</w:t>
            </w:r>
          </w:p>
        </w:tc>
        <w:tc>
          <w:tcPr>
            <w:tcW w:w="80" w:type="dxa"/>
            <w:vAlign w:val="bottom"/>
          </w:tcPr>
          <w:p>
            <w:pPr>
              <w:spacing w:after="0"/>
              <w:rPr>
                <w:sz w:val="18"/>
                <w:szCs w:val="18"/>
                <w:color w:val="auto"/>
              </w:rPr>
            </w:pPr>
          </w:p>
        </w:tc>
        <w:tc>
          <w:tcPr>
            <w:tcW w:w="1660" w:type="dxa"/>
            <w:vAlign w:val="bottom"/>
            <w:gridSpan w:val="3"/>
          </w:tcPr>
          <w:p>
            <w:pPr>
              <w:jc w:val="right"/>
              <w:ind w:right="190"/>
              <w:spacing w:after="0"/>
              <w:rPr>
                <w:sz w:val="20"/>
                <w:szCs w:val="20"/>
                <w:color w:val="auto"/>
              </w:rPr>
            </w:pPr>
            <w:r>
              <w:rPr>
                <w:rFonts w:ascii="Times New Roman" w:cs="Times New Roman" w:eastAsia="Times New Roman" w:hAnsi="Times New Roman"/>
                <w:sz w:val="18"/>
                <w:szCs w:val="18"/>
                <w:color w:val="auto"/>
              </w:rPr>
              <w:t>August 28, 2021</w:t>
            </w: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940" w:type="dxa"/>
            <w:vAlign w:val="bottom"/>
            <w:gridSpan w:val="4"/>
          </w:tcPr>
          <w:p>
            <w:pPr>
              <w:jc w:val="right"/>
              <w:ind w:right="540"/>
              <w:spacing w:after="0"/>
              <w:rPr>
                <w:sz w:val="20"/>
                <w:szCs w:val="20"/>
                <w:color w:val="auto"/>
              </w:rPr>
            </w:pPr>
            <w:r>
              <w:rPr>
                <w:rFonts w:ascii="Times New Roman" w:cs="Times New Roman" w:eastAsia="Times New Roman" w:hAnsi="Times New Roman"/>
                <w:sz w:val="18"/>
                <w:szCs w:val="18"/>
                <w:color w:val="auto"/>
              </w:rPr>
              <w:t>August 27, 2022</w:t>
            </w:r>
          </w:p>
        </w:tc>
        <w:tc>
          <w:tcPr>
            <w:tcW w:w="100" w:type="dxa"/>
            <w:vAlign w:val="bottom"/>
          </w:tcPr>
          <w:p>
            <w:pPr>
              <w:spacing w:after="0"/>
              <w:rPr>
                <w:sz w:val="18"/>
                <w:szCs w:val="18"/>
                <w:color w:val="auto"/>
              </w:rPr>
            </w:pPr>
          </w:p>
        </w:tc>
        <w:tc>
          <w:tcPr>
            <w:tcW w:w="1660" w:type="dxa"/>
            <w:vAlign w:val="bottom"/>
            <w:gridSpan w:val="3"/>
          </w:tcPr>
          <w:p>
            <w:pPr>
              <w:jc w:val="right"/>
              <w:ind w:right="190"/>
              <w:spacing w:after="0"/>
              <w:rPr>
                <w:sz w:val="20"/>
                <w:szCs w:val="20"/>
                <w:color w:val="auto"/>
              </w:rPr>
            </w:pPr>
            <w:r>
              <w:rPr>
                <w:rFonts w:ascii="Times New Roman" w:cs="Times New Roman" w:eastAsia="Times New Roman" w:hAnsi="Times New Roman"/>
                <w:sz w:val="18"/>
                <w:szCs w:val="18"/>
                <w:color w:val="auto"/>
              </w:rPr>
              <w:t>August 28, 2021</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5"/>
        </w:trPr>
        <w:tc>
          <w:tcPr>
            <w:tcW w:w="324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680" w:type="dxa"/>
            <w:vAlign w:val="bottom"/>
            <w:tcBorders>
              <w:top w:val="single" w:sz="8" w:color="auto"/>
            </w:tcBorders>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760" w:type="dxa"/>
            <w:vAlign w:val="bottom"/>
            <w:tcBorders>
              <w:top w:val="single" w:sz="8" w:color="auto"/>
            </w:tcBorders>
          </w:tcPr>
          <w:p>
            <w:pPr>
              <w:jc w:val="right"/>
              <w:spacing w:after="0" w:line="205" w:lineRule="exact"/>
              <w:rPr>
                <w:sz w:val="20"/>
                <w:szCs w:val="20"/>
                <w:color w:val="auto"/>
              </w:rPr>
            </w:pPr>
            <w:r>
              <w:rPr>
                <w:rFonts w:ascii="Times New Roman" w:cs="Times New Roman" w:eastAsia="Times New Roman" w:hAnsi="Times New Roman"/>
                <w:sz w:val="18"/>
                <w:szCs w:val="18"/>
                <w:color w:val="auto"/>
                <w:w w:val="97"/>
              </w:rPr>
              <w:t>Percent of</w:t>
            </w:r>
          </w:p>
        </w:tc>
        <w:tc>
          <w:tcPr>
            <w:tcW w:w="28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680" w:type="dxa"/>
            <w:vAlign w:val="bottom"/>
            <w:tcBorders>
              <w:top w:val="single" w:sz="8" w:color="auto"/>
            </w:tcBorders>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760" w:type="dxa"/>
            <w:vAlign w:val="bottom"/>
            <w:tcBorders>
              <w:top w:val="single" w:sz="8" w:color="auto"/>
            </w:tcBorders>
          </w:tcPr>
          <w:p>
            <w:pPr>
              <w:jc w:val="right"/>
              <w:spacing w:after="0" w:line="205" w:lineRule="exact"/>
              <w:rPr>
                <w:sz w:val="20"/>
                <w:szCs w:val="20"/>
                <w:color w:val="auto"/>
              </w:rPr>
            </w:pPr>
            <w:r>
              <w:rPr>
                <w:rFonts w:ascii="Times New Roman" w:cs="Times New Roman" w:eastAsia="Times New Roman" w:hAnsi="Times New Roman"/>
                <w:sz w:val="18"/>
                <w:szCs w:val="18"/>
                <w:color w:val="auto"/>
              </w:rPr>
              <w:t>Percent of</w:t>
            </w:r>
          </w:p>
        </w:tc>
        <w:tc>
          <w:tcPr>
            <w:tcW w:w="28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680" w:type="dxa"/>
            <w:vAlign w:val="bottom"/>
            <w:tcBorders>
              <w:top w:val="single" w:sz="8" w:color="auto"/>
            </w:tcBorders>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780" w:type="dxa"/>
            <w:vAlign w:val="bottom"/>
            <w:tcBorders>
              <w:top w:val="single" w:sz="8" w:color="auto"/>
            </w:tcBorders>
          </w:tcPr>
          <w:p>
            <w:pPr>
              <w:jc w:val="right"/>
              <w:spacing w:after="0" w:line="205" w:lineRule="exact"/>
              <w:rPr>
                <w:sz w:val="20"/>
                <w:szCs w:val="20"/>
                <w:color w:val="auto"/>
              </w:rPr>
            </w:pPr>
            <w:r>
              <w:rPr>
                <w:rFonts w:ascii="Times New Roman" w:cs="Times New Roman" w:eastAsia="Times New Roman" w:hAnsi="Times New Roman"/>
                <w:sz w:val="18"/>
                <w:szCs w:val="18"/>
                <w:color w:val="auto"/>
              </w:rPr>
              <w:t>Percent of</w:t>
            </w:r>
          </w:p>
        </w:tc>
        <w:tc>
          <w:tcPr>
            <w:tcW w:w="26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680" w:type="dxa"/>
            <w:vAlign w:val="bottom"/>
            <w:tcBorders>
              <w:top w:val="single" w:sz="8" w:color="auto"/>
            </w:tcBorders>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780" w:type="dxa"/>
            <w:vAlign w:val="bottom"/>
            <w:tcBorders>
              <w:top w:val="single" w:sz="8" w:color="auto"/>
            </w:tcBorders>
          </w:tcPr>
          <w:p>
            <w:pPr>
              <w:jc w:val="right"/>
              <w:spacing w:after="0" w:line="205" w:lineRule="exact"/>
              <w:rPr>
                <w:sz w:val="20"/>
                <w:szCs w:val="20"/>
                <w:color w:val="auto"/>
              </w:rPr>
            </w:pPr>
            <w:r>
              <w:rPr>
                <w:rFonts w:ascii="Times New Roman" w:cs="Times New Roman" w:eastAsia="Times New Roman" w:hAnsi="Times New Roman"/>
                <w:sz w:val="18"/>
                <w:szCs w:val="18"/>
                <w:color w:val="auto"/>
              </w:rPr>
              <w:t>Percent of</w:t>
            </w: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3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0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w w:val="94"/>
              </w:rPr>
              <w:t>Amount</w:t>
            </w:r>
          </w:p>
        </w:tc>
        <w:tc>
          <w:tcPr>
            <w:tcW w:w="104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Net Sales</w:t>
            </w:r>
          </w:p>
        </w:tc>
        <w:tc>
          <w:tcPr>
            <w:tcW w:w="80" w:type="dxa"/>
            <w:vAlign w:val="bottom"/>
          </w:tcPr>
          <w:p>
            <w:pPr>
              <w:spacing w:after="0"/>
              <w:rPr>
                <w:sz w:val="20"/>
                <w:szCs w:val="20"/>
                <w:color w:val="auto"/>
              </w:rPr>
            </w:pPr>
          </w:p>
        </w:tc>
        <w:tc>
          <w:tcPr>
            <w:tcW w:w="90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color w:val="auto"/>
                <w:w w:val="98"/>
              </w:rPr>
              <w:t>Amount</w:t>
            </w:r>
          </w:p>
        </w:tc>
        <w:tc>
          <w:tcPr>
            <w:tcW w:w="104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Net Sales</w:t>
            </w:r>
          </w:p>
        </w:tc>
        <w:tc>
          <w:tcPr>
            <w:tcW w:w="8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8"/>
              </w:rPr>
              <w:t>Amount</w:t>
            </w:r>
          </w:p>
        </w:tc>
        <w:tc>
          <w:tcPr>
            <w:tcW w:w="220" w:type="dxa"/>
            <w:vAlign w:val="bottom"/>
          </w:tcPr>
          <w:p>
            <w:pPr>
              <w:spacing w:after="0"/>
              <w:rPr>
                <w:sz w:val="20"/>
                <w:szCs w:val="20"/>
                <w:color w:val="auto"/>
              </w:rPr>
            </w:pPr>
          </w:p>
        </w:tc>
        <w:tc>
          <w:tcPr>
            <w:tcW w:w="104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color w:val="auto"/>
              </w:rPr>
              <w:t>Net Sales</w:t>
            </w:r>
          </w:p>
        </w:tc>
        <w:tc>
          <w:tcPr>
            <w:tcW w:w="100" w:type="dxa"/>
            <w:vAlign w:val="bottom"/>
          </w:tcPr>
          <w:p>
            <w:pPr>
              <w:spacing w:after="0"/>
              <w:rPr>
                <w:sz w:val="20"/>
                <w:szCs w:val="20"/>
                <w:color w:val="auto"/>
              </w:rPr>
            </w:pPr>
          </w:p>
        </w:tc>
        <w:tc>
          <w:tcPr>
            <w:tcW w:w="6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94"/>
              </w:rPr>
              <w:t>Amount</w:t>
            </w:r>
          </w:p>
        </w:tc>
        <w:tc>
          <w:tcPr>
            <w:tcW w:w="200" w:type="dxa"/>
            <w:vAlign w:val="bottom"/>
          </w:tcPr>
          <w:p>
            <w:pPr>
              <w:spacing w:after="0"/>
              <w:rPr>
                <w:sz w:val="20"/>
                <w:szCs w:val="20"/>
                <w:color w:val="auto"/>
              </w:rPr>
            </w:pPr>
          </w:p>
        </w:tc>
        <w:tc>
          <w:tcPr>
            <w:tcW w:w="94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Net Sales</w:t>
            </w:r>
          </w:p>
        </w:tc>
        <w:tc>
          <w:tcPr>
            <w:tcW w:w="0" w:type="dxa"/>
            <w:vAlign w:val="bottom"/>
          </w:tcPr>
          <w:p>
            <w:pPr>
              <w:spacing w:after="0"/>
              <w:rPr>
                <w:sz w:val="1"/>
                <w:szCs w:val="1"/>
                <w:color w:val="auto"/>
              </w:rPr>
            </w:pPr>
          </w:p>
        </w:tc>
      </w:tr>
      <w:tr>
        <w:trPr>
          <w:trHeight w:val="209"/>
        </w:trPr>
        <w:tc>
          <w:tcPr>
            <w:tcW w:w="32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2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sales of furniture and accessories</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118,012</w:t>
            </w:r>
          </w:p>
        </w:tc>
        <w:tc>
          <w:tcPr>
            <w:tcW w:w="2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104,870</w:t>
            </w:r>
          </w:p>
        </w:tc>
        <w:tc>
          <w:tcPr>
            <w:tcW w:w="10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364,582</w:t>
            </w:r>
          </w:p>
        </w:tc>
        <w:tc>
          <w:tcPr>
            <w:tcW w:w="2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100.0%</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316,522</w:t>
            </w:r>
          </w:p>
        </w:tc>
        <w:tc>
          <w:tcPr>
            <w:tcW w:w="2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100.0%</w:t>
            </w:r>
          </w:p>
        </w:tc>
        <w:tc>
          <w:tcPr>
            <w:tcW w:w="0" w:type="dxa"/>
            <w:vAlign w:val="bottom"/>
          </w:tcPr>
          <w:p>
            <w:pPr>
              <w:spacing w:after="0"/>
              <w:rPr>
                <w:sz w:val="1"/>
                <w:szCs w:val="1"/>
                <w:color w:val="auto"/>
              </w:rPr>
            </w:pPr>
          </w:p>
        </w:tc>
      </w:tr>
      <w:tr>
        <w:trPr>
          <w:trHeight w:val="230"/>
        </w:trPr>
        <w:tc>
          <w:tcPr>
            <w:tcW w:w="3240" w:type="dxa"/>
            <w:vAlign w:val="bottom"/>
          </w:tcPr>
          <w:p>
            <w:pPr>
              <w:spacing w:after="0"/>
              <w:rPr>
                <w:sz w:val="20"/>
                <w:szCs w:val="20"/>
                <w:color w:val="auto"/>
              </w:rPr>
            </w:pPr>
            <w:r>
              <w:rPr>
                <w:rFonts w:ascii="Times New Roman" w:cs="Times New Roman" w:eastAsia="Times New Roman" w:hAnsi="Times New Roman"/>
                <w:sz w:val="18"/>
                <w:szCs w:val="18"/>
                <w:color w:val="auto"/>
              </w:rPr>
              <w:t>Cost of furniture and accessories sold</w:t>
            </w:r>
          </w:p>
        </w:tc>
        <w:tc>
          <w:tcPr>
            <w:tcW w:w="10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57,240</w:t>
            </w:r>
          </w:p>
        </w:tc>
        <w:tc>
          <w:tcPr>
            <w:tcW w:w="220" w:type="dxa"/>
            <w:vAlign w:val="bottom"/>
          </w:tcPr>
          <w:p>
            <w:pPr>
              <w:spacing w:after="0"/>
              <w:rPr>
                <w:sz w:val="19"/>
                <w:szCs w:val="19"/>
                <w:color w:val="auto"/>
              </w:rPr>
            </w:pPr>
          </w:p>
        </w:tc>
        <w:tc>
          <w:tcPr>
            <w:tcW w:w="10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48.5%</w:t>
            </w:r>
          </w:p>
        </w:tc>
        <w:tc>
          <w:tcPr>
            <w:tcW w:w="80" w:type="dxa"/>
            <w:vAlign w:val="bottom"/>
          </w:tcPr>
          <w:p>
            <w:pPr>
              <w:spacing w:after="0"/>
              <w:rPr>
                <w:sz w:val="19"/>
                <w:szCs w:val="19"/>
                <w:color w:val="auto"/>
              </w:rPr>
            </w:pPr>
          </w:p>
        </w:tc>
        <w:tc>
          <w:tcPr>
            <w:tcW w:w="9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52,263</w:t>
            </w:r>
          </w:p>
        </w:tc>
        <w:tc>
          <w:tcPr>
            <w:tcW w:w="10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49.8%</w:t>
            </w:r>
          </w:p>
        </w:tc>
        <w:tc>
          <w:tcPr>
            <w:tcW w:w="8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180,479</w:t>
            </w:r>
          </w:p>
        </w:tc>
        <w:tc>
          <w:tcPr>
            <w:tcW w:w="220" w:type="dxa"/>
            <w:vAlign w:val="bottom"/>
          </w:tcPr>
          <w:p>
            <w:pPr>
              <w:spacing w:after="0"/>
              <w:rPr>
                <w:sz w:val="19"/>
                <w:szCs w:val="19"/>
                <w:color w:val="auto"/>
              </w:rPr>
            </w:pPr>
          </w:p>
        </w:tc>
        <w:tc>
          <w:tcPr>
            <w:tcW w:w="10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49.5%</w:t>
            </w:r>
          </w:p>
        </w:tc>
        <w:tc>
          <w:tcPr>
            <w:tcW w:w="10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153,426</w:t>
            </w:r>
          </w:p>
        </w:tc>
        <w:tc>
          <w:tcPr>
            <w:tcW w:w="200" w:type="dxa"/>
            <w:vAlign w:val="bottom"/>
          </w:tcPr>
          <w:p>
            <w:pPr>
              <w:spacing w:after="0"/>
              <w:rPr>
                <w:sz w:val="19"/>
                <w:szCs w:val="19"/>
                <w:color w:val="auto"/>
              </w:rPr>
            </w:pPr>
          </w:p>
        </w:tc>
        <w:tc>
          <w:tcPr>
            <w:tcW w:w="9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48.5%</w:t>
            </w:r>
          </w:p>
        </w:tc>
        <w:tc>
          <w:tcPr>
            <w:tcW w:w="0" w:type="dxa"/>
            <w:vAlign w:val="bottom"/>
          </w:tcPr>
          <w:p>
            <w:pPr>
              <w:spacing w:after="0"/>
              <w:rPr>
                <w:sz w:val="1"/>
                <w:szCs w:val="1"/>
                <w:color w:val="auto"/>
              </w:rPr>
            </w:pPr>
          </w:p>
        </w:tc>
      </w:tr>
      <w:tr>
        <w:trPr>
          <w:trHeight w:val="20"/>
        </w:trPr>
        <w:tc>
          <w:tcPr>
            <w:tcW w:w="32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324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Gross profit</w:t>
            </w: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60,772</w:t>
            </w:r>
          </w:p>
        </w:tc>
        <w:tc>
          <w:tcPr>
            <w:tcW w:w="2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51.5%</w:t>
            </w:r>
          </w:p>
        </w:tc>
        <w:tc>
          <w:tcPr>
            <w:tcW w:w="8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52,607</w:t>
            </w:r>
          </w:p>
        </w:tc>
        <w:tc>
          <w:tcPr>
            <w:tcW w:w="10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50.2%</w:t>
            </w:r>
          </w:p>
        </w:tc>
        <w:tc>
          <w:tcPr>
            <w:tcW w:w="8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184,103</w:t>
            </w:r>
          </w:p>
        </w:tc>
        <w:tc>
          <w:tcPr>
            <w:tcW w:w="2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50.5%</w:t>
            </w: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163,096</w:t>
            </w:r>
          </w:p>
        </w:tc>
        <w:tc>
          <w:tcPr>
            <w:tcW w:w="2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51.5%</w:t>
            </w:r>
          </w:p>
        </w:tc>
        <w:tc>
          <w:tcPr>
            <w:tcW w:w="0" w:type="dxa"/>
            <w:vAlign w:val="bottom"/>
          </w:tcPr>
          <w:p>
            <w:pPr>
              <w:spacing w:after="0"/>
              <w:rPr>
                <w:sz w:val="1"/>
                <w:szCs w:val="1"/>
                <w:color w:val="auto"/>
              </w:rPr>
            </w:pPr>
          </w:p>
        </w:tc>
      </w:tr>
      <w:tr>
        <w:trPr>
          <w:trHeight w:val="216"/>
        </w:trPr>
        <w:tc>
          <w:tcPr>
            <w:tcW w:w="3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3240" w:type="dxa"/>
            <w:vAlign w:val="bottom"/>
            <w:shd w:val="clear" w:color="auto" w:fill="CCEEFF"/>
          </w:tcPr>
          <w:p>
            <w:pPr>
              <w:spacing w:after="0" w:line="198" w:lineRule="exact"/>
              <w:rPr>
                <w:sz w:val="20"/>
                <w:szCs w:val="20"/>
                <w:color w:val="auto"/>
              </w:rPr>
            </w:pPr>
            <w:r>
              <w:rPr>
                <w:rFonts w:ascii="Times New Roman" w:cs="Times New Roman" w:eastAsia="Times New Roman" w:hAnsi="Times New Roman"/>
                <w:sz w:val="18"/>
                <w:szCs w:val="18"/>
                <w:color w:val="auto"/>
              </w:rPr>
              <w:t>Selling, general and administrative</w:t>
            </w:r>
          </w:p>
        </w:tc>
        <w:tc>
          <w:tcPr>
            <w:tcW w:w="10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32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expenses</w:t>
            </w:r>
          </w:p>
        </w:tc>
        <w:tc>
          <w:tcPr>
            <w:tcW w:w="100" w:type="dxa"/>
            <w:vAlign w:val="bottom"/>
            <w:shd w:val="clear" w:color="auto" w:fill="CCEEFF"/>
          </w:tcPr>
          <w:p>
            <w:pPr>
              <w:spacing w:after="0"/>
              <w:rPr>
                <w:sz w:val="20"/>
                <w:szCs w:val="20"/>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54,695</w:t>
            </w:r>
          </w:p>
        </w:tc>
        <w:tc>
          <w:tcPr>
            <w:tcW w:w="220" w:type="dxa"/>
            <w:vAlign w:val="bottom"/>
            <w:shd w:val="clear" w:color="auto" w:fill="CCEEFF"/>
          </w:tcPr>
          <w:p>
            <w:pPr>
              <w:spacing w:after="0"/>
              <w:rPr>
                <w:sz w:val="20"/>
                <w:szCs w:val="20"/>
                <w:color w:val="auto"/>
              </w:rPr>
            </w:pPr>
          </w:p>
        </w:tc>
        <w:tc>
          <w:tcPr>
            <w:tcW w:w="10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46.3%</w:t>
            </w:r>
          </w:p>
        </w:tc>
        <w:tc>
          <w:tcPr>
            <w:tcW w:w="80" w:type="dxa"/>
            <w:vAlign w:val="bottom"/>
            <w:shd w:val="clear" w:color="auto" w:fill="CCEEFF"/>
          </w:tcPr>
          <w:p>
            <w:pPr>
              <w:spacing w:after="0"/>
              <w:rPr>
                <w:sz w:val="20"/>
                <w:szCs w:val="20"/>
                <w:color w:val="auto"/>
              </w:rPr>
            </w:pPr>
          </w:p>
        </w:tc>
        <w:tc>
          <w:tcPr>
            <w:tcW w:w="9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47,631</w:t>
            </w:r>
          </w:p>
        </w:tc>
        <w:tc>
          <w:tcPr>
            <w:tcW w:w="10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45.4%</w:t>
            </w:r>
          </w:p>
        </w:tc>
        <w:tc>
          <w:tcPr>
            <w:tcW w:w="80" w:type="dxa"/>
            <w:vAlign w:val="bottom"/>
            <w:shd w:val="clear" w:color="auto" w:fill="CCEEFF"/>
          </w:tcPr>
          <w:p>
            <w:pPr>
              <w:spacing w:after="0"/>
              <w:rPr>
                <w:sz w:val="20"/>
                <w:szCs w:val="20"/>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160,536</w:t>
            </w:r>
          </w:p>
        </w:tc>
        <w:tc>
          <w:tcPr>
            <w:tcW w:w="220" w:type="dxa"/>
            <w:vAlign w:val="bottom"/>
            <w:shd w:val="clear" w:color="auto" w:fill="CCEEFF"/>
          </w:tcPr>
          <w:p>
            <w:pPr>
              <w:spacing w:after="0"/>
              <w:rPr>
                <w:sz w:val="20"/>
                <w:szCs w:val="20"/>
                <w:color w:val="auto"/>
              </w:rPr>
            </w:pPr>
          </w:p>
        </w:tc>
        <w:tc>
          <w:tcPr>
            <w:tcW w:w="10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44.0%</w:t>
            </w:r>
          </w:p>
        </w:tc>
        <w:tc>
          <w:tcPr>
            <w:tcW w:w="100" w:type="dxa"/>
            <w:vAlign w:val="bottom"/>
            <w:shd w:val="clear" w:color="auto" w:fill="CCEEFF"/>
          </w:tcPr>
          <w:p>
            <w:pPr>
              <w:spacing w:after="0"/>
              <w:rPr>
                <w:sz w:val="20"/>
                <w:szCs w:val="20"/>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145,473</w:t>
            </w:r>
          </w:p>
        </w:tc>
        <w:tc>
          <w:tcPr>
            <w:tcW w:w="200" w:type="dxa"/>
            <w:vAlign w:val="bottom"/>
            <w:shd w:val="clear" w:color="auto" w:fill="CCEEFF"/>
          </w:tcPr>
          <w:p>
            <w:pPr>
              <w:spacing w:after="0"/>
              <w:rPr>
                <w:sz w:val="20"/>
                <w:szCs w:val="20"/>
                <w:color w:val="auto"/>
              </w:rPr>
            </w:pPr>
          </w:p>
        </w:tc>
        <w:tc>
          <w:tcPr>
            <w:tcW w:w="94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46.0%</w:t>
            </w:r>
          </w:p>
        </w:tc>
        <w:tc>
          <w:tcPr>
            <w:tcW w:w="0" w:type="dxa"/>
            <w:vAlign w:val="bottom"/>
          </w:tcPr>
          <w:p>
            <w:pPr>
              <w:spacing w:after="0"/>
              <w:rPr>
                <w:sz w:val="1"/>
                <w:szCs w:val="1"/>
                <w:color w:val="auto"/>
              </w:rPr>
            </w:pPr>
          </w:p>
        </w:tc>
      </w:tr>
      <w:tr>
        <w:trPr>
          <w:trHeight w:val="229"/>
        </w:trPr>
        <w:tc>
          <w:tcPr>
            <w:tcW w:w="3240" w:type="dxa"/>
            <w:vAlign w:val="bottom"/>
          </w:tcPr>
          <w:p>
            <w:pPr>
              <w:spacing w:after="0"/>
              <w:rPr>
                <w:sz w:val="20"/>
                <w:szCs w:val="20"/>
                <w:color w:val="auto"/>
              </w:rPr>
            </w:pPr>
            <w:r>
              <w:rPr>
                <w:rFonts w:ascii="Times New Roman" w:cs="Times New Roman" w:eastAsia="Times New Roman" w:hAnsi="Times New Roman"/>
                <w:sz w:val="18"/>
                <w:szCs w:val="18"/>
                <w:color w:val="auto"/>
              </w:rPr>
              <w:t>Gain on sale of retail real estate</w:t>
            </w:r>
          </w:p>
        </w:tc>
        <w:tc>
          <w:tcPr>
            <w:tcW w:w="10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4,595</w:t>
            </w:r>
          </w:p>
        </w:tc>
        <w:tc>
          <w:tcPr>
            <w:tcW w:w="220" w:type="dxa"/>
            <w:vAlign w:val="bottom"/>
          </w:tcPr>
          <w:p>
            <w:pPr>
              <w:spacing w:after="0"/>
              <w:rPr>
                <w:sz w:val="19"/>
                <w:szCs w:val="19"/>
                <w:color w:val="auto"/>
              </w:rPr>
            </w:pPr>
          </w:p>
        </w:tc>
        <w:tc>
          <w:tcPr>
            <w:tcW w:w="10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3.9%</w:t>
            </w:r>
          </w:p>
        </w:tc>
        <w:tc>
          <w:tcPr>
            <w:tcW w:w="80" w:type="dxa"/>
            <w:vAlign w:val="bottom"/>
          </w:tcPr>
          <w:p>
            <w:pPr>
              <w:spacing w:after="0"/>
              <w:rPr>
                <w:sz w:val="19"/>
                <w:szCs w:val="19"/>
                <w:color w:val="auto"/>
              </w:rPr>
            </w:pPr>
          </w:p>
        </w:tc>
        <w:tc>
          <w:tcPr>
            <w:tcW w:w="9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0.0%</w:t>
            </w:r>
          </w:p>
        </w:tc>
        <w:tc>
          <w:tcPr>
            <w:tcW w:w="8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4,595</w:t>
            </w:r>
          </w:p>
        </w:tc>
        <w:tc>
          <w:tcPr>
            <w:tcW w:w="220" w:type="dxa"/>
            <w:vAlign w:val="bottom"/>
          </w:tcPr>
          <w:p>
            <w:pPr>
              <w:spacing w:after="0"/>
              <w:rPr>
                <w:sz w:val="19"/>
                <w:szCs w:val="19"/>
                <w:color w:val="auto"/>
              </w:rPr>
            </w:pPr>
          </w:p>
        </w:tc>
        <w:tc>
          <w:tcPr>
            <w:tcW w:w="10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1.3%</w:t>
            </w:r>
          </w:p>
        </w:tc>
        <w:tc>
          <w:tcPr>
            <w:tcW w:w="10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9"/>
                <w:szCs w:val="19"/>
                <w:color w:val="auto"/>
              </w:rPr>
            </w:pPr>
          </w:p>
        </w:tc>
        <w:tc>
          <w:tcPr>
            <w:tcW w:w="9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0.0%</w:t>
            </w:r>
          </w:p>
        </w:tc>
        <w:tc>
          <w:tcPr>
            <w:tcW w:w="0" w:type="dxa"/>
            <w:vAlign w:val="bottom"/>
          </w:tcPr>
          <w:p>
            <w:pPr>
              <w:spacing w:after="0"/>
              <w:rPr>
                <w:sz w:val="1"/>
                <w:szCs w:val="1"/>
                <w:color w:val="auto"/>
              </w:rPr>
            </w:pPr>
          </w:p>
        </w:tc>
      </w:tr>
      <w:tr>
        <w:trPr>
          <w:trHeight w:val="20"/>
        </w:trPr>
        <w:tc>
          <w:tcPr>
            <w:tcW w:w="32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324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Income from operations</w:t>
            </w: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10,672</w:t>
            </w:r>
          </w:p>
        </w:tc>
        <w:tc>
          <w:tcPr>
            <w:tcW w:w="2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9.0%</w:t>
            </w:r>
          </w:p>
        </w:tc>
        <w:tc>
          <w:tcPr>
            <w:tcW w:w="8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4,976</w:t>
            </w:r>
          </w:p>
        </w:tc>
        <w:tc>
          <w:tcPr>
            <w:tcW w:w="10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4.7%</w:t>
            </w:r>
          </w:p>
        </w:tc>
        <w:tc>
          <w:tcPr>
            <w:tcW w:w="8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28,162</w:t>
            </w:r>
          </w:p>
        </w:tc>
        <w:tc>
          <w:tcPr>
            <w:tcW w:w="2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7.7%</w:t>
            </w: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17,623</w:t>
            </w:r>
          </w:p>
        </w:tc>
        <w:tc>
          <w:tcPr>
            <w:tcW w:w="2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5.6%</w:t>
            </w:r>
          </w:p>
        </w:tc>
        <w:tc>
          <w:tcPr>
            <w:tcW w:w="0" w:type="dxa"/>
            <w:vAlign w:val="bottom"/>
          </w:tcPr>
          <w:p>
            <w:pPr>
              <w:spacing w:after="0"/>
              <w:rPr>
                <w:sz w:val="1"/>
                <w:szCs w:val="1"/>
                <w:color w:val="auto"/>
              </w:rPr>
            </w:pPr>
          </w:p>
        </w:tc>
      </w:tr>
      <w:tr>
        <w:trPr>
          <w:trHeight w:val="216"/>
        </w:trPr>
        <w:tc>
          <w:tcPr>
            <w:tcW w:w="3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62"/>
        </w:trPr>
        <w:tc>
          <w:tcPr>
            <w:tcW w:w="3240" w:type="dxa"/>
            <w:vAlign w:val="bottom"/>
            <w:vMerge w:val="restart"/>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income (loss), net</w:t>
            </w:r>
          </w:p>
        </w:tc>
        <w:tc>
          <w:tcPr>
            <w:tcW w:w="100" w:type="dxa"/>
            <w:vAlign w:val="bottom"/>
            <w:shd w:val="clear" w:color="auto" w:fill="CCEEFF"/>
          </w:tcPr>
          <w:p>
            <w:pPr>
              <w:spacing w:after="0"/>
              <w:rPr>
                <w:sz w:val="14"/>
                <w:szCs w:val="14"/>
                <w:color w:val="auto"/>
              </w:rPr>
            </w:pPr>
          </w:p>
        </w:tc>
        <w:tc>
          <w:tcPr>
            <w:tcW w:w="900" w:type="dxa"/>
            <w:vAlign w:val="bottom"/>
            <w:gridSpan w:val="2"/>
            <w:shd w:val="clear" w:color="auto" w:fill="CCEEFF"/>
          </w:tcPr>
          <w:p>
            <w:pPr>
              <w:jc w:val="right"/>
              <w:ind w:right="160"/>
              <w:spacing w:after="0" w:line="162" w:lineRule="exact"/>
              <w:rPr>
                <w:sz w:val="20"/>
                <w:szCs w:val="20"/>
                <w:color w:val="auto"/>
              </w:rPr>
            </w:pPr>
            <w:r>
              <w:rPr>
                <w:rFonts w:ascii="Times New Roman" w:cs="Times New Roman" w:eastAsia="Times New Roman" w:hAnsi="Times New Roman"/>
                <w:sz w:val="18"/>
                <w:szCs w:val="18"/>
                <w:color w:val="auto"/>
              </w:rPr>
              <w:t>)</w:t>
            </w:r>
          </w:p>
        </w:tc>
        <w:tc>
          <w:tcPr>
            <w:tcW w:w="1040" w:type="dxa"/>
            <w:vAlign w:val="bottom"/>
            <w:gridSpan w:val="2"/>
            <w:vMerge w:val="restart"/>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-0.5%</w:t>
            </w:r>
          </w:p>
        </w:tc>
        <w:tc>
          <w:tcPr>
            <w:tcW w:w="80" w:type="dxa"/>
            <w:vAlign w:val="bottom"/>
            <w:shd w:val="clear" w:color="auto" w:fill="CCEEFF"/>
          </w:tcPr>
          <w:p>
            <w:pPr>
              <w:spacing w:after="0"/>
              <w:rPr>
                <w:sz w:val="14"/>
                <w:szCs w:val="14"/>
                <w:color w:val="auto"/>
              </w:rPr>
            </w:pPr>
          </w:p>
        </w:tc>
        <w:tc>
          <w:tcPr>
            <w:tcW w:w="900" w:type="dxa"/>
            <w:vAlign w:val="bottom"/>
            <w:gridSpan w:val="2"/>
            <w:shd w:val="clear" w:color="auto" w:fill="CCEEFF"/>
          </w:tcPr>
          <w:p>
            <w:pPr>
              <w:jc w:val="right"/>
              <w:ind w:right="160"/>
              <w:spacing w:after="0" w:line="162" w:lineRule="exact"/>
              <w:rPr>
                <w:sz w:val="20"/>
                <w:szCs w:val="20"/>
                <w:color w:val="auto"/>
              </w:rPr>
            </w:pPr>
            <w:r>
              <w:rPr>
                <w:rFonts w:ascii="Times New Roman" w:cs="Times New Roman" w:eastAsia="Times New Roman" w:hAnsi="Times New Roman"/>
                <w:sz w:val="18"/>
                <w:szCs w:val="18"/>
                <w:color w:val="auto"/>
              </w:rPr>
              <w:t>)</w:t>
            </w:r>
          </w:p>
        </w:tc>
        <w:tc>
          <w:tcPr>
            <w:tcW w:w="1040" w:type="dxa"/>
            <w:vAlign w:val="bottom"/>
            <w:gridSpan w:val="2"/>
            <w:vMerge w:val="restart"/>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-0.3%</w:t>
            </w:r>
          </w:p>
        </w:tc>
        <w:tc>
          <w:tcPr>
            <w:tcW w:w="80" w:type="dxa"/>
            <w:vAlign w:val="bottom"/>
            <w:shd w:val="clear" w:color="auto" w:fill="CCEEFF"/>
          </w:tcPr>
          <w:p>
            <w:pPr>
              <w:spacing w:after="0"/>
              <w:rPr>
                <w:sz w:val="14"/>
                <w:szCs w:val="14"/>
                <w:color w:val="auto"/>
              </w:rPr>
            </w:pPr>
          </w:p>
        </w:tc>
        <w:tc>
          <w:tcPr>
            <w:tcW w:w="6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(1,850</w:t>
            </w:r>
          </w:p>
        </w:tc>
        <w:tc>
          <w:tcPr>
            <w:tcW w:w="220" w:type="dxa"/>
            <w:vAlign w:val="bottom"/>
            <w:shd w:val="clear" w:color="auto" w:fill="CCEEFF"/>
          </w:tcPr>
          <w:p>
            <w:pPr>
              <w:jc w:val="right"/>
              <w:ind w:right="81"/>
              <w:spacing w:after="0" w:line="162" w:lineRule="exact"/>
              <w:rPr>
                <w:sz w:val="20"/>
                <w:szCs w:val="20"/>
                <w:color w:val="auto"/>
              </w:rPr>
            </w:pPr>
            <w:r>
              <w:rPr>
                <w:rFonts w:ascii="Times New Roman" w:cs="Times New Roman" w:eastAsia="Times New Roman" w:hAnsi="Times New Roman"/>
                <w:sz w:val="16"/>
                <w:szCs w:val="16"/>
                <w:color w:val="auto"/>
                <w:w w:val="74"/>
              </w:rPr>
              <w:t>)</w:t>
            </w:r>
          </w:p>
        </w:tc>
        <w:tc>
          <w:tcPr>
            <w:tcW w:w="1040" w:type="dxa"/>
            <w:vAlign w:val="bottom"/>
            <w:gridSpan w:val="2"/>
            <w:vMerge w:val="restart"/>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-0.5%</w:t>
            </w:r>
          </w:p>
        </w:tc>
        <w:tc>
          <w:tcPr>
            <w:tcW w:w="100" w:type="dxa"/>
            <w:vAlign w:val="bottom"/>
            <w:shd w:val="clear" w:color="auto" w:fill="CCEEFF"/>
          </w:tcPr>
          <w:p>
            <w:pPr>
              <w:spacing w:after="0"/>
              <w:rPr>
                <w:sz w:val="14"/>
                <w:szCs w:val="14"/>
                <w:color w:val="auto"/>
              </w:rPr>
            </w:pPr>
          </w:p>
        </w:tc>
        <w:tc>
          <w:tcPr>
            <w:tcW w:w="6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(828</w:t>
            </w:r>
          </w:p>
        </w:tc>
        <w:tc>
          <w:tcPr>
            <w:tcW w:w="200" w:type="dxa"/>
            <w:vAlign w:val="bottom"/>
            <w:shd w:val="clear" w:color="auto" w:fill="CCEEFF"/>
          </w:tcPr>
          <w:p>
            <w:pPr>
              <w:jc w:val="right"/>
              <w:ind w:right="61"/>
              <w:spacing w:after="0" w:line="162" w:lineRule="exact"/>
              <w:rPr>
                <w:sz w:val="20"/>
                <w:szCs w:val="20"/>
                <w:color w:val="auto"/>
              </w:rPr>
            </w:pPr>
            <w:r>
              <w:rPr>
                <w:rFonts w:ascii="Times New Roman" w:cs="Times New Roman" w:eastAsia="Times New Roman" w:hAnsi="Times New Roman"/>
                <w:sz w:val="16"/>
                <w:szCs w:val="16"/>
                <w:color w:val="auto"/>
                <w:w w:val="74"/>
              </w:rPr>
              <w:t>)</w:t>
            </w:r>
          </w:p>
        </w:tc>
        <w:tc>
          <w:tcPr>
            <w:tcW w:w="940" w:type="dxa"/>
            <w:vAlign w:val="bottom"/>
            <w:gridSpan w:val="2"/>
            <w:vMerge w:val="restart"/>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-0.3%</w:t>
            </w:r>
          </w:p>
        </w:tc>
        <w:tc>
          <w:tcPr>
            <w:tcW w:w="0" w:type="dxa"/>
            <w:vAlign w:val="bottom"/>
          </w:tcPr>
          <w:p>
            <w:pPr>
              <w:spacing w:after="0"/>
              <w:rPr>
                <w:sz w:val="1"/>
                <w:szCs w:val="1"/>
                <w:color w:val="auto"/>
              </w:rPr>
            </w:pPr>
          </w:p>
        </w:tc>
      </w:tr>
      <w:tr>
        <w:trPr>
          <w:trHeight w:val="68"/>
        </w:trPr>
        <w:tc>
          <w:tcPr>
            <w:tcW w:w="3240" w:type="dxa"/>
            <w:vAlign w:val="bottom"/>
            <w:vMerge w:val="continue"/>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680" w:type="dxa"/>
            <w:vAlign w:val="bottom"/>
            <w:shd w:val="clear" w:color="auto" w:fill="CCEEFF"/>
          </w:tcPr>
          <w:p>
            <w:pPr>
              <w:jc w:val="right"/>
              <w:spacing w:after="0" w:line="68" w:lineRule="exact"/>
              <w:rPr>
                <w:sz w:val="20"/>
                <w:szCs w:val="20"/>
                <w:color w:val="auto"/>
              </w:rPr>
            </w:pPr>
            <w:r>
              <w:rPr>
                <w:rFonts w:ascii="Times New Roman" w:cs="Times New Roman" w:eastAsia="Times New Roman" w:hAnsi="Times New Roman"/>
                <w:sz w:val="7"/>
                <w:szCs w:val="7"/>
                <w:color w:val="auto"/>
              </w:rPr>
              <w:t>(594</w:t>
            </w:r>
          </w:p>
        </w:tc>
        <w:tc>
          <w:tcPr>
            <w:tcW w:w="220" w:type="dxa"/>
            <w:vAlign w:val="bottom"/>
            <w:shd w:val="clear" w:color="auto" w:fill="CCEEFF"/>
          </w:tcPr>
          <w:p>
            <w:pPr>
              <w:spacing w:after="0"/>
              <w:rPr>
                <w:sz w:val="5"/>
                <w:szCs w:val="5"/>
                <w:color w:val="auto"/>
              </w:rPr>
            </w:pPr>
          </w:p>
        </w:tc>
        <w:tc>
          <w:tcPr>
            <w:tcW w:w="1040" w:type="dxa"/>
            <w:vAlign w:val="bottom"/>
            <w:gridSpan w:val="2"/>
            <w:vMerge w:val="continue"/>
            <w:shd w:val="clear" w:color="auto" w:fill="CCEEFF"/>
          </w:tcPr>
          <w:p>
            <w:pPr>
              <w:spacing w:after="0"/>
              <w:rPr>
                <w:sz w:val="5"/>
                <w:szCs w:val="5"/>
                <w:color w:val="auto"/>
              </w:rPr>
            </w:pPr>
          </w:p>
        </w:tc>
        <w:tc>
          <w:tcPr>
            <w:tcW w:w="80" w:type="dxa"/>
            <w:vAlign w:val="bottom"/>
            <w:shd w:val="clear" w:color="auto" w:fill="CCEEFF"/>
          </w:tcPr>
          <w:p>
            <w:pPr>
              <w:spacing w:after="0"/>
              <w:rPr>
                <w:sz w:val="5"/>
                <w:szCs w:val="5"/>
                <w:color w:val="auto"/>
              </w:rPr>
            </w:pPr>
          </w:p>
        </w:tc>
        <w:tc>
          <w:tcPr>
            <w:tcW w:w="900" w:type="dxa"/>
            <w:vAlign w:val="bottom"/>
            <w:gridSpan w:val="2"/>
            <w:shd w:val="clear" w:color="auto" w:fill="CCEEFF"/>
          </w:tcPr>
          <w:p>
            <w:pPr>
              <w:jc w:val="right"/>
              <w:ind w:right="220"/>
              <w:spacing w:after="0" w:line="68" w:lineRule="exact"/>
              <w:rPr>
                <w:sz w:val="20"/>
                <w:szCs w:val="20"/>
                <w:color w:val="auto"/>
              </w:rPr>
            </w:pPr>
            <w:r>
              <w:rPr>
                <w:rFonts w:ascii="Times New Roman" w:cs="Times New Roman" w:eastAsia="Times New Roman" w:hAnsi="Times New Roman"/>
                <w:sz w:val="7"/>
                <w:szCs w:val="7"/>
                <w:color w:val="auto"/>
              </w:rPr>
              <w:t>(268</w:t>
            </w:r>
          </w:p>
        </w:tc>
        <w:tc>
          <w:tcPr>
            <w:tcW w:w="1040" w:type="dxa"/>
            <w:vAlign w:val="bottom"/>
            <w:gridSpan w:val="2"/>
            <w:vMerge w:val="continue"/>
            <w:shd w:val="clear" w:color="auto" w:fill="CCEEFF"/>
          </w:tcPr>
          <w:p>
            <w:pPr>
              <w:spacing w:after="0"/>
              <w:rPr>
                <w:sz w:val="5"/>
                <w:szCs w:val="5"/>
                <w:color w:val="auto"/>
              </w:rPr>
            </w:pPr>
          </w:p>
        </w:tc>
        <w:tc>
          <w:tcPr>
            <w:tcW w:w="80" w:type="dxa"/>
            <w:vAlign w:val="bottom"/>
            <w:shd w:val="clear" w:color="auto" w:fill="CCEEFF"/>
          </w:tcPr>
          <w:p>
            <w:pPr>
              <w:spacing w:after="0"/>
              <w:rPr>
                <w:sz w:val="5"/>
                <w:szCs w:val="5"/>
                <w:color w:val="auto"/>
              </w:rPr>
            </w:pPr>
          </w:p>
        </w:tc>
        <w:tc>
          <w:tcPr>
            <w:tcW w:w="680" w:type="dxa"/>
            <w:vAlign w:val="bottom"/>
            <w:vMerge w:val="continue"/>
            <w:shd w:val="clear" w:color="auto" w:fill="CCEEFF"/>
          </w:tcPr>
          <w:p>
            <w:pPr>
              <w:spacing w:after="0"/>
              <w:rPr>
                <w:sz w:val="5"/>
                <w:szCs w:val="5"/>
                <w:color w:val="auto"/>
              </w:rPr>
            </w:pPr>
          </w:p>
        </w:tc>
        <w:tc>
          <w:tcPr>
            <w:tcW w:w="220" w:type="dxa"/>
            <w:vAlign w:val="bottom"/>
            <w:shd w:val="clear" w:color="auto" w:fill="CCEEFF"/>
          </w:tcPr>
          <w:p>
            <w:pPr>
              <w:spacing w:after="0"/>
              <w:rPr>
                <w:sz w:val="5"/>
                <w:szCs w:val="5"/>
                <w:color w:val="auto"/>
              </w:rPr>
            </w:pPr>
          </w:p>
        </w:tc>
        <w:tc>
          <w:tcPr>
            <w:tcW w:w="1040" w:type="dxa"/>
            <w:vAlign w:val="bottom"/>
            <w:gridSpan w:val="2"/>
            <w:vMerge w:val="continue"/>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680" w:type="dxa"/>
            <w:vAlign w:val="bottom"/>
            <w:vMerge w:val="continue"/>
            <w:shd w:val="clear" w:color="auto" w:fill="CCEEFF"/>
          </w:tcPr>
          <w:p>
            <w:pPr>
              <w:spacing w:after="0"/>
              <w:rPr>
                <w:sz w:val="5"/>
                <w:szCs w:val="5"/>
                <w:color w:val="auto"/>
              </w:rPr>
            </w:pPr>
          </w:p>
        </w:tc>
        <w:tc>
          <w:tcPr>
            <w:tcW w:w="200" w:type="dxa"/>
            <w:vAlign w:val="bottom"/>
            <w:shd w:val="clear" w:color="auto" w:fill="CCEEFF"/>
          </w:tcPr>
          <w:p>
            <w:pPr>
              <w:spacing w:after="0"/>
              <w:rPr>
                <w:sz w:val="5"/>
                <w:szCs w:val="5"/>
                <w:color w:val="auto"/>
              </w:rPr>
            </w:pPr>
          </w:p>
        </w:tc>
        <w:tc>
          <w:tcPr>
            <w:tcW w:w="940" w:type="dxa"/>
            <w:vAlign w:val="bottom"/>
            <w:gridSpan w:val="2"/>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191"/>
        </w:trPr>
        <w:tc>
          <w:tcPr>
            <w:tcW w:w="3240" w:type="dxa"/>
            <w:vAlign w:val="bottom"/>
            <w:tcBorders>
              <w:top w:val="single" w:sz="8" w:color="CCEEFF"/>
            </w:tcBorders>
          </w:tcPr>
          <w:p>
            <w:pPr>
              <w:spacing w:after="0" w:line="191" w:lineRule="exact"/>
              <w:rPr>
                <w:sz w:val="20"/>
                <w:szCs w:val="20"/>
                <w:color w:val="auto"/>
              </w:rPr>
            </w:pPr>
            <w:r>
              <w:rPr>
                <w:rFonts w:ascii="Times New Roman" w:cs="Times New Roman" w:eastAsia="Times New Roman" w:hAnsi="Times New Roman"/>
                <w:sz w:val="18"/>
                <w:szCs w:val="18"/>
                <w:color w:val="auto"/>
              </w:rPr>
              <w:t>Income from continuing operations before</w:t>
            </w:r>
          </w:p>
        </w:tc>
        <w:tc>
          <w:tcPr>
            <w:tcW w:w="100" w:type="dxa"/>
            <w:vAlign w:val="bottom"/>
            <w:tcBorders>
              <w:top w:val="single" w:sz="8" w:color="auto"/>
            </w:tcBorders>
          </w:tcPr>
          <w:p>
            <w:pPr>
              <w:spacing w:after="0"/>
              <w:rPr>
                <w:sz w:val="16"/>
                <w:szCs w:val="16"/>
                <w:color w:val="auto"/>
              </w:rPr>
            </w:pPr>
          </w:p>
        </w:tc>
        <w:tc>
          <w:tcPr>
            <w:tcW w:w="680" w:type="dxa"/>
            <w:vAlign w:val="bottom"/>
            <w:tcBorders>
              <w:top w:val="single" w:sz="8" w:color="auto"/>
            </w:tcBorders>
          </w:tcPr>
          <w:p>
            <w:pPr>
              <w:spacing w:after="0"/>
              <w:rPr>
                <w:sz w:val="16"/>
                <w:szCs w:val="16"/>
                <w:color w:val="auto"/>
              </w:rPr>
            </w:pPr>
          </w:p>
        </w:tc>
        <w:tc>
          <w:tcPr>
            <w:tcW w:w="220" w:type="dxa"/>
            <w:vAlign w:val="bottom"/>
            <w:tcBorders>
              <w:top w:val="single" w:sz="8" w:color="auto"/>
            </w:tcBorders>
          </w:tcPr>
          <w:p>
            <w:pPr>
              <w:spacing w:after="0"/>
              <w:rPr>
                <w:sz w:val="16"/>
                <w:szCs w:val="16"/>
                <w:color w:val="auto"/>
              </w:rPr>
            </w:pPr>
          </w:p>
        </w:tc>
        <w:tc>
          <w:tcPr>
            <w:tcW w:w="760" w:type="dxa"/>
            <w:vAlign w:val="bottom"/>
            <w:tcBorders>
              <w:top w:val="single" w:sz="8" w:color="auto"/>
            </w:tcBorders>
          </w:tcPr>
          <w:p>
            <w:pPr>
              <w:spacing w:after="0"/>
              <w:rPr>
                <w:sz w:val="16"/>
                <w:szCs w:val="16"/>
                <w:color w:val="auto"/>
              </w:rPr>
            </w:pPr>
          </w:p>
        </w:tc>
        <w:tc>
          <w:tcPr>
            <w:tcW w:w="280" w:type="dxa"/>
            <w:vAlign w:val="bottom"/>
            <w:tcBorders>
              <w:top w:val="single" w:sz="8" w:color="CCEEFF"/>
            </w:tcBorders>
          </w:tcPr>
          <w:p>
            <w:pPr>
              <w:spacing w:after="0"/>
              <w:rPr>
                <w:sz w:val="16"/>
                <w:szCs w:val="16"/>
                <w:color w:val="auto"/>
              </w:rPr>
            </w:pPr>
          </w:p>
        </w:tc>
        <w:tc>
          <w:tcPr>
            <w:tcW w:w="80" w:type="dxa"/>
            <w:vAlign w:val="bottom"/>
            <w:tcBorders>
              <w:top w:val="single" w:sz="8" w:color="auto"/>
            </w:tcBorders>
          </w:tcPr>
          <w:p>
            <w:pPr>
              <w:spacing w:after="0"/>
              <w:rPr>
                <w:sz w:val="16"/>
                <w:szCs w:val="16"/>
                <w:color w:val="auto"/>
              </w:rPr>
            </w:pPr>
          </w:p>
        </w:tc>
        <w:tc>
          <w:tcPr>
            <w:tcW w:w="680" w:type="dxa"/>
            <w:vAlign w:val="bottom"/>
            <w:tcBorders>
              <w:top w:val="single" w:sz="8" w:color="auto"/>
            </w:tcBorders>
          </w:tcPr>
          <w:p>
            <w:pPr>
              <w:spacing w:after="0"/>
              <w:rPr>
                <w:sz w:val="16"/>
                <w:szCs w:val="16"/>
                <w:color w:val="auto"/>
              </w:rPr>
            </w:pPr>
          </w:p>
        </w:tc>
        <w:tc>
          <w:tcPr>
            <w:tcW w:w="220" w:type="dxa"/>
            <w:vAlign w:val="bottom"/>
            <w:tcBorders>
              <w:top w:val="single" w:sz="8" w:color="auto"/>
            </w:tcBorders>
          </w:tcPr>
          <w:p>
            <w:pPr>
              <w:spacing w:after="0"/>
              <w:rPr>
                <w:sz w:val="16"/>
                <w:szCs w:val="16"/>
                <w:color w:val="auto"/>
              </w:rPr>
            </w:pPr>
          </w:p>
        </w:tc>
        <w:tc>
          <w:tcPr>
            <w:tcW w:w="760" w:type="dxa"/>
            <w:vAlign w:val="bottom"/>
            <w:tcBorders>
              <w:top w:val="single" w:sz="8" w:color="auto"/>
            </w:tcBorders>
          </w:tcPr>
          <w:p>
            <w:pPr>
              <w:spacing w:after="0"/>
              <w:rPr>
                <w:sz w:val="16"/>
                <w:szCs w:val="16"/>
                <w:color w:val="auto"/>
              </w:rPr>
            </w:pPr>
          </w:p>
        </w:tc>
        <w:tc>
          <w:tcPr>
            <w:tcW w:w="280" w:type="dxa"/>
            <w:vAlign w:val="bottom"/>
            <w:tcBorders>
              <w:top w:val="single" w:sz="8" w:color="CCEEFF"/>
            </w:tcBorders>
          </w:tcPr>
          <w:p>
            <w:pPr>
              <w:spacing w:after="0"/>
              <w:rPr>
                <w:sz w:val="16"/>
                <w:szCs w:val="16"/>
                <w:color w:val="auto"/>
              </w:rPr>
            </w:pPr>
          </w:p>
        </w:tc>
        <w:tc>
          <w:tcPr>
            <w:tcW w:w="80" w:type="dxa"/>
            <w:vAlign w:val="bottom"/>
            <w:tcBorders>
              <w:top w:val="single" w:sz="8" w:color="auto"/>
            </w:tcBorders>
          </w:tcPr>
          <w:p>
            <w:pPr>
              <w:spacing w:after="0"/>
              <w:rPr>
                <w:sz w:val="16"/>
                <w:szCs w:val="16"/>
                <w:color w:val="auto"/>
              </w:rPr>
            </w:pPr>
          </w:p>
        </w:tc>
        <w:tc>
          <w:tcPr>
            <w:tcW w:w="680" w:type="dxa"/>
            <w:vAlign w:val="bottom"/>
            <w:tcBorders>
              <w:top w:val="single" w:sz="8" w:color="auto"/>
            </w:tcBorders>
          </w:tcPr>
          <w:p>
            <w:pPr>
              <w:spacing w:after="0"/>
              <w:rPr>
                <w:sz w:val="16"/>
                <w:szCs w:val="16"/>
                <w:color w:val="auto"/>
              </w:rPr>
            </w:pPr>
          </w:p>
        </w:tc>
        <w:tc>
          <w:tcPr>
            <w:tcW w:w="220" w:type="dxa"/>
            <w:vAlign w:val="bottom"/>
            <w:tcBorders>
              <w:top w:val="single" w:sz="8" w:color="auto"/>
            </w:tcBorders>
          </w:tcPr>
          <w:p>
            <w:pPr>
              <w:spacing w:after="0"/>
              <w:rPr>
                <w:sz w:val="16"/>
                <w:szCs w:val="16"/>
                <w:color w:val="auto"/>
              </w:rPr>
            </w:pPr>
          </w:p>
        </w:tc>
        <w:tc>
          <w:tcPr>
            <w:tcW w:w="780" w:type="dxa"/>
            <w:vAlign w:val="bottom"/>
            <w:tcBorders>
              <w:top w:val="single" w:sz="8" w:color="auto"/>
            </w:tcBorders>
          </w:tcPr>
          <w:p>
            <w:pPr>
              <w:spacing w:after="0"/>
              <w:rPr>
                <w:sz w:val="16"/>
                <w:szCs w:val="16"/>
                <w:color w:val="auto"/>
              </w:rPr>
            </w:pPr>
          </w:p>
        </w:tc>
        <w:tc>
          <w:tcPr>
            <w:tcW w:w="260" w:type="dxa"/>
            <w:vAlign w:val="bottom"/>
            <w:tcBorders>
              <w:top w:val="single" w:sz="8" w:color="CCEEFF"/>
            </w:tcBorders>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680" w:type="dxa"/>
            <w:vAlign w:val="bottom"/>
            <w:tcBorders>
              <w:top w:val="single" w:sz="8" w:color="auto"/>
            </w:tcBorders>
          </w:tcPr>
          <w:p>
            <w:pPr>
              <w:spacing w:after="0"/>
              <w:rPr>
                <w:sz w:val="16"/>
                <w:szCs w:val="16"/>
                <w:color w:val="auto"/>
              </w:rPr>
            </w:pPr>
          </w:p>
        </w:tc>
        <w:tc>
          <w:tcPr>
            <w:tcW w:w="200" w:type="dxa"/>
            <w:vAlign w:val="bottom"/>
            <w:tcBorders>
              <w:top w:val="single" w:sz="8" w:color="auto"/>
            </w:tcBorders>
          </w:tcPr>
          <w:p>
            <w:pPr>
              <w:spacing w:after="0"/>
              <w:rPr>
                <w:sz w:val="16"/>
                <w:szCs w:val="16"/>
                <w:color w:val="auto"/>
              </w:rPr>
            </w:pPr>
          </w:p>
        </w:tc>
        <w:tc>
          <w:tcPr>
            <w:tcW w:w="780" w:type="dxa"/>
            <w:vAlign w:val="bottom"/>
            <w:tcBorders>
              <w:top w:val="single" w:sz="8" w:color="auto"/>
            </w:tcBorders>
          </w:tcPr>
          <w:p>
            <w:pPr>
              <w:spacing w:after="0"/>
              <w:rPr>
                <w:sz w:val="16"/>
                <w:szCs w:val="16"/>
                <w:color w:val="auto"/>
              </w:rPr>
            </w:pPr>
          </w:p>
        </w:tc>
        <w:tc>
          <w:tcPr>
            <w:tcW w:w="160" w:type="dxa"/>
            <w:vAlign w:val="bottom"/>
            <w:tcBorders>
              <w:top w:val="single" w:sz="8" w:color="CCEEFF"/>
            </w:tcBorders>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3240" w:type="dxa"/>
            <w:vAlign w:val="bottom"/>
          </w:tcPr>
          <w:p>
            <w:pPr>
              <w:spacing w:after="0"/>
              <w:rPr>
                <w:sz w:val="20"/>
                <w:szCs w:val="20"/>
                <w:color w:val="auto"/>
              </w:rPr>
            </w:pPr>
            <w:r>
              <w:rPr>
                <w:rFonts w:ascii="Times New Roman" w:cs="Times New Roman" w:eastAsia="Times New Roman" w:hAnsi="Times New Roman"/>
                <w:sz w:val="18"/>
                <w:szCs w:val="18"/>
                <w:color w:val="auto"/>
              </w:rPr>
              <w:t>income taxes</w:t>
            </w:r>
          </w:p>
        </w:tc>
        <w:tc>
          <w:tcPr>
            <w:tcW w:w="10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10,078</w:t>
            </w:r>
          </w:p>
        </w:tc>
        <w:tc>
          <w:tcPr>
            <w:tcW w:w="220" w:type="dxa"/>
            <w:vAlign w:val="bottom"/>
          </w:tcPr>
          <w:p>
            <w:pPr>
              <w:spacing w:after="0"/>
              <w:rPr>
                <w:sz w:val="20"/>
                <w:szCs w:val="20"/>
                <w:color w:val="auto"/>
              </w:rPr>
            </w:pPr>
          </w:p>
        </w:tc>
        <w:tc>
          <w:tcPr>
            <w:tcW w:w="10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8.5%</w:t>
            </w:r>
          </w:p>
        </w:tc>
        <w:tc>
          <w:tcPr>
            <w:tcW w:w="80" w:type="dxa"/>
            <w:vAlign w:val="bottom"/>
          </w:tcPr>
          <w:p>
            <w:pPr>
              <w:spacing w:after="0"/>
              <w:rPr>
                <w:sz w:val="20"/>
                <w:szCs w:val="20"/>
                <w:color w:val="auto"/>
              </w:rPr>
            </w:pPr>
          </w:p>
        </w:tc>
        <w:tc>
          <w:tcPr>
            <w:tcW w:w="9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4,708</w:t>
            </w:r>
          </w:p>
        </w:tc>
        <w:tc>
          <w:tcPr>
            <w:tcW w:w="10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4.5%</w:t>
            </w:r>
          </w:p>
        </w:tc>
        <w:tc>
          <w:tcPr>
            <w:tcW w:w="8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26,312</w:t>
            </w:r>
          </w:p>
        </w:tc>
        <w:tc>
          <w:tcPr>
            <w:tcW w:w="220" w:type="dxa"/>
            <w:vAlign w:val="bottom"/>
          </w:tcPr>
          <w:p>
            <w:pPr>
              <w:spacing w:after="0"/>
              <w:rPr>
                <w:sz w:val="20"/>
                <w:szCs w:val="20"/>
                <w:color w:val="auto"/>
              </w:rPr>
            </w:pPr>
          </w:p>
        </w:tc>
        <w:tc>
          <w:tcPr>
            <w:tcW w:w="10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7.2%</w:t>
            </w:r>
          </w:p>
        </w:tc>
        <w:tc>
          <w:tcPr>
            <w:tcW w:w="10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16,795</w:t>
            </w:r>
          </w:p>
        </w:tc>
        <w:tc>
          <w:tcPr>
            <w:tcW w:w="200" w:type="dxa"/>
            <w:vAlign w:val="bottom"/>
          </w:tcPr>
          <w:p>
            <w:pPr>
              <w:spacing w:after="0"/>
              <w:rPr>
                <w:sz w:val="20"/>
                <w:szCs w:val="20"/>
                <w:color w:val="auto"/>
              </w:rPr>
            </w:pPr>
          </w:p>
        </w:tc>
        <w:tc>
          <w:tcPr>
            <w:tcW w:w="9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5.3%</w:t>
            </w:r>
          </w:p>
        </w:tc>
        <w:tc>
          <w:tcPr>
            <w:tcW w:w="0" w:type="dxa"/>
            <w:vAlign w:val="bottom"/>
          </w:tcPr>
          <w:p>
            <w:pPr>
              <w:spacing w:after="0"/>
              <w:rPr>
                <w:sz w:val="1"/>
                <w:szCs w:val="1"/>
                <w:color w:val="auto"/>
              </w:rPr>
            </w:pPr>
          </w:p>
        </w:tc>
      </w:tr>
      <w:tr>
        <w:trPr>
          <w:trHeight w:val="216"/>
        </w:trPr>
        <w:tc>
          <w:tcPr>
            <w:tcW w:w="3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3240" w:type="dxa"/>
            <w:vAlign w:val="bottom"/>
          </w:tcPr>
          <w:p>
            <w:pPr>
              <w:spacing w:after="0"/>
              <w:rPr>
                <w:sz w:val="20"/>
                <w:szCs w:val="20"/>
                <w:color w:val="auto"/>
              </w:rPr>
            </w:pPr>
            <w:r>
              <w:rPr>
                <w:rFonts w:ascii="Times New Roman" w:cs="Times New Roman" w:eastAsia="Times New Roman" w:hAnsi="Times New Roman"/>
                <w:sz w:val="18"/>
                <w:szCs w:val="18"/>
                <w:color w:val="auto"/>
              </w:rPr>
              <w:t>Income tax expense</w:t>
            </w:r>
          </w:p>
        </w:tc>
        <w:tc>
          <w:tcPr>
            <w:tcW w:w="10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2,305</w:t>
            </w:r>
          </w:p>
        </w:tc>
        <w:tc>
          <w:tcPr>
            <w:tcW w:w="220" w:type="dxa"/>
            <w:vAlign w:val="bottom"/>
          </w:tcPr>
          <w:p>
            <w:pPr>
              <w:spacing w:after="0"/>
              <w:rPr>
                <w:sz w:val="19"/>
                <w:szCs w:val="19"/>
                <w:color w:val="auto"/>
              </w:rPr>
            </w:pPr>
          </w:p>
        </w:tc>
        <w:tc>
          <w:tcPr>
            <w:tcW w:w="10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2.0%</w:t>
            </w:r>
          </w:p>
        </w:tc>
        <w:tc>
          <w:tcPr>
            <w:tcW w:w="80" w:type="dxa"/>
            <w:vAlign w:val="bottom"/>
          </w:tcPr>
          <w:p>
            <w:pPr>
              <w:spacing w:after="0"/>
              <w:rPr>
                <w:sz w:val="19"/>
                <w:szCs w:val="19"/>
                <w:color w:val="auto"/>
              </w:rPr>
            </w:pPr>
          </w:p>
        </w:tc>
        <w:tc>
          <w:tcPr>
            <w:tcW w:w="9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1,267</w:t>
            </w:r>
          </w:p>
        </w:tc>
        <w:tc>
          <w:tcPr>
            <w:tcW w:w="10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1.2%</w:t>
            </w:r>
          </w:p>
        </w:tc>
        <w:tc>
          <w:tcPr>
            <w:tcW w:w="8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6,505</w:t>
            </w:r>
          </w:p>
        </w:tc>
        <w:tc>
          <w:tcPr>
            <w:tcW w:w="220" w:type="dxa"/>
            <w:vAlign w:val="bottom"/>
          </w:tcPr>
          <w:p>
            <w:pPr>
              <w:spacing w:after="0"/>
              <w:rPr>
                <w:sz w:val="19"/>
                <w:szCs w:val="19"/>
                <w:color w:val="auto"/>
              </w:rPr>
            </w:pPr>
          </w:p>
        </w:tc>
        <w:tc>
          <w:tcPr>
            <w:tcW w:w="10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1.8%</w:t>
            </w:r>
          </w:p>
        </w:tc>
        <w:tc>
          <w:tcPr>
            <w:tcW w:w="10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4,579</w:t>
            </w:r>
          </w:p>
        </w:tc>
        <w:tc>
          <w:tcPr>
            <w:tcW w:w="200" w:type="dxa"/>
            <w:vAlign w:val="bottom"/>
          </w:tcPr>
          <w:p>
            <w:pPr>
              <w:spacing w:after="0"/>
              <w:rPr>
                <w:sz w:val="19"/>
                <w:szCs w:val="19"/>
                <w:color w:val="auto"/>
              </w:rPr>
            </w:pPr>
          </w:p>
        </w:tc>
        <w:tc>
          <w:tcPr>
            <w:tcW w:w="9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1.4%</w:t>
            </w:r>
          </w:p>
        </w:tc>
        <w:tc>
          <w:tcPr>
            <w:tcW w:w="0" w:type="dxa"/>
            <w:vAlign w:val="bottom"/>
          </w:tcPr>
          <w:p>
            <w:pPr>
              <w:spacing w:after="0"/>
              <w:rPr>
                <w:sz w:val="1"/>
                <w:szCs w:val="1"/>
                <w:color w:val="auto"/>
              </w:rPr>
            </w:pPr>
          </w:p>
        </w:tc>
      </w:tr>
      <w:tr>
        <w:trPr>
          <w:trHeight w:val="20"/>
        </w:trPr>
        <w:tc>
          <w:tcPr>
            <w:tcW w:w="32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32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Income from continuing operations</w:t>
            </w:r>
          </w:p>
        </w:tc>
        <w:tc>
          <w:tcPr>
            <w:tcW w:w="100" w:type="dxa"/>
            <w:vAlign w:val="bottom"/>
            <w:shd w:val="clear" w:color="auto" w:fill="CCEEFF"/>
          </w:tcPr>
          <w:p>
            <w:pPr>
              <w:spacing w:after="0"/>
              <w:rPr>
                <w:sz w:val="21"/>
                <w:szCs w:val="21"/>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7,773</w:t>
            </w:r>
          </w:p>
        </w:tc>
        <w:tc>
          <w:tcPr>
            <w:tcW w:w="220" w:type="dxa"/>
            <w:vAlign w:val="bottom"/>
            <w:shd w:val="clear" w:color="auto" w:fill="CCEEFF"/>
          </w:tcPr>
          <w:p>
            <w:pPr>
              <w:spacing w:after="0"/>
              <w:rPr>
                <w:sz w:val="21"/>
                <w:szCs w:val="21"/>
                <w:color w:val="auto"/>
              </w:rPr>
            </w:pPr>
          </w:p>
        </w:tc>
        <w:tc>
          <w:tcPr>
            <w:tcW w:w="10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6.6%</w:t>
            </w:r>
          </w:p>
        </w:tc>
        <w:tc>
          <w:tcPr>
            <w:tcW w:w="80" w:type="dxa"/>
            <w:vAlign w:val="bottom"/>
            <w:shd w:val="clear" w:color="auto" w:fill="CCEEFF"/>
          </w:tcPr>
          <w:p>
            <w:pPr>
              <w:spacing w:after="0"/>
              <w:rPr>
                <w:sz w:val="21"/>
                <w:szCs w:val="21"/>
                <w:color w:val="auto"/>
              </w:rPr>
            </w:pPr>
          </w:p>
        </w:tc>
        <w:tc>
          <w:tcPr>
            <w:tcW w:w="9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3,441</w:t>
            </w:r>
          </w:p>
        </w:tc>
        <w:tc>
          <w:tcPr>
            <w:tcW w:w="10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3.3%</w:t>
            </w:r>
          </w:p>
        </w:tc>
        <w:tc>
          <w:tcPr>
            <w:tcW w:w="80" w:type="dxa"/>
            <w:vAlign w:val="bottom"/>
            <w:shd w:val="clear" w:color="auto" w:fill="CCEEFF"/>
          </w:tcPr>
          <w:p>
            <w:pPr>
              <w:spacing w:after="0"/>
              <w:rPr>
                <w:sz w:val="21"/>
                <w:szCs w:val="21"/>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19,807</w:t>
            </w:r>
          </w:p>
        </w:tc>
        <w:tc>
          <w:tcPr>
            <w:tcW w:w="220" w:type="dxa"/>
            <w:vAlign w:val="bottom"/>
            <w:shd w:val="clear" w:color="auto" w:fill="CCEEFF"/>
          </w:tcPr>
          <w:p>
            <w:pPr>
              <w:spacing w:after="0"/>
              <w:rPr>
                <w:sz w:val="21"/>
                <w:szCs w:val="21"/>
                <w:color w:val="auto"/>
              </w:rPr>
            </w:pPr>
          </w:p>
        </w:tc>
        <w:tc>
          <w:tcPr>
            <w:tcW w:w="10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5.4%</w:t>
            </w:r>
          </w:p>
        </w:tc>
        <w:tc>
          <w:tcPr>
            <w:tcW w:w="100" w:type="dxa"/>
            <w:vAlign w:val="bottom"/>
            <w:shd w:val="clear" w:color="auto" w:fill="CCEEFF"/>
          </w:tcPr>
          <w:p>
            <w:pPr>
              <w:spacing w:after="0"/>
              <w:rPr>
                <w:sz w:val="21"/>
                <w:szCs w:val="21"/>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12,216</w:t>
            </w:r>
          </w:p>
        </w:tc>
        <w:tc>
          <w:tcPr>
            <w:tcW w:w="200" w:type="dxa"/>
            <w:vAlign w:val="bottom"/>
            <w:shd w:val="clear" w:color="auto" w:fill="CCEEFF"/>
          </w:tcPr>
          <w:p>
            <w:pPr>
              <w:spacing w:after="0"/>
              <w:rPr>
                <w:sz w:val="21"/>
                <w:szCs w:val="21"/>
                <w:color w:val="auto"/>
              </w:rPr>
            </w:pPr>
          </w:p>
        </w:tc>
        <w:tc>
          <w:tcPr>
            <w:tcW w:w="94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3.9%</w:t>
            </w:r>
          </w:p>
        </w:tc>
        <w:tc>
          <w:tcPr>
            <w:tcW w:w="0" w:type="dxa"/>
            <w:vAlign w:val="bottom"/>
          </w:tcPr>
          <w:p>
            <w:pPr>
              <w:spacing w:after="0"/>
              <w:rPr>
                <w:sz w:val="1"/>
                <w:szCs w:val="1"/>
                <w:color w:val="auto"/>
              </w:rPr>
            </w:pPr>
          </w:p>
        </w:tc>
      </w:tr>
      <w:tr>
        <w:trPr>
          <w:trHeight w:val="196"/>
        </w:trPr>
        <w:tc>
          <w:tcPr>
            <w:tcW w:w="3240" w:type="dxa"/>
            <w:vAlign w:val="bottom"/>
            <w:tcBorders>
              <w:top w:val="single" w:sz="8" w:color="CCEEFF"/>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680" w:type="dxa"/>
            <w:vAlign w:val="bottom"/>
            <w:tcBorders>
              <w:top w:val="single" w:sz="8" w:color="CCEEFF"/>
            </w:tcBorders>
          </w:tcPr>
          <w:p>
            <w:pPr>
              <w:spacing w:after="0"/>
              <w:rPr>
                <w:sz w:val="17"/>
                <w:szCs w:val="17"/>
                <w:color w:val="auto"/>
              </w:rPr>
            </w:pPr>
          </w:p>
        </w:tc>
        <w:tc>
          <w:tcPr>
            <w:tcW w:w="220" w:type="dxa"/>
            <w:vAlign w:val="bottom"/>
            <w:tcBorders>
              <w:top w:val="single" w:sz="8" w:color="CCEEFF"/>
            </w:tcBorders>
          </w:tcPr>
          <w:p>
            <w:pPr>
              <w:spacing w:after="0"/>
              <w:rPr>
                <w:sz w:val="17"/>
                <w:szCs w:val="17"/>
                <w:color w:val="auto"/>
              </w:rPr>
            </w:pPr>
          </w:p>
        </w:tc>
        <w:tc>
          <w:tcPr>
            <w:tcW w:w="760" w:type="dxa"/>
            <w:vAlign w:val="bottom"/>
            <w:tcBorders>
              <w:top w:val="single" w:sz="8" w:color="auto"/>
            </w:tcBorders>
          </w:tcPr>
          <w:p>
            <w:pPr>
              <w:spacing w:after="0"/>
              <w:rPr>
                <w:sz w:val="17"/>
                <w:szCs w:val="17"/>
                <w:color w:val="auto"/>
              </w:rPr>
            </w:pPr>
          </w:p>
        </w:tc>
        <w:tc>
          <w:tcPr>
            <w:tcW w:w="280" w:type="dxa"/>
            <w:vAlign w:val="bottom"/>
            <w:tcBorders>
              <w:top w:val="single" w:sz="8" w:color="CCEEFF"/>
            </w:tcBorders>
          </w:tcPr>
          <w:p>
            <w:pPr>
              <w:spacing w:after="0"/>
              <w:rPr>
                <w:sz w:val="17"/>
                <w:szCs w:val="17"/>
                <w:color w:val="auto"/>
              </w:rPr>
            </w:pPr>
          </w:p>
        </w:tc>
        <w:tc>
          <w:tcPr>
            <w:tcW w:w="80" w:type="dxa"/>
            <w:vAlign w:val="bottom"/>
            <w:tcBorders>
              <w:top w:val="single" w:sz="8" w:color="CCEEFF"/>
            </w:tcBorders>
          </w:tcPr>
          <w:p>
            <w:pPr>
              <w:spacing w:after="0"/>
              <w:rPr>
                <w:sz w:val="17"/>
                <w:szCs w:val="17"/>
                <w:color w:val="auto"/>
              </w:rPr>
            </w:pPr>
          </w:p>
        </w:tc>
        <w:tc>
          <w:tcPr>
            <w:tcW w:w="680" w:type="dxa"/>
            <w:vAlign w:val="bottom"/>
            <w:tcBorders>
              <w:top w:val="single" w:sz="8" w:color="CCEEFF"/>
            </w:tcBorders>
          </w:tcPr>
          <w:p>
            <w:pPr>
              <w:spacing w:after="0"/>
              <w:rPr>
                <w:sz w:val="17"/>
                <w:szCs w:val="17"/>
                <w:color w:val="auto"/>
              </w:rPr>
            </w:pPr>
          </w:p>
        </w:tc>
        <w:tc>
          <w:tcPr>
            <w:tcW w:w="220" w:type="dxa"/>
            <w:vAlign w:val="bottom"/>
            <w:tcBorders>
              <w:top w:val="single" w:sz="8" w:color="CCEEFF"/>
            </w:tcBorders>
          </w:tcPr>
          <w:p>
            <w:pPr>
              <w:spacing w:after="0"/>
              <w:rPr>
                <w:sz w:val="17"/>
                <w:szCs w:val="17"/>
                <w:color w:val="auto"/>
              </w:rPr>
            </w:pPr>
          </w:p>
        </w:tc>
        <w:tc>
          <w:tcPr>
            <w:tcW w:w="760" w:type="dxa"/>
            <w:vAlign w:val="bottom"/>
            <w:tcBorders>
              <w:top w:val="single" w:sz="8" w:color="auto"/>
            </w:tcBorders>
          </w:tcPr>
          <w:p>
            <w:pPr>
              <w:spacing w:after="0"/>
              <w:rPr>
                <w:sz w:val="17"/>
                <w:szCs w:val="17"/>
                <w:color w:val="auto"/>
              </w:rPr>
            </w:pPr>
          </w:p>
        </w:tc>
        <w:tc>
          <w:tcPr>
            <w:tcW w:w="280" w:type="dxa"/>
            <w:vAlign w:val="bottom"/>
            <w:tcBorders>
              <w:top w:val="single" w:sz="8" w:color="CCEEFF"/>
            </w:tcBorders>
          </w:tcPr>
          <w:p>
            <w:pPr>
              <w:spacing w:after="0"/>
              <w:rPr>
                <w:sz w:val="17"/>
                <w:szCs w:val="17"/>
                <w:color w:val="auto"/>
              </w:rPr>
            </w:pPr>
          </w:p>
        </w:tc>
        <w:tc>
          <w:tcPr>
            <w:tcW w:w="80" w:type="dxa"/>
            <w:vAlign w:val="bottom"/>
            <w:tcBorders>
              <w:top w:val="single" w:sz="8" w:color="CCEEFF"/>
            </w:tcBorders>
          </w:tcPr>
          <w:p>
            <w:pPr>
              <w:spacing w:after="0"/>
              <w:rPr>
                <w:sz w:val="17"/>
                <w:szCs w:val="17"/>
                <w:color w:val="auto"/>
              </w:rPr>
            </w:pPr>
          </w:p>
        </w:tc>
        <w:tc>
          <w:tcPr>
            <w:tcW w:w="680" w:type="dxa"/>
            <w:vAlign w:val="bottom"/>
            <w:tcBorders>
              <w:top w:val="single" w:sz="8" w:color="CCEEFF"/>
            </w:tcBorders>
          </w:tcPr>
          <w:p>
            <w:pPr>
              <w:spacing w:after="0"/>
              <w:rPr>
                <w:sz w:val="17"/>
                <w:szCs w:val="17"/>
                <w:color w:val="auto"/>
              </w:rPr>
            </w:pPr>
          </w:p>
        </w:tc>
        <w:tc>
          <w:tcPr>
            <w:tcW w:w="220" w:type="dxa"/>
            <w:vAlign w:val="bottom"/>
            <w:tcBorders>
              <w:top w:val="single" w:sz="8" w:color="CCEEFF"/>
            </w:tcBorders>
          </w:tcPr>
          <w:p>
            <w:pPr>
              <w:spacing w:after="0"/>
              <w:rPr>
                <w:sz w:val="17"/>
                <w:szCs w:val="17"/>
                <w:color w:val="auto"/>
              </w:rPr>
            </w:pPr>
          </w:p>
        </w:tc>
        <w:tc>
          <w:tcPr>
            <w:tcW w:w="780" w:type="dxa"/>
            <w:vAlign w:val="bottom"/>
            <w:tcBorders>
              <w:top w:val="single" w:sz="8" w:color="auto"/>
            </w:tcBorders>
          </w:tcPr>
          <w:p>
            <w:pPr>
              <w:spacing w:after="0"/>
              <w:rPr>
                <w:sz w:val="17"/>
                <w:szCs w:val="17"/>
                <w:color w:val="auto"/>
              </w:rPr>
            </w:pPr>
          </w:p>
        </w:tc>
        <w:tc>
          <w:tcPr>
            <w:tcW w:w="260" w:type="dxa"/>
            <w:vAlign w:val="bottom"/>
            <w:tcBorders>
              <w:top w:val="single" w:sz="8" w:color="CCEEFF"/>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680" w:type="dxa"/>
            <w:vAlign w:val="bottom"/>
            <w:tcBorders>
              <w:top w:val="single" w:sz="8" w:color="CCEEFF"/>
            </w:tcBorders>
          </w:tcPr>
          <w:p>
            <w:pPr>
              <w:spacing w:after="0"/>
              <w:rPr>
                <w:sz w:val="17"/>
                <w:szCs w:val="17"/>
                <w:color w:val="auto"/>
              </w:rPr>
            </w:pPr>
          </w:p>
        </w:tc>
        <w:tc>
          <w:tcPr>
            <w:tcW w:w="200" w:type="dxa"/>
            <w:vAlign w:val="bottom"/>
            <w:tcBorders>
              <w:top w:val="single" w:sz="8" w:color="CCEEFF"/>
            </w:tcBorders>
          </w:tcPr>
          <w:p>
            <w:pPr>
              <w:spacing w:after="0"/>
              <w:rPr>
                <w:sz w:val="17"/>
                <w:szCs w:val="17"/>
                <w:color w:val="auto"/>
              </w:rPr>
            </w:pPr>
          </w:p>
        </w:tc>
        <w:tc>
          <w:tcPr>
            <w:tcW w:w="780" w:type="dxa"/>
            <w:vAlign w:val="bottom"/>
            <w:tcBorders>
              <w:top w:val="single" w:sz="8" w:color="auto"/>
            </w:tcBorders>
          </w:tcPr>
          <w:p>
            <w:pPr>
              <w:spacing w:after="0"/>
              <w:rPr>
                <w:sz w:val="17"/>
                <w:szCs w:val="17"/>
                <w:color w:val="auto"/>
              </w:rPr>
            </w:pPr>
          </w:p>
        </w:tc>
        <w:tc>
          <w:tcPr>
            <w:tcW w:w="160" w:type="dxa"/>
            <w:vAlign w:val="bottom"/>
            <w:tcBorders>
              <w:top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2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Discontinued operations:</w:t>
            </w: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3240" w:type="dxa"/>
            <w:vAlign w:val="bottom"/>
          </w:tcPr>
          <w:p>
            <w:pPr>
              <w:ind w:left="180"/>
              <w:spacing w:after="0" w:line="198" w:lineRule="exact"/>
              <w:rPr>
                <w:sz w:val="20"/>
                <w:szCs w:val="20"/>
                <w:color w:val="auto"/>
              </w:rPr>
            </w:pPr>
            <w:r>
              <w:rPr>
                <w:rFonts w:ascii="Times New Roman" w:cs="Times New Roman" w:eastAsia="Times New Roman" w:hAnsi="Times New Roman"/>
                <w:sz w:val="18"/>
                <w:szCs w:val="18"/>
                <w:color w:val="auto"/>
              </w:rPr>
              <w:t>Income from operations of logistical</w:t>
            </w:r>
          </w:p>
        </w:tc>
        <w:tc>
          <w:tcPr>
            <w:tcW w:w="1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324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services</w:t>
            </w:r>
          </w:p>
        </w:tc>
        <w:tc>
          <w:tcPr>
            <w:tcW w:w="10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9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(565)</w:t>
            </w:r>
          </w:p>
        </w:tc>
        <w:tc>
          <w:tcPr>
            <w:tcW w:w="7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1,712</w:t>
            </w:r>
          </w:p>
        </w:tc>
        <w:tc>
          <w:tcPr>
            <w:tcW w:w="2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1,079</w:t>
            </w:r>
          </w:p>
        </w:tc>
        <w:tc>
          <w:tcPr>
            <w:tcW w:w="20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324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Gain on disposal</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(193)</w:t>
            </w:r>
          </w:p>
        </w:tc>
        <w:tc>
          <w:tcPr>
            <w:tcW w:w="7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53,061</w:t>
            </w: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24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Income tax expense</w:t>
            </w:r>
          </w:p>
        </w:tc>
        <w:tc>
          <w:tcPr>
            <w:tcW w:w="100" w:type="dxa"/>
            <w:vAlign w:val="bottom"/>
          </w:tcPr>
          <w:p>
            <w:pPr>
              <w:spacing w:after="0"/>
              <w:rPr>
                <w:sz w:val="18"/>
                <w:szCs w:val="18"/>
                <w:color w:val="auto"/>
              </w:rPr>
            </w:pPr>
          </w:p>
        </w:tc>
        <w:tc>
          <w:tcPr>
            <w:tcW w:w="9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(48)</w:t>
            </w:r>
          </w:p>
        </w:tc>
        <w:tc>
          <w:tcPr>
            <w:tcW w:w="7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(140)</w:t>
            </w:r>
          </w:p>
        </w:tc>
        <w:tc>
          <w:tcPr>
            <w:tcW w:w="7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14,261</w:t>
            </w:r>
          </w:p>
        </w:tc>
        <w:tc>
          <w:tcPr>
            <w:tcW w:w="2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294</w:t>
            </w:r>
          </w:p>
        </w:tc>
        <w:tc>
          <w:tcPr>
            <w:tcW w:w="2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324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3240" w:type="dxa"/>
            <w:vAlign w:val="bottom"/>
          </w:tcPr>
          <w:p>
            <w:pPr>
              <w:ind w:left="180"/>
              <w:spacing w:after="0" w:line="198" w:lineRule="exact"/>
              <w:rPr>
                <w:sz w:val="20"/>
                <w:szCs w:val="20"/>
                <w:color w:val="auto"/>
              </w:rPr>
            </w:pPr>
            <w:r>
              <w:rPr>
                <w:rFonts w:ascii="Times New Roman" w:cs="Times New Roman" w:eastAsia="Times New Roman" w:hAnsi="Times New Roman"/>
                <w:sz w:val="18"/>
                <w:szCs w:val="18"/>
                <w:color w:val="auto"/>
              </w:rPr>
              <w:t>Income (loss) from discontinued</w:t>
            </w:r>
          </w:p>
        </w:tc>
        <w:tc>
          <w:tcPr>
            <w:tcW w:w="100" w:type="dxa"/>
            <w:vAlign w:val="bottom"/>
          </w:tcPr>
          <w:p>
            <w:pPr>
              <w:spacing w:after="0"/>
              <w:rPr>
                <w:sz w:val="17"/>
                <w:szCs w:val="17"/>
                <w:color w:val="auto"/>
              </w:rPr>
            </w:pPr>
          </w:p>
        </w:tc>
        <w:tc>
          <w:tcPr>
            <w:tcW w:w="90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8"/>
                <w:szCs w:val="18"/>
                <w:color w:val="auto"/>
              </w:rPr>
              <w:t>(145)</w:t>
            </w:r>
          </w:p>
        </w:tc>
        <w:tc>
          <w:tcPr>
            <w:tcW w:w="7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90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8"/>
                <w:szCs w:val="18"/>
                <w:color w:val="auto"/>
              </w:rPr>
              <w:t>(425)</w:t>
            </w:r>
          </w:p>
        </w:tc>
        <w:tc>
          <w:tcPr>
            <w:tcW w:w="7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40,512</w:t>
            </w:r>
          </w:p>
        </w:tc>
        <w:tc>
          <w:tcPr>
            <w:tcW w:w="2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785</w:t>
            </w:r>
          </w:p>
        </w:tc>
        <w:tc>
          <w:tcPr>
            <w:tcW w:w="20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1"/>
        </w:trPr>
        <w:tc>
          <w:tcPr>
            <w:tcW w:w="324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operations</w:t>
            </w:r>
          </w:p>
        </w:tc>
        <w:tc>
          <w:tcPr>
            <w:tcW w:w="100" w:type="dxa"/>
            <w:vAlign w:val="bottom"/>
          </w:tcPr>
          <w:p>
            <w:pPr>
              <w:spacing w:after="0"/>
              <w:rPr>
                <w:sz w:val="19"/>
                <w:szCs w:val="19"/>
                <w:color w:val="auto"/>
              </w:rPr>
            </w:pPr>
          </w:p>
        </w:tc>
        <w:tc>
          <w:tcPr>
            <w:tcW w:w="900" w:type="dxa"/>
            <w:vAlign w:val="bottom"/>
            <w:gridSpan w:val="2"/>
            <w:vMerge w:val="continue"/>
          </w:tcPr>
          <w:p>
            <w:pPr>
              <w:spacing w:after="0"/>
              <w:rPr>
                <w:sz w:val="19"/>
                <w:szCs w:val="19"/>
                <w:color w:val="auto"/>
              </w:rPr>
            </w:pPr>
          </w:p>
        </w:tc>
        <w:tc>
          <w:tcPr>
            <w:tcW w:w="7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900" w:type="dxa"/>
            <w:vAlign w:val="bottom"/>
            <w:gridSpan w:val="2"/>
            <w:vMerge w:val="continue"/>
          </w:tcPr>
          <w:p>
            <w:pPr>
              <w:spacing w:after="0"/>
              <w:rPr>
                <w:sz w:val="19"/>
                <w:szCs w:val="19"/>
                <w:color w:val="auto"/>
              </w:rPr>
            </w:pPr>
          </w:p>
        </w:tc>
        <w:tc>
          <w:tcPr>
            <w:tcW w:w="7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80" w:type="dxa"/>
            <w:vAlign w:val="bottom"/>
            <w:vMerge w:val="continue"/>
          </w:tcPr>
          <w:p>
            <w:pPr>
              <w:spacing w:after="0"/>
              <w:rPr>
                <w:sz w:val="19"/>
                <w:szCs w:val="19"/>
                <w:color w:val="auto"/>
              </w:rPr>
            </w:pPr>
          </w:p>
        </w:tc>
        <w:tc>
          <w:tcPr>
            <w:tcW w:w="2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80" w:type="dxa"/>
            <w:vAlign w:val="bottom"/>
            <w:vMerge w:val="continue"/>
          </w:tcPr>
          <w:p>
            <w:pPr>
              <w:spacing w:after="0"/>
              <w:rPr>
                <w:sz w:val="19"/>
                <w:szCs w:val="19"/>
                <w:color w:val="auto"/>
              </w:rPr>
            </w:pPr>
          </w:p>
        </w:tc>
        <w:tc>
          <w:tcPr>
            <w:tcW w:w="2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9"/>
        </w:trPr>
        <w:tc>
          <w:tcPr>
            <w:tcW w:w="324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240" w:type="dxa"/>
            <w:vAlign w:val="bottom"/>
          </w:tcPr>
          <w:p>
            <w:pPr>
              <w:spacing w:after="0"/>
              <w:rPr>
                <w:sz w:val="20"/>
                <w:szCs w:val="20"/>
                <w:color w:val="auto"/>
              </w:rPr>
            </w:pPr>
            <w:r>
              <w:rPr>
                <w:rFonts w:ascii="Times New Roman" w:cs="Times New Roman" w:eastAsia="Times New Roman" w:hAnsi="Times New Roman"/>
                <w:sz w:val="18"/>
                <w:szCs w:val="18"/>
                <w:color w:val="auto"/>
              </w:rPr>
              <w:t>Net income</w:t>
            </w:r>
          </w:p>
        </w:tc>
        <w:tc>
          <w:tcPr>
            <w:tcW w:w="1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7,628</w:t>
            </w: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3,016</w:t>
            </w:r>
          </w:p>
        </w:tc>
        <w:tc>
          <w:tcPr>
            <w:tcW w:w="7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60,319</w:t>
            </w:r>
          </w:p>
        </w:tc>
        <w:tc>
          <w:tcPr>
            <w:tcW w:w="2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13,001</w:t>
            </w:r>
          </w:p>
        </w:tc>
        <w:tc>
          <w:tcPr>
            <w:tcW w:w="2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2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2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240" w:type="dxa"/>
            <w:vAlign w:val="bottom"/>
          </w:tcPr>
          <w:p>
            <w:pPr>
              <w:spacing w:after="0"/>
              <w:rPr>
                <w:sz w:val="20"/>
                <w:szCs w:val="20"/>
                <w:color w:val="auto"/>
              </w:rPr>
            </w:pPr>
            <w:r>
              <w:rPr>
                <w:rFonts w:ascii="Times New Roman" w:cs="Times New Roman" w:eastAsia="Times New Roman" w:hAnsi="Times New Roman"/>
                <w:sz w:val="18"/>
                <w:szCs w:val="18"/>
                <w:color w:val="auto"/>
              </w:rPr>
              <w:t>Basic earnings per share:</w:t>
            </w: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24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Income from continuing operations</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0.84</w:t>
            </w: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0.35</w:t>
            </w:r>
          </w:p>
        </w:tc>
        <w:tc>
          <w:tcPr>
            <w:tcW w:w="7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2.08</w:t>
            </w: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1.24</w:t>
            </w:r>
          </w:p>
        </w:tc>
        <w:tc>
          <w:tcPr>
            <w:tcW w:w="2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3240" w:type="dxa"/>
            <w:vAlign w:val="bottom"/>
          </w:tcPr>
          <w:p>
            <w:pPr>
              <w:ind w:left="180"/>
              <w:spacing w:after="0" w:line="198" w:lineRule="exact"/>
              <w:rPr>
                <w:sz w:val="20"/>
                <w:szCs w:val="20"/>
                <w:color w:val="auto"/>
              </w:rPr>
            </w:pPr>
            <w:r>
              <w:rPr>
                <w:rFonts w:ascii="Times New Roman" w:cs="Times New Roman" w:eastAsia="Times New Roman" w:hAnsi="Times New Roman"/>
                <w:sz w:val="18"/>
                <w:szCs w:val="18"/>
                <w:color w:val="auto"/>
              </w:rPr>
              <w:t>Income (loss) from discontinued</w:t>
            </w:r>
          </w:p>
        </w:tc>
        <w:tc>
          <w:tcPr>
            <w:tcW w:w="100" w:type="dxa"/>
            <w:vAlign w:val="bottom"/>
          </w:tcPr>
          <w:p>
            <w:pPr>
              <w:spacing w:after="0"/>
              <w:rPr>
                <w:sz w:val="17"/>
                <w:szCs w:val="17"/>
                <w:color w:val="auto"/>
              </w:rPr>
            </w:pPr>
          </w:p>
        </w:tc>
        <w:tc>
          <w:tcPr>
            <w:tcW w:w="90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8"/>
                <w:szCs w:val="18"/>
                <w:color w:val="auto"/>
              </w:rPr>
              <w:t>(0.02)</w:t>
            </w:r>
          </w:p>
        </w:tc>
        <w:tc>
          <w:tcPr>
            <w:tcW w:w="7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90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8"/>
                <w:szCs w:val="18"/>
                <w:color w:val="auto"/>
              </w:rPr>
              <w:t>(0.04)</w:t>
            </w:r>
          </w:p>
        </w:tc>
        <w:tc>
          <w:tcPr>
            <w:tcW w:w="7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4.26</w:t>
            </w:r>
          </w:p>
        </w:tc>
        <w:tc>
          <w:tcPr>
            <w:tcW w:w="2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0.08</w:t>
            </w:r>
          </w:p>
        </w:tc>
        <w:tc>
          <w:tcPr>
            <w:tcW w:w="20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1"/>
        </w:trPr>
        <w:tc>
          <w:tcPr>
            <w:tcW w:w="324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operations</w:t>
            </w:r>
          </w:p>
        </w:tc>
        <w:tc>
          <w:tcPr>
            <w:tcW w:w="100" w:type="dxa"/>
            <w:vAlign w:val="bottom"/>
          </w:tcPr>
          <w:p>
            <w:pPr>
              <w:spacing w:after="0"/>
              <w:rPr>
                <w:sz w:val="19"/>
                <w:szCs w:val="19"/>
                <w:color w:val="auto"/>
              </w:rPr>
            </w:pPr>
          </w:p>
        </w:tc>
        <w:tc>
          <w:tcPr>
            <w:tcW w:w="900" w:type="dxa"/>
            <w:vAlign w:val="bottom"/>
            <w:gridSpan w:val="2"/>
            <w:vMerge w:val="continue"/>
          </w:tcPr>
          <w:p>
            <w:pPr>
              <w:spacing w:after="0"/>
              <w:rPr>
                <w:sz w:val="19"/>
                <w:szCs w:val="19"/>
                <w:color w:val="auto"/>
              </w:rPr>
            </w:pPr>
          </w:p>
        </w:tc>
        <w:tc>
          <w:tcPr>
            <w:tcW w:w="7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900" w:type="dxa"/>
            <w:vAlign w:val="bottom"/>
            <w:gridSpan w:val="2"/>
            <w:vMerge w:val="continue"/>
          </w:tcPr>
          <w:p>
            <w:pPr>
              <w:spacing w:after="0"/>
              <w:rPr>
                <w:sz w:val="19"/>
                <w:szCs w:val="19"/>
                <w:color w:val="auto"/>
              </w:rPr>
            </w:pPr>
          </w:p>
        </w:tc>
        <w:tc>
          <w:tcPr>
            <w:tcW w:w="7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80" w:type="dxa"/>
            <w:vAlign w:val="bottom"/>
            <w:vMerge w:val="continue"/>
          </w:tcPr>
          <w:p>
            <w:pPr>
              <w:spacing w:after="0"/>
              <w:rPr>
                <w:sz w:val="19"/>
                <w:szCs w:val="19"/>
                <w:color w:val="auto"/>
              </w:rPr>
            </w:pPr>
          </w:p>
        </w:tc>
        <w:tc>
          <w:tcPr>
            <w:tcW w:w="2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80" w:type="dxa"/>
            <w:vAlign w:val="bottom"/>
            <w:vMerge w:val="continue"/>
          </w:tcPr>
          <w:p>
            <w:pPr>
              <w:spacing w:after="0"/>
              <w:rPr>
                <w:sz w:val="19"/>
                <w:szCs w:val="19"/>
                <w:color w:val="auto"/>
              </w:rPr>
            </w:pPr>
          </w:p>
        </w:tc>
        <w:tc>
          <w:tcPr>
            <w:tcW w:w="2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2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324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Basic earnings per share</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0.82</w:t>
            </w:r>
          </w:p>
        </w:tc>
        <w:tc>
          <w:tcPr>
            <w:tcW w:w="220" w:type="dxa"/>
            <w:vAlign w:val="bottom"/>
            <w:shd w:val="clear" w:color="auto" w:fill="CCEEFF"/>
          </w:tcPr>
          <w:p>
            <w:pPr>
              <w:spacing w:after="0"/>
              <w:rPr>
                <w:sz w:val="21"/>
                <w:szCs w:val="21"/>
                <w:color w:val="auto"/>
              </w:rPr>
            </w:pPr>
          </w:p>
        </w:tc>
        <w:tc>
          <w:tcPr>
            <w:tcW w:w="760" w:type="dxa"/>
            <w:vAlign w:val="bottom"/>
            <w:shd w:val="clear" w:color="auto" w:fill="CCEEFF"/>
          </w:tcPr>
          <w:p>
            <w:pPr>
              <w:spacing w:after="0"/>
              <w:rPr>
                <w:sz w:val="21"/>
                <w:szCs w:val="21"/>
                <w:color w:val="auto"/>
              </w:rPr>
            </w:pPr>
          </w:p>
        </w:tc>
        <w:tc>
          <w:tcPr>
            <w:tcW w:w="280" w:type="dxa"/>
            <w:vAlign w:val="bottom"/>
            <w:shd w:val="clear" w:color="auto" w:fill="CCEEFF"/>
          </w:tcPr>
          <w:p>
            <w:pPr>
              <w:spacing w:after="0"/>
              <w:rPr>
                <w:sz w:val="21"/>
                <w:szCs w:val="21"/>
                <w:color w:val="auto"/>
              </w:rPr>
            </w:pPr>
          </w:p>
        </w:tc>
        <w:tc>
          <w:tcPr>
            <w:tcW w:w="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0.31</w:t>
            </w:r>
          </w:p>
        </w:tc>
        <w:tc>
          <w:tcPr>
            <w:tcW w:w="760" w:type="dxa"/>
            <w:vAlign w:val="bottom"/>
            <w:shd w:val="clear" w:color="auto" w:fill="CCEEFF"/>
          </w:tcPr>
          <w:p>
            <w:pPr>
              <w:spacing w:after="0"/>
              <w:rPr>
                <w:sz w:val="21"/>
                <w:szCs w:val="21"/>
                <w:color w:val="auto"/>
              </w:rPr>
            </w:pPr>
          </w:p>
        </w:tc>
        <w:tc>
          <w:tcPr>
            <w:tcW w:w="280" w:type="dxa"/>
            <w:vAlign w:val="bottom"/>
            <w:shd w:val="clear" w:color="auto" w:fill="CCEEFF"/>
          </w:tcPr>
          <w:p>
            <w:pPr>
              <w:spacing w:after="0"/>
              <w:rPr>
                <w:sz w:val="21"/>
                <w:szCs w:val="21"/>
                <w:color w:val="auto"/>
              </w:rPr>
            </w:pPr>
          </w:p>
        </w:tc>
        <w:tc>
          <w:tcPr>
            <w:tcW w:w="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6.34</w:t>
            </w:r>
          </w:p>
        </w:tc>
        <w:tc>
          <w:tcPr>
            <w:tcW w:w="220" w:type="dxa"/>
            <w:vAlign w:val="bottom"/>
            <w:shd w:val="clear" w:color="auto" w:fill="CCEEFF"/>
          </w:tcPr>
          <w:p>
            <w:pPr>
              <w:spacing w:after="0"/>
              <w:rPr>
                <w:sz w:val="21"/>
                <w:szCs w:val="21"/>
                <w:color w:val="auto"/>
              </w:rPr>
            </w:pPr>
          </w:p>
        </w:tc>
        <w:tc>
          <w:tcPr>
            <w:tcW w:w="780" w:type="dxa"/>
            <w:vAlign w:val="bottom"/>
            <w:shd w:val="clear" w:color="auto" w:fill="CCEEFF"/>
          </w:tcPr>
          <w:p>
            <w:pPr>
              <w:spacing w:after="0"/>
              <w:rPr>
                <w:sz w:val="21"/>
                <w:szCs w:val="21"/>
                <w:color w:val="auto"/>
              </w:rPr>
            </w:pPr>
          </w:p>
        </w:tc>
        <w:tc>
          <w:tcPr>
            <w:tcW w:w="260" w:type="dxa"/>
            <w:vAlign w:val="bottom"/>
            <w:shd w:val="clear" w:color="auto" w:fill="CCEEFF"/>
          </w:tcPr>
          <w:p>
            <w:pPr>
              <w:spacing w:after="0"/>
              <w:rPr>
                <w:sz w:val="21"/>
                <w:szCs w:val="21"/>
                <w:color w:val="auto"/>
              </w:rPr>
            </w:pP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1.32</w:t>
            </w:r>
          </w:p>
        </w:tc>
        <w:tc>
          <w:tcPr>
            <w:tcW w:w="200" w:type="dxa"/>
            <w:vAlign w:val="bottom"/>
            <w:shd w:val="clear" w:color="auto" w:fill="CCEEFF"/>
          </w:tcPr>
          <w:p>
            <w:pPr>
              <w:spacing w:after="0"/>
              <w:rPr>
                <w:sz w:val="21"/>
                <w:szCs w:val="21"/>
                <w:color w:val="auto"/>
              </w:rPr>
            </w:pPr>
          </w:p>
        </w:tc>
        <w:tc>
          <w:tcPr>
            <w:tcW w:w="78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197"/>
        </w:trPr>
        <w:tc>
          <w:tcPr>
            <w:tcW w:w="3240" w:type="dxa"/>
            <w:vAlign w:val="bottom"/>
            <w:tcBorders>
              <w:top w:val="single" w:sz="8" w:color="CCEEFF"/>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680" w:type="dxa"/>
            <w:vAlign w:val="bottom"/>
            <w:tcBorders>
              <w:top w:val="single" w:sz="8" w:color="auto"/>
            </w:tcBorders>
          </w:tcPr>
          <w:p>
            <w:pPr>
              <w:spacing w:after="0"/>
              <w:rPr>
                <w:sz w:val="17"/>
                <w:szCs w:val="17"/>
                <w:color w:val="auto"/>
              </w:rPr>
            </w:pPr>
          </w:p>
        </w:tc>
        <w:tc>
          <w:tcPr>
            <w:tcW w:w="220" w:type="dxa"/>
            <w:vAlign w:val="bottom"/>
            <w:tcBorders>
              <w:top w:val="single" w:sz="8" w:color="CCEEFF"/>
            </w:tcBorders>
          </w:tcPr>
          <w:p>
            <w:pPr>
              <w:spacing w:after="0"/>
              <w:rPr>
                <w:sz w:val="17"/>
                <w:szCs w:val="17"/>
                <w:color w:val="auto"/>
              </w:rPr>
            </w:pPr>
          </w:p>
        </w:tc>
        <w:tc>
          <w:tcPr>
            <w:tcW w:w="760" w:type="dxa"/>
            <w:vAlign w:val="bottom"/>
            <w:tcBorders>
              <w:top w:val="single" w:sz="8" w:color="CCEEFF"/>
            </w:tcBorders>
          </w:tcPr>
          <w:p>
            <w:pPr>
              <w:spacing w:after="0"/>
              <w:rPr>
                <w:sz w:val="17"/>
                <w:szCs w:val="17"/>
                <w:color w:val="auto"/>
              </w:rPr>
            </w:pPr>
          </w:p>
        </w:tc>
        <w:tc>
          <w:tcPr>
            <w:tcW w:w="280" w:type="dxa"/>
            <w:vAlign w:val="bottom"/>
            <w:tcBorders>
              <w:top w:val="single" w:sz="8" w:color="CCEEFF"/>
            </w:tcBorders>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680" w:type="dxa"/>
            <w:vAlign w:val="bottom"/>
            <w:tcBorders>
              <w:top w:val="single" w:sz="8" w:color="auto"/>
            </w:tcBorders>
          </w:tcPr>
          <w:p>
            <w:pPr>
              <w:spacing w:after="0"/>
              <w:rPr>
                <w:sz w:val="17"/>
                <w:szCs w:val="17"/>
                <w:color w:val="auto"/>
              </w:rPr>
            </w:pPr>
          </w:p>
        </w:tc>
        <w:tc>
          <w:tcPr>
            <w:tcW w:w="220" w:type="dxa"/>
            <w:vAlign w:val="bottom"/>
            <w:tcBorders>
              <w:top w:val="single" w:sz="8" w:color="CCEEFF"/>
            </w:tcBorders>
          </w:tcPr>
          <w:p>
            <w:pPr>
              <w:spacing w:after="0"/>
              <w:rPr>
                <w:sz w:val="17"/>
                <w:szCs w:val="17"/>
                <w:color w:val="auto"/>
              </w:rPr>
            </w:pPr>
          </w:p>
        </w:tc>
        <w:tc>
          <w:tcPr>
            <w:tcW w:w="760" w:type="dxa"/>
            <w:vAlign w:val="bottom"/>
            <w:tcBorders>
              <w:top w:val="single" w:sz="8" w:color="CCEEFF"/>
            </w:tcBorders>
          </w:tcPr>
          <w:p>
            <w:pPr>
              <w:spacing w:after="0"/>
              <w:rPr>
                <w:sz w:val="17"/>
                <w:szCs w:val="17"/>
                <w:color w:val="auto"/>
              </w:rPr>
            </w:pPr>
          </w:p>
        </w:tc>
        <w:tc>
          <w:tcPr>
            <w:tcW w:w="280" w:type="dxa"/>
            <w:vAlign w:val="bottom"/>
            <w:tcBorders>
              <w:top w:val="single" w:sz="8" w:color="CCEEFF"/>
            </w:tcBorders>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680" w:type="dxa"/>
            <w:vAlign w:val="bottom"/>
            <w:tcBorders>
              <w:top w:val="single" w:sz="8" w:color="auto"/>
            </w:tcBorders>
          </w:tcPr>
          <w:p>
            <w:pPr>
              <w:spacing w:after="0"/>
              <w:rPr>
                <w:sz w:val="17"/>
                <w:szCs w:val="17"/>
                <w:color w:val="auto"/>
              </w:rPr>
            </w:pPr>
          </w:p>
        </w:tc>
        <w:tc>
          <w:tcPr>
            <w:tcW w:w="220" w:type="dxa"/>
            <w:vAlign w:val="bottom"/>
            <w:tcBorders>
              <w:top w:val="single" w:sz="8" w:color="CCEEFF"/>
            </w:tcBorders>
          </w:tcPr>
          <w:p>
            <w:pPr>
              <w:spacing w:after="0"/>
              <w:rPr>
                <w:sz w:val="17"/>
                <w:szCs w:val="17"/>
                <w:color w:val="auto"/>
              </w:rPr>
            </w:pPr>
          </w:p>
        </w:tc>
        <w:tc>
          <w:tcPr>
            <w:tcW w:w="780" w:type="dxa"/>
            <w:vAlign w:val="bottom"/>
            <w:tcBorders>
              <w:top w:val="single" w:sz="8" w:color="CCEEFF"/>
            </w:tcBorders>
          </w:tcPr>
          <w:p>
            <w:pPr>
              <w:spacing w:after="0"/>
              <w:rPr>
                <w:sz w:val="17"/>
                <w:szCs w:val="17"/>
                <w:color w:val="auto"/>
              </w:rPr>
            </w:pPr>
          </w:p>
        </w:tc>
        <w:tc>
          <w:tcPr>
            <w:tcW w:w="260" w:type="dxa"/>
            <w:vAlign w:val="bottom"/>
            <w:tcBorders>
              <w:top w:val="single" w:sz="8" w:color="CCEEFF"/>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680" w:type="dxa"/>
            <w:vAlign w:val="bottom"/>
            <w:tcBorders>
              <w:top w:val="single" w:sz="8" w:color="auto"/>
            </w:tcBorders>
          </w:tcPr>
          <w:p>
            <w:pPr>
              <w:spacing w:after="0"/>
              <w:rPr>
                <w:sz w:val="17"/>
                <w:szCs w:val="17"/>
                <w:color w:val="auto"/>
              </w:rPr>
            </w:pPr>
          </w:p>
        </w:tc>
        <w:tc>
          <w:tcPr>
            <w:tcW w:w="200" w:type="dxa"/>
            <w:vAlign w:val="bottom"/>
            <w:tcBorders>
              <w:top w:val="single" w:sz="8" w:color="CCEEFF"/>
            </w:tcBorders>
          </w:tcPr>
          <w:p>
            <w:pPr>
              <w:spacing w:after="0"/>
              <w:rPr>
                <w:sz w:val="17"/>
                <w:szCs w:val="17"/>
                <w:color w:val="auto"/>
              </w:rPr>
            </w:pPr>
          </w:p>
        </w:tc>
        <w:tc>
          <w:tcPr>
            <w:tcW w:w="780" w:type="dxa"/>
            <w:vAlign w:val="bottom"/>
            <w:tcBorders>
              <w:top w:val="single" w:sz="8" w:color="CCEEFF"/>
            </w:tcBorders>
          </w:tcPr>
          <w:p>
            <w:pPr>
              <w:spacing w:after="0"/>
              <w:rPr>
                <w:sz w:val="17"/>
                <w:szCs w:val="17"/>
                <w:color w:val="auto"/>
              </w:rPr>
            </w:pPr>
          </w:p>
        </w:tc>
        <w:tc>
          <w:tcPr>
            <w:tcW w:w="160" w:type="dxa"/>
            <w:vAlign w:val="bottom"/>
            <w:tcBorders>
              <w:top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2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Diluted earnings per share:</w:t>
            </w: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24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Income from continuing operations</w:t>
            </w:r>
          </w:p>
        </w:tc>
        <w:tc>
          <w:tcPr>
            <w:tcW w:w="1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0.84</w:t>
            </w: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0.35</w:t>
            </w:r>
          </w:p>
        </w:tc>
        <w:tc>
          <w:tcPr>
            <w:tcW w:w="7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2.08</w:t>
            </w:r>
          </w:p>
        </w:tc>
        <w:tc>
          <w:tcPr>
            <w:tcW w:w="2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1.24</w:t>
            </w:r>
          </w:p>
        </w:tc>
        <w:tc>
          <w:tcPr>
            <w:tcW w:w="2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3240" w:type="dxa"/>
            <w:vAlign w:val="bottom"/>
            <w:shd w:val="clear" w:color="auto" w:fill="CCEEFF"/>
          </w:tcPr>
          <w:p>
            <w:pPr>
              <w:ind w:left="180"/>
              <w:spacing w:after="0" w:line="198" w:lineRule="exact"/>
              <w:rPr>
                <w:sz w:val="20"/>
                <w:szCs w:val="20"/>
                <w:color w:val="auto"/>
              </w:rPr>
            </w:pPr>
            <w:r>
              <w:rPr>
                <w:rFonts w:ascii="Times New Roman" w:cs="Times New Roman" w:eastAsia="Times New Roman" w:hAnsi="Times New Roman"/>
                <w:sz w:val="18"/>
                <w:szCs w:val="18"/>
                <w:color w:val="auto"/>
              </w:rPr>
              <w:t>Income (loss) from discontinued</w:t>
            </w:r>
          </w:p>
        </w:tc>
        <w:tc>
          <w:tcPr>
            <w:tcW w:w="100" w:type="dxa"/>
            <w:vAlign w:val="bottom"/>
            <w:shd w:val="clear" w:color="auto" w:fill="CCEEFF"/>
          </w:tcPr>
          <w:p>
            <w:pPr>
              <w:spacing w:after="0"/>
              <w:rPr>
                <w:sz w:val="17"/>
                <w:szCs w:val="17"/>
                <w:color w:val="auto"/>
              </w:rPr>
            </w:pPr>
          </w:p>
        </w:tc>
        <w:tc>
          <w:tcPr>
            <w:tcW w:w="90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(0.02)</w:t>
            </w:r>
          </w:p>
        </w:tc>
        <w:tc>
          <w:tcPr>
            <w:tcW w:w="7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90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(0.04)</w:t>
            </w:r>
          </w:p>
        </w:tc>
        <w:tc>
          <w:tcPr>
            <w:tcW w:w="7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4.26</w:t>
            </w:r>
          </w:p>
        </w:tc>
        <w:tc>
          <w:tcPr>
            <w:tcW w:w="22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0.08</w:t>
            </w:r>
          </w:p>
        </w:tc>
        <w:tc>
          <w:tcPr>
            <w:tcW w:w="20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1"/>
        </w:trPr>
        <w:tc>
          <w:tcPr>
            <w:tcW w:w="324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operations</w:t>
            </w:r>
          </w:p>
        </w:tc>
        <w:tc>
          <w:tcPr>
            <w:tcW w:w="100" w:type="dxa"/>
            <w:vAlign w:val="bottom"/>
            <w:shd w:val="clear" w:color="auto" w:fill="CCEEFF"/>
          </w:tcPr>
          <w:p>
            <w:pPr>
              <w:spacing w:after="0"/>
              <w:rPr>
                <w:sz w:val="19"/>
                <w:szCs w:val="19"/>
                <w:color w:val="auto"/>
              </w:rPr>
            </w:pPr>
          </w:p>
        </w:tc>
        <w:tc>
          <w:tcPr>
            <w:tcW w:w="900" w:type="dxa"/>
            <w:vAlign w:val="bottom"/>
            <w:gridSpan w:val="2"/>
            <w:vMerge w:val="continue"/>
            <w:shd w:val="clear" w:color="auto" w:fill="CCEEFF"/>
          </w:tcPr>
          <w:p>
            <w:pPr>
              <w:spacing w:after="0"/>
              <w:rPr>
                <w:sz w:val="19"/>
                <w:szCs w:val="19"/>
                <w:color w:val="auto"/>
              </w:rPr>
            </w:pPr>
          </w:p>
        </w:tc>
        <w:tc>
          <w:tcPr>
            <w:tcW w:w="76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900" w:type="dxa"/>
            <w:vAlign w:val="bottom"/>
            <w:gridSpan w:val="2"/>
            <w:vMerge w:val="continue"/>
            <w:shd w:val="clear" w:color="auto" w:fill="CCEEFF"/>
          </w:tcPr>
          <w:p>
            <w:pPr>
              <w:spacing w:after="0"/>
              <w:rPr>
                <w:sz w:val="19"/>
                <w:szCs w:val="19"/>
                <w:color w:val="auto"/>
              </w:rPr>
            </w:pPr>
          </w:p>
        </w:tc>
        <w:tc>
          <w:tcPr>
            <w:tcW w:w="76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680" w:type="dxa"/>
            <w:vAlign w:val="bottom"/>
            <w:vMerge w:val="continue"/>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680" w:type="dxa"/>
            <w:vAlign w:val="bottom"/>
            <w:vMerge w:val="continue"/>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2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760" w:type="dxa"/>
            <w:vAlign w:val="bottom"/>
            <w:shd w:val="clear" w:color="auto" w:fill="CCEEFF"/>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760" w:type="dxa"/>
            <w:vAlign w:val="bottom"/>
            <w:shd w:val="clear" w:color="auto" w:fill="CCEEFF"/>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780" w:type="dxa"/>
            <w:vAlign w:val="bottom"/>
            <w:shd w:val="clear" w:color="auto" w:fill="CCEEFF"/>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78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324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Diluted earnings per share</w:t>
            </w:r>
          </w:p>
        </w:tc>
        <w:tc>
          <w:tcPr>
            <w:tcW w:w="1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0.82</w:t>
            </w: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0.31</w:t>
            </w:r>
          </w:p>
        </w:tc>
        <w:tc>
          <w:tcPr>
            <w:tcW w:w="7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6.34</w:t>
            </w:r>
          </w:p>
        </w:tc>
        <w:tc>
          <w:tcPr>
            <w:tcW w:w="2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1.32</w:t>
            </w:r>
          </w:p>
        </w:tc>
        <w:tc>
          <w:tcPr>
            <w:tcW w:w="2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2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55"/>
        </w:trPr>
        <w:tc>
          <w:tcPr>
            <w:tcW w:w="32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576" w:right="339" w:bottom="1440" w:gutter="0" w:footer="0" w:header="0"/>
        </w:sectPr>
      </w:pPr>
    </w:p>
    <w:bookmarkStart w:id="8" w:name="page9"/>
    <w:bookmarkEnd w:id="8"/>
    <w:p>
      <w:pPr>
        <w:jc w:val="center"/>
        <w:spacing w:after="0"/>
        <w:rPr>
          <w:sz w:val="20"/>
          <w:szCs w:val="20"/>
          <w:color w:val="auto"/>
        </w:rPr>
      </w:pPr>
      <w:r>
        <w:rPr>
          <w:rFonts w:ascii="Times New Roman" w:cs="Times New Roman" w:eastAsia="Times New Roman" w:hAnsi="Times New Roman"/>
          <w:sz w:val="18"/>
          <w:szCs w:val="18"/>
          <w:b w:val="1"/>
          <w:bCs w:val="1"/>
          <w:color w:val="auto"/>
        </w:rPr>
        <w:t>Table 2</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BASSETT FURNITURE INDUSTRIES, INC.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Condensed Consolidated Balance Sheets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(In thousands)</w:t>
      </w:r>
    </w:p>
    <w:p>
      <w:pPr>
        <w:spacing w:after="0" w:line="234"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80" w:type="dxa"/>
            <w:vAlign w:val="bottom"/>
          </w:tcPr>
          <w:p>
            <w:pPr>
              <w:spacing w:after="0"/>
              <w:rPr>
                <w:sz w:val="18"/>
                <w:szCs w:val="18"/>
                <w:color w:val="auto"/>
              </w:rPr>
            </w:pPr>
          </w:p>
        </w:tc>
        <w:tc>
          <w:tcPr>
            <w:tcW w:w="2300" w:type="dxa"/>
            <w:vAlign w:val="bottom"/>
          </w:tcPr>
          <w:p>
            <w:pPr>
              <w:spacing w:after="0"/>
              <w:rPr>
                <w:sz w:val="18"/>
                <w:szCs w:val="18"/>
                <w:color w:val="auto"/>
              </w:rPr>
            </w:pPr>
          </w:p>
        </w:tc>
        <w:tc>
          <w:tcPr>
            <w:tcW w:w="5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80" w:type="dxa"/>
            <w:vAlign w:val="bottom"/>
            <w:gridSpan w:val="2"/>
          </w:tcPr>
          <w:p>
            <w:pPr>
              <w:jc w:val="right"/>
              <w:ind w:right="420"/>
              <w:spacing w:after="0"/>
              <w:rPr>
                <w:sz w:val="20"/>
                <w:szCs w:val="20"/>
                <w:color w:val="auto"/>
              </w:rPr>
            </w:pPr>
            <w:r>
              <w:rPr>
                <w:rFonts w:ascii="Times New Roman" w:cs="Times New Roman" w:eastAsia="Times New Roman" w:hAnsi="Times New Roman"/>
                <w:sz w:val="18"/>
                <w:szCs w:val="18"/>
                <w:color w:val="auto"/>
              </w:rPr>
              <w:t>(Unaudited)</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4"/>
        </w:trPr>
        <w:tc>
          <w:tcPr>
            <w:tcW w:w="480" w:type="dxa"/>
            <w:vAlign w:val="bottom"/>
          </w:tcPr>
          <w:p>
            <w:pPr>
              <w:spacing w:after="0"/>
              <w:rPr>
                <w:sz w:val="20"/>
                <w:szCs w:val="20"/>
                <w:color w:val="auto"/>
              </w:rPr>
            </w:pPr>
          </w:p>
        </w:tc>
        <w:tc>
          <w:tcPr>
            <w:tcW w:w="2300" w:type="dxa"/>
            <w:vAlign w:val="bottom"/>
          </w:tcPr>
          <w:p>
            <w:pPr>
              <w:spacing w:after="0"/>
              <w:rPr>
                <w:sz w:val="20"/>
                <w:szCs w:val="20"/>
                <w:color w:val="auto"/>
              </w:rPr>
            </w:pPr>
          </w:p>
        </w:tc>
        <w:tc>
          <w:tcPr>
            <w:tcW w:w="5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8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August 27, 2022</w:t>
            </w:r>
          </w:p>
        </w:tc>
        <w:tc>
          <w:tcPr>
            <w:tcW w:w="80" w:type="dxa"/>
            <w:vAlign w:val="bottom"/>
          </w:tcPr>
          <w:p>
            <w:pPr>
              <w:spacing w:after="0"/>
              <w:rPr>
                <w:sz w:val="20"/>
                <w:szCs w:val="20"/>
                <w:color w:val="auto"/>
              </w:rPr>
            </w:pPr>
          </w:p>
        </w:tc>
        <w:tc>
          <w:tcPr>
            <w:tcW w:w="1560" w:type="dxa"/>
            <w:vAlign w:val="bottom"/>
            <w:gridSpan w:val="3"/>
          </w:tcPr>
          <w:p>
            <w:pPr>
              <w:ind w:left="20"/>
              <w:spacing w:after="0"/>
              <w:rPr>
                <w:sz w:val="20"/>
                <w:szCs w:val="20"/>
                <w:color w:val="auto"/>
              </w:rPr>
            </w:pPr>
            <w:r>
              <w:rPr>
                <w:rFonts w:ascii="Times New Roman" w:cs="Times New Roman" w:eastAsia="Times New Roman" w:hAnsi="Times New Roman"/>
                <w:sz w:val="18"/>
                <w:szCs w:val="18"/>
                <w:color w:val="auto"/>
              </w:rPr>
              <w:t>November 27, 2021</w:t>
            </w:r>
          </w:p>
        </w:tc>
      </w:tr>
      <w:tr>
        <w:trPr>
          <w:trHeight w:val="169"/>
        </w:trPr>
        <w:tc>
          <w:tcPr>
            <w:tcW w:w="8000" w:type="dxa"/>
            <w:vAlign w:val="bottom"/>
            <w:gridSpan w:val="3"/>
            <w:shd w:val="clear" w:color="auto" w:fill="CCEEFF"/>
          </w:tcPr>
          <w:p>
            <w:pPr>
              <w:spacing w:after="0" w:line="169" w:lineRule="exact"/>
              <w:rPr>
                <w:sz w:val="20"/>
                <w:szCs w:val="20"/>
                <w:color w:val="auto"/>
              </w:rPr>
            </w:pPr>
            <w:r>
              <w:rPr>
                <w:rFonts w:ascii="Times New Roman" w:cs="Times New Roman" w:eastAsia="Times New Roman" w:hAnsi="Times New Roman"/>
                <w:sz w:val="18"/>
                <w:szCs w:val="18"/>
                <w:b w:val="1"/>
                <w:bCs w:val="1"/>
                <w:color w:val="auto"/>
              </w:rPr>
              <w:t>Assets</w:t>
            </w:r>
          </w:p>
        </w:tc>
        <w:tc>
          <w:tcPr>
            <w:tcW w:w="120" w:type="dxa"/>
            <w:vAlign w:val="bottom"/>
            <w:tcBorders>
              <w:top w:val="single" w:sz="8" w:color="auto"/>
            </w:tcBorders>
            <w:shd w:val="clear" w:color="auto" w:fill="CCEEFF"/>
          </w:tcPr>
          <w:p>
            <w:pPr>
              <w:spacing w:after="0"/>
              <w:rPr>
                <w:sz w:val="14"/>
                <w:szCs w:val="14"/>
                <w:color w:val="auto"/>
              </w:rPr>
            </w:pPr>
          </w:p>
        </w:tc>
        <w:tc>
          <w:tcPr>
            <w:tcW w:w="1360" w:type="dxa"/>
            <w:vAlign w:val="bottom"/>
            <w:tcBorders>
              <w:top w:val="single" w:sz="8" w:color="auto"/>
            </w:tcBorders>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480" w:type="dxa"/>
            <w:vAlign w:val="bottom"/>
            <w:tcBorders>
              <w:top w:val="single" w:sz="8" w:color="auto"/>
            </w:tcBorders>
            <w:shd w:val="clear" w:color="auto" w:fill="CCEEFF"/>
          </w:tcPr>
          <w:p>
            <w:pPr>
              <w:spacing w:after="0"/>
              <w:rPr>
                <w:sz w:val="14"/>
                <w:szCs w:val="14"/>
                <w:color w:val="auto"/>
              </w:rPr>
            </w:pPr>
          </w:p>
        </w:tc>
        <w:tc>
          <w:tcPr>
            <w:tcW w:w="980" w:type="dxa"/>
            <w:vAlign w:val="bottom"/>
            <w:tcBorders>
              <w:top w:val="single" w:sz="8" w:color="auto"/>
            </w:tcBorders>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r>
      <w:tr>
        <w:trPr>
          <w:trHeight w:val="20"/>
        </w:trPr>
        <w:tc>
          <w:tcPr>
            <w:tcW w:w="480" w:type="dxa"/>
            <w:vAlign w:val="bottom"/>
            <w:tcBorders>
              <w:top w:val="single" w:sz="8" w:color="auto"/>
            </w:tcBorders>
            <w:shd w:val="clear" w:color="auto" w:fill="CCEEFF"/>
          </w:tcPr>
          <w:p>
            <w:pPr>
              <w:spacing w:after="0" w:line="20" w:lineRule="exact"/>
              <w:rPr>
                <w:sz w:val="1"/>
                <w:szCs w:val="1"/>
                <w:color w:val="auto"/>
              </w:rPr>
            </w:pPr>
          </w:p>
        </w:tc>
        <w:tc>
          <w:tcPr>
            <w:tcW w:w="2300" w:type="dxa"/>
            <w:vAlign w:val="bottom"/>
            <w:tcBorders>
              <w:top w:val="single" w:sz="8" w:color="CCEEFF"/>
            </w:tcBorders>
            <w:shd w:val="clear" w:color="auto" w:fill="CCEEFF"/>
          </w:tcPr>
          <w:p>
            <w:pPr>
              <w:spacing w:after="0" w:line="20" w:lineRule="exact"/>
              <w:rPr>
                <w:sz w:val="1"/>
                <w:szCs w:val="1"/>
                <w:color w:val="auto"/>
              </w:rPr>
            </w:pPr>
          </w:p>
        </w:tc>
        <w:tc>
          <w:tcPr>
            <w:tcW w:w="522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136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480" w:type="dxa"/>
            <w:vAlign w:val="bottom"/>
            <w:tcBorders>
              <w:top w:val="single" w:sz="8" w:color="CCEEFF"/>
            </w:tcBorders>
            <w:shd w:val="clear" w:color="auto" w:fill="CCEEFF"/>
          </w:tcPr>
          <w:p>
            <w:pPr>
              <w:spacing w:after="0" w:line="20" w:lineRule="exact"/>
              <w:rPr>
                <w:sz w:val="1"/>
                <w:szCs w:val="1"/>
                <w:color w:val="auto"/>
              </w:rPr>
            </w:pPr>
          </w:p>
        </w:tc>
        <w:tc>
          <w:tcPr>
            <w:tcW w:w="98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r>
      <w:tr>
        <w:trPr>
          <w:trHeight w:val="216"/>
        </w:trPr>
        <w:tc>
          <w:tcPr>
            <w:tcW w:w="8000" w:type="dxa"/>
            <w:vAlign w:val="bottom"/>
            <w:gridSpan w:val="3"/>
          </w:tcPr>
          <w:p>
            <w:pPr>
              <w:spacing w:after="0"/>
              <w:rPr>
                <w:sz w:val="20"/>
                <w:szCs w:val="20"/>
                <w:color w:val="auto"/>
              </w:rPr>
            </w:pPr>
            <w:r>
              <w:rPr>
                <w:rFonts w:ascii="Times New Roman" w:cs="Times New Roman" w:eastAsia="Times New Roman" w:hAnsi="Times New Roman"/>
                <w:sz w:val="18"/>
                <w:szCs w:val="18"/>
                <w:b w:val="1"/>
                <w:bCs w:val="1"/>
                <w:color w:val="auto"/>
              </w:rPr>
              <w:t>Current assets</w:t>
            </w:r>
          </w:p>
        </w:tc>
        <w:tc>
          <w:tcPr>
            <w:tcW w:w="12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00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Cash and cash equivalents</w:t>
            </w: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66,870</w:t>
            </w:r>
          </w:p>
        </w:tc>
        <w:tc>
          <w:tcPr>
            <w:tcW w:w="560" w:type="dxa"/>
            <w:vAlign w:val="bottom"/>
            <w:gridSpan w:val="2"/>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34,374</w:t>
            </w:r>
          </w:p>
        </w:tc>
      </w:tr>
      <w:tr>
        <w:trPr>
          <w:trHeight w:val="216"/>
        </w:trPr>
        <w:tc>
          <w:tcPr>
            <w:tcW w:w="800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Short-term investments</w:t>
            </w:r>
          </w:p>
        </w:tc>
        <w:tc>
          <w:tcPr>
            <w:tcW w:w="120" w:type="dxa"/>
            <w:vAlign w:val="bottom"/>
          </w:tcPr>
          <w:p>
            <w:pPr>
              <w:spacing w:after="0"/>
              <w:rPr>
                <w:sz w:val="18"/>
                <w:szCs w:val="18"/>
                <w:color w:val="auto"/>
              </w:rPr>
            </w:pPr>
          </w:p>
        </w:tc>
        <w:tc>
          <w:tcPr>
            <w:tcW w:w="14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17,715</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17,715</w:t>
            </w:r>
          </w:p>
        </w:tc>
      </w:tr>
      <w:tr>
        <w:trPr>
          <w:trHeight w:val="216"/>
        </w:trPr>
        <w:tc>
          <w:tcPr>
            <w:tcW w:w="800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Accounts receivable, net</w:t>
            </w:r>
          </w:p>
        </w:tc>
        <w:tc>
          <w:tcPr>
            <w:tcW w:w="12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20,950</w:t>
            </w: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20,567</w:t>
            </w:r>
          </w:p>
        </w:tc>
      </w:tr>
      <w:tr>
        <w:trPr>
          <w:trHeight w:val="216"/>
        </w:trPr>
        <w:tc>
          <w:tcPr>
            <w:tcW w:w="800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Inventories, net</w:t>
            </w:r>
          </w:p>
        </w:tc>
        <w:tc>
          <w:tcPr>
            <w:tcW w:w="120" w:type="dxa"/>
            <w:vAlign w:val="bottom"/>
          </w:tcPr>
          <w:p>
            <w:pPr>
              <w:spacing w:after="0"/>
              <w:rPr>
                <w:sz w:val="18"/>
                <w:szCs w:val="18"/>
                <w:color w:val="auto"/>
              </w:rPr>
            </w:pPr>
          </w:p>
        </w:tc>
        <w:tc>
          <w:tcPr>
            <w:tcW w:w="14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91,681</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78,004</w:t>
            </w:r>
          </w:p>
        </w:tc>
      </w:tr>
      <w:tr>
        <w:trPr>
          <w:trHeight w:val="216"/>
        </w:trPr>
        <w:tc>
          <w:tcPr>
            <w:tcW w:w="800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Recoverable income taxes</w:t>
            </w:r>
          </w:p>
        </w:tc>
        <w:tc>
          <w:tcPr>
            <w:tcW w:w="12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5,427</w:t>
            </w: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8,379</w:t>
            </w:r>
          </w:p>
        </w:tc>
      </w:tr>
      <w:tr>
        <w:trPr>
          <w:trHeight w:val="216"/>
        </w:trPr>
        <w:tc>
          <w:tcPr>
            <w:tcW w:w="800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Current assets of discontinued operations held for sale</w:t>
            </w:r>
          </w:p>
        </w:tc>
        <w:tc>
          <w:tcPr>
            <w:tcW w:w="120" w:type="dxa"/>
            <w:vAlign w:val="bottom"/>
          </w:tcPr>
          <w:p>
            <w:pPr>
              <w:spacing w:after="0"/>
              <w:rPr>
                <w:sz w:val="18"/>
                <w:szCs w:val="18"/>
                <w:color w:val="auto"/>
              </w:rPr>
            </w:pPr>
          </w:p>
        </w:tc>
        <w:tc>
          <w:tcPr>
            <w:tcW w:w="14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11,064</w:t>
            </w:r>
          </w:p>
        </w:tc>
      </w:tr>
      <w:tr>
        <w:trPr>
          <w:trHeight w:val="216"/>
        </w:trPr>
        <w:tc>
          <w:tcPr>
            <w:tcW w:w="8000" w:type="dxa"/>
            <w:vAlign w:val="bottom"/>
            <w:tcBorders>
              <w:bottom w:val="single" w:sz="8" w:color="CCEEFF"/>
            </w:tcBorders>
            <w:gridSpan w:val="3"/>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Other current assets</w:t>
            </w:r>
          </w:p>
        </w:tc>
        <w:tc>
          <w:tcPr>
            <w:tcW w:w="120" w:type="dxa"/>
            <w:vAlign w:val="bottom"/>
            <w:tcBorders>
              <w:bottom w:val="single" w:sz="8" w:color="auto"/>
            </w:tcBorders>
            <w:shd w:val="clear" w:color="auto" w:fill="CCEEFF"/>
          </w:tcPr>
          <w:p>
            <w:pPr>
              <w:spacing w:after="0"/>
              <w:rPr>
                <w:sz w:val="18"/>
                <w:szCs w:val="18"/>
                <w:color w:val="auto"/>
              </w:rPr>
            </w:pPr>
          </w:p>
        </w:tc>
        <w:tc>
          <w:tcPr>
            <w:tcW w:w="13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11,104</w:t>
            </w:r>
          </w:p>
        </w:tc>
        <w:tc>
          <w:tcPr>
            <w:tcW w:w="12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10,181</w:t>
            </w:r>
          </w:p>
        </w:tc>
        <w:tc>
          <w:tcPr>
            <w:tcW w:w="100" w:type="dxa"/>
            <w:vAlign w:val="bottom"/>
            <w:tcBorders>
              <w:bottom w:val="single" w:sz="8" w:color="CCEEFF"/>
            </w:tcBorders>
            <w:shd w:val="clear" w:color="auto" w:fill="CCEEFF"/>
          </w:tcPr>
          <w:p>
            <w:pPr>
              <w:spacing w:after="0"/>
              <w:rPr>
                <w:sz w:val="18"/>
                <w:szCs w:val="18"/>
                <w:color w:val="auto"/>
              </w:rPr>
            </w:pPr>
          </w:p>
        </w:tc>
      </w:tr>
      <w:tr>
        <w:trPr>
          <w:trHeight w:val="209"/>
        </w:trPr>
        <w:tc>
          <w:tcPr>
            <w:tcW w:w="80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Total current assets</w:t>
            </w:r>
          </w:p>
        </w:tc>
        <w:tc>
          <w:tcPr>
            <w:tcW w:w="120" w:type="dxa"/>
            <w:vAlign w:val="bottom"/>
          </w:tcPr>
          <w:p>
            <w:pPr>
              <w:spacing w:after="0"/>
              <w:rPr>
                <w:sz w:val="18"/>
                <w:szCs w:val="18"/>
                <w:color w:val="auto"/>
              </w:rPr>
            </w:pPr>
          </w:p>
        </w:tc>
        <w:tc>
          <w:tcPr>
            <w:tcW w:w="14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213,747</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180,284</w:t>
            </w:r>
          </w:p>
        </w:tc>
      </w:tr>
      <w:tr>
        <w:trPr>
          <w:trHeight w:val="210"/>
        </w:trPr>
        <w:tc>
          <w:tcPr>
            <w:tcW w:w="480" w:type="dxa"/>
            <w:vAlign w:val="bottom"/>
            <w:shd w:val="clear" w:color="auto" w:fill="CCEEFF"/>
          </w:tcPr>
          <w:p>
            <w:pPr>
              <w:spacing w:after="0"/>
              <w:rPr>
                <w:sz w:val="18"/>
                <w:szCs w:val="18"/>
                <w:color w:val="auto"/>
              </w:rPr>
            </w:pPr>
          </w:p>
        </w:tc>
        <w:tc>
          <w:tcPr>
            <w:tcW w:w="2300" w:type="dxa"/>
            <w:vAlign w:val="bottom"/>
            <w:shd w:val="clear" w:color="auto" w:fill="CCEEFF"/>
          </w:tcPr>
          <w:p>
            <w:pPr>
              <w:spacing w:after="0"/>
              <w:rPr>
                <w:sz w:val="18"/>
                <w:szCs w:val="18"/>
                <w:color w:val="auto"/>
              </w:rPr>
            </w:pPr>
          </w:p>
        </w:tc>
        <w:tc>
          <w:tcPr>
            <w:tcW w:w="522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36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0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Property and equipment, net</w:t>
            </w:r>
          </w:p>
        </w:tc>
        <w:tc>
          <w:tcPr>
            <w:tcW w:w="120" w:type="dxa"/>
            <w:vAlign w:val="bottom"/>
          </w:tcPr>
          <w:p>
            <w:pPr>
              <w:spacing w:after="0"/>
              <w:rPr>
                <w:sz w:val="18"/>
                <w:szCs w:val="18"/>
                <w:color w:val="auto"/>
              </w:rPr>
            </w:pPr>
          </w:p>
        </w:tc>
        <w:tc>
          <w:tcPr>
            <w:tcW w:w="14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75,513</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69,168</w:t>
            </w:r>
          </w:p>
        </w:tc>
      </w:tr>
      <w:tr>
        <w:trPr>
          <w:trHeight w:val="216"/>
        </w:trPr>
        <w:tc>
          <w:tcPr>
            <w:tcW w:w="480" w:type="dxa"/>
            <w:vAlign w:val="bottom"/>
            <w:shd w:val="clear" w:color="auto" w:fill="CCEEFF"/>
          </w:tcPr>
          <w:p>
            <w:pPr>
              <w:spacing w:after="0"/>
              <w:rPr>
                <w:sz w:val="18"/>
                <w:szCs w:val="18"/>
                <w:color w:val="auto"/>
              </w:rPr>
            </w:pPr>
          </w:p>
        </w:tc>
        <w:tc>
          <w:tcPr>
            <w:tcW w:w="2300" w:type="dxa"/>
            <w:vAlign w:val="bottom"/>
            <w:shd w:val="clear" w:color="auto" w:fill="CCEEFF"/>
          </w:tcPr>
          <w:p>
            <w:pPr>
              <w:spacing w:after="0"/>
              <w:rPr>
                <w:sz w:val="18"/>
                <w:szCs w:val="18"/>
                <w:color w:val="auto"/>
              </w:rPr>
            </w:pPr>
          </w:p>
        </w:tc>
        <w:tc>
          <w:tcPr>
            <w:tcW w:w="5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000" w:type="dxa"/>
            <w:vAlign w:val="bottom"/>
            <w:gridSpan w:val="3"/>
          </w:tcPr>
          <w:p>
            <w:pPr>
              <w:spacing w:after="0"/>
              <w:rPr>
                <w:sz w:val="20"/>
                <w:szCs w:val="20"/>
                <w:color w:val="auto"/>
              </w:rPr>
            </w:pPr>
            <w:r>
              <w:rPr>
                <w:rFonts w:ascii="Times New Roman" w:cs="Times New Roman" w:eastAsia="Times New Roman" w:hAnsi="Times New Roman"/>
                <w:sz w:val="18"/>
                <w:szCs w:val="18"/>
                <w:b w:val="1"/>
                <w:bCs w:val="1"/>
                <w:color w:val="auto"/>
              </w:rPr>
              <w:t>Other long-term assets</w:t>
            </w:r>
          </w:p>
        </w:tc>
        <w:tc>
          <w:tcPr>
            <w:tcW w:w="12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00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Deferred income taxes, net</w:t>
            </w:r>
          </w:p>
        </w:tc>
        <w:tc>
          <w:tcPr>
            <w:tcW w:w="12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6,045</w:t>
            </w: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3,189</w:t>
            </w:r>
          </w:p>
        </w:tc>
      </w:tr>
      <w:tr>
        <w:trPr>
          <w:trHeight w:val="216"/>
        </w:trPr>
        <w:tc>
          <w:tcPr>
            <w:tcW w:w="800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Goodwill and other intangible assets</w:t>
            </w:r>
          </w:p>
        </w:tc>
        <w:tc>
          <w:tcPr>
            <w:tcW w:w="120" w:type="dxa"/>
            <w:vAlign w:val="bottom"/>
          </w:tcPr>
          <w:p>
            <w:pPr>
              <w:spacing w:after="0"/>
              <w:rPr>
                <w:sz w:val="18"/>
                <w:szCs w:val="18"/>
                <w:color w:val="auto"/>
              </w:rPr>
            </w:pPr>
          </w:p>
        </w:tc>
        <w:tc>
          <w:tcPr>
            <w:tcW w:w="14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14,313</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14,354</w:t>
            </w:r>
          </w:p>
        </w:tc>
      </w:tr>
      <w:tr>
        <w:trPr>
          <w:trHeight w:val="216"/>
        </w:trPr>
        <w:tc>
          <w:tcPr>
            <w:tcW w:w="800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Right of use assets under operating leases</w:t>
            </w:r>
          </w:p>
        </w:tc>
        <w:tc>
          <w:tcPr>
            <w:tcW w:w="12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86,809</w:t>
            </w: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95,955</w:t>
            </w:r>
          </w:p>
        </w:tc>
      </w:tr>
      <w:tr>
        <w:trPr>
          <w:trHeight w:val="216"/>
        </w:trPr>
        <w:tc>
          <w:tcPr>
            <w:tcW w:w="800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Long-term assets of discontinued operations held for sale</w:t>
            </w:r>
          </w:p>
        </w:tc>
        <w:tc>
          <w:tcPr>
            <w:tcW w:w="120" w:type="dxa"/>
            <w:vAlign w:val="bottom"/>
          </w:tcPr>
          <w:p>
            <w:pPr>
              <w:spacing w:after="0"/>
              <w:rPr>
                <w:sz w:val="18"/>
                <w:szCs w:val="18"/>
                <w:color w:val="auto"/>
              </w:rPr>
            </w:pPr>
          </w:p>
        </w:tc>
        <w:tc>
          <w:tcPr>
            <w:tcW w:w="14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52,757</w:t>
            </w:r>
          </w:p>
        </w:tc>
      </w:tr>
      <w:tr>
        <w:trPr>
          <w:trHeight w:val="216"/>
        </w:trPr>
        <w:tc>
          <w:tcPr>
            <w:tcW w:w="8000" w:type="dxa"/>
            <w:vAlign w:val="bottom"/>
            <w:tcBorders>
              <w:bottom w:val="single" w:sz="8" w:color="CCEEFF"/>
            </w:tcBorders>
            <w:gridSpan w:val="3"/>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Other</w:t>
            </w:r>
          </w:p>
        </w:tc>
        <w:tc>
          <w:tcPr>
            <w:tcW w:w="120" w:type="dxa"/>
            <w:vAlign w:val="bottom"/>
            <w:tcBorders>
              <w:bottom w:val="single" w:sz="8" w:color="auto"/>
            </w:tcBorders>
            <w:shd w:val="clear" w:color="auto" w:fill="CCEEFF"/>
          </w:tcPr>
          <w:p>
            <w:pPr>
              <w:spacing w:after="0"/>
              <w:rPr>
                <w:sz w:val="18"/>
                <w:szCs w:val="18"/>
                <w:color w:val="auto"/>
              </w:rPr>
            </w:pPr>
          </w:p>
        </w:tc>
        <w:tc>
          <w:tcPr>
            <w:tcW w:w="13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6,260</w:t>
            </w:r>
          </w:p>
        </w:tc>
        <w:tc>
          <w:tcPr>
            <w:tcW w:w="12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5,953</w:t>
            </w:r>
          </w:p>
        </w:tc>
        <w:tc>
          <w:tcPr>
            <w:tcW w:w="100" w:type="dxa"/>
            <w:vAlign w:val="bottom"/>
            <w:tcBorders>
              <w:bottom w:val="single" w:sz="8" w:color="CCEEFF"/>
            </w:tcBorders>
            <w:shd w:val="clear" w:color="auto" w:fill="CCEEFF"/>
          </w:tcPr>
          <w:p>
            <w:pPr>
              <w:spacing w:after="0"/>
              <w:rPr>
                <w:sz w:val="18"/>
                <w:szCs w:val="18"/>
                <w:color w:val="auto"/>
              </w:rPr>
            </w:pPr>
          </w:p>
        </w:tc>
      </w:tr>
      <w:tr>
        <w:trPr>
          <w:trHeight w:val="209"/>
        </w:trPr>
        <w:tc>
          <w:tcPr>
            <w:tcW w:w="80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Total long-term assets</w:t>
            </w:r>
          </w:p>
        </w:tc>
        <w:tc>
          <w:tcPr>
            <w:tcW w:w="12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113,427</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8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172,208</w:t>
            </w:r>
          </w:p>
        </w:tc>
        <w:tc>
          <w:tcPr>
            <w:tcW w:w="100" w:type="dxa"/>
            <w:vAlign w:val="bottom"/>
          </w:tcPr>
          <w:p>
            <w:pPr>
              <w:spacing w:after="0"/>
              <w:rPr>
                <w:sz w:val="18"/>
                <w:szCs w:val="18"/>
                <w:color w:val="auto"/>
              </w:rPr>
            </w:pPr>
          </w:p>
        </w:tc>
      </w:tr>
      <w:tr>
        <w:trPr>
          <w:trHeight w:val="250"/>
        </w:trPr>
        <w:tc>
          <w:tcPr>
            <w:tcW w:w="80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 assets</w:t>
            </w: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402,687</w:t>
            </w:r>
          </w:p>
        </w:tc>
        <w:tc>
          <w:tcPr>
            <w:tcW w:w="560" w:type="dxa"/>
            <w:vAlign w:val="bottom"/>
            <w:gridSpan w:val="2"/>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421,660</w:t>
            </w:r>
          </w:p>
        </w:tc>
      </w:tr>
      <w:tr>
        <w:trPr>
          <w:trHeight w:val="197"/>
        </w:trPr>
        <w:tc>
          <w:tcPr>
            <w:tcW w:w="480" w:type="dxa"/>
            <w:vAlign w:val="bottom"/>
            <w:tcBorders>
              <w:top w:val="single" w:sz="8" w:color="CCEEFF"/>
            </w:tcBorders>
          </w:tcPr>
          <w:p>
            <w:pPr>
              <w:spacing w:after="0"/>
              <w:rPr>
                <w:sz w:val="17"/>
                <w:szCs w:val="17"/>
                <w:color w:val="auto"/>
              </w:rPr>
            </w:pPr>
          </w:p>
        </w:tc>
        <w:tc>
          <w:tcPr>
            <w:tcW w:w="2300" w:type="dxa"/>
            <w:vAlign w:val="bottom"/>
            <w:tcBorders>
              <w:top w:val="single" w:sz="8" w:color="CCEEFF"/>
            </w:tcBorders>
          </w:tcPr>
          <w:p>
            <w:pPr>
              <w:spacing w:after="0"/>
              <w:rPr>
                <w:sz w:val="17"/>
                <w:szCs w:val="17"/>
                <w:color w:val="auto"/>
              </w:rPr>
            </w:pPr>
          </w:p>
        </w:tc>
        <w:tc>
          <w:tcPr>
            <w:tcW w:w="5220" w:type="dxa"/>
            <w:vAlign w:val="bottom"/>
            <w:tcBorders>
              <w:top w:val="single" w:sz="8" w:color="CCEEFF"/>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1360" w:type="dxa"/>
            <w:vAlign w:val="bottom"/>
            <w:tcBorders>
              <w:top w:val="single" w:sz="8" w:color="auto"/>
            </w:tcBorders>
          </w:tcPr>
          <w:p>
            <w:pPr>
              <w:spacing w:after="0"/>
              <w:rPr>
                <w:sz w:val="17"/>
                <w:szCs w:val="17"/>
                <w:color w:val="auto"/>
              </w:rPr>
            </w:pPr>
          </w:p>
        </w:tc>
        <w:tc>
          <w:tcPr>
            <w:tcW w:w="120" w:type="dxa"/>
            <w:vAlign w:val="bottom"/>
            <w:tcBorders>
              <w:top w:val="single" w:sz="8" w:color="CCEEFF"/>
            </w:tcBorders>
          </w:tcPr>
          <w:p>
            <w:pPr>
              <w:spacing w:after="0"/>
              <w:rPr>
                <w:sz w:val="17"/>
                <w:szCs w:val="17"/>
                <w:color w:val="auto"/>
              </w:rPr>
            </w:pPr>
          </w:p>
        </w:tc>
        <w:tc>
          <w:tcPr>
            <w:tcW w:w="80" w:type="dxa"/>
            <w:vAlign w:val="bottom"/>
            <w:tcBorders>
              <w:top w:val="single" w:sz="8" w:color="CCEEFF"/>
            </w:tcBorders>
          </w:tcPr>
          <w:p>
            <w:pPr>
              <w:spacing w:after="0"/>
              <w:rPr>
                <w:sz w:val="17"/>
                <w:szCs w:val="17"/>
                <w:color w:val="auto"/>
              </w:rPr>
            </w:pPr>
          </w:p>
        </w:tc>
        <w:tc>
          <w:tcPr>
            <w:tcW w:w="480" w:type="dxa"/>
            <w:vAlign w:val="bottom"/>
            <w:tcBorders>
              <w:top w:val="single" w:sz="8" w:color="auto"/>
            </w:tcBorders>
          </w:tcPr>
          <w:p>
            <w:pPr>
              <w:spacing w:after="0"/>
              <w:rPr>
                <w:sz w:val="17"/>
                <w:szCs w:val="17"/>
                <w:color w:val="auto"/>
              </w:rPr>
            </w:pPr>
          </w:p>
        </w:tc>
        <w:tc>
          <w:tcPr>
            <w:tcW w:w="98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r>
      <w:tr>
        <w:trPr>
          <w:trHeight w:val="196"/>
        </w:trPr>
        <w:tc>
          <w:tcPr>
            <w:tcW w:w="8000" w:type="dxa"/>
            <w:vAlign w:val="bottom"/>
            <w:gridSpan w:val="3"/>
            <w:shd w:val="clear" w:color="auto" w:fill="CCEEFF"/>
          </w:tcPr>
          <w:p>
            <w:pPr>
              <w:spacing w:after="0" w:line="176" w:lineRule="exact"/>
              <w:rPr>
                <w:sz w:val="20"/>
                <w:szCs w:val="20"/>
                <w:color w:val="auto"/>
              </w:rPr>
            </w:pPr>
            <w:r>
              <w:rPr>
                <w:rFonts w:ascii="Times New Roman" w:cs="Times New Roman" w:eastAsia="Times New Roman" w:hAnsi="Times New Roman"/>
                <w:sz w:val="18"/>
                <w:szCs w:val="18"/>
                <w:b w:val="1"/>
                <w:bCs w:val="1"/>
                <w:color w:val="auto"/>
              </w:rPr>
              <w:t>Liabilities and Stockholders</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Equity</w:t>
            </w:r>
          </w:p>
        </w:tc>
        <w:tc>
          <w:tcPr>
            <w:tcW w:w="120" w:type="dxa"/>
            <w:vAlign w:val="bottom"/>
            <w:shd w:val="clear" w:color="auto" w:fill="CCEEFF"/>
          </w:tcPr>
          <w:p>
            <w:pPr>
              <w:spacing w:after="0"/>
              <w:rPr>
                <w:sz w:val="17"/>
                <w:szCs w:val="17"/>
                <w:color w:val="auto"/>
              </w:rPr>
            </w:pPr>
          </w:p>
        </w:tc>
        <w:tc>
          <w:tcPr>
            <w:tcW w:w="13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16"/>
        </w:trPr>
        <w:tc>
          <w:tcPr>
            <w:tcW w:w="2780" w:type="dxa"/>
            <w:vAlign w:val="bottom"/>
            <w:tcBorders>
              <w:top w:val="single" w:sz="8" w:color="auto"/>
            </w:tcBorders>
            <w:gridSpan w:val="2"/>
          </w:tcPr>
          <w:p>
            <w:pPr>
              <w:spacing w:after="0"/>
              <w:rPr>
                <w:sz w:val="20"/>
                <w:szCs w:val="20"/>
                <w:color w:val="auto"/>
              </w:rPr>
            </w:pPr>
            <w:r>
              <w:rPr>
                <w:rFonts w:ascii="Times New Roman" w:cs="Times New Roman" w:eastAsia="Times New Roman" w:hAnsi="Times New Roman"/>
                <w:sz w:val="18"/>
                <w:szCs w:val="18"/>
                <w:b w:val="1"/>
                <w:bCs w:val="1"/>
                <w:color w:val="auto"/>
              </w:rPr>
              <w:t>Current liabilities</w:t>
            </w:r>
          </w:p>
        </w:tc>
        <w:tc>
          <w:tcPr>
            <w:tcW w:w="5220" w:type="dxa"/>
            <w:vAlign w:val="bottom"/>
            <w:tcBorders>
              <w:top w:val="single" w:sz="8" w:color="CCEEFF"/>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1360" w:type="dxa"/>
            <w:vAlign w:val="bottom"/>
            <w:tcBorders>
              <w:top w:val="single" w:sz="8" w:color="CCEEFF"/>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480" w:type="dxa"/>
            <w:vAlign w:val="bottom"/>
            <w:tcBorders>
              <w:top w:val="single" w:sz="8" w:color="CCEEFF"/>
            </w:tcBorders>
          </w:tcPr>
          <w:p>
            <w:pPr>
              <w:spacing w:after="0"/>
              <w:rPr>
                <w:sz w:val="18"/>
                <w:szCs w:val="18"/>
                <w:color w:val="auto"/>
              </w:rPr>
            </w:pPr>
          </w:p>
        </w:tc>
        <w:tc>
          <w:tcPr>
            <w:tcW w:w="98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16"/>
        </w:trPr>
        <w:tc>
          <w:tcPr>
            <w:tcW w:w="800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Accounts payable</w:t>
            </w: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24,189</w:t>
            </w:r>
          </w:p>
        </w:tc>
        <w:tc>
          <w:tcPr>
            <w:tcW w:w="560" w:type="dxa"/>
            <w:vAlign w:val="bottom"/>
            <w:gridSpan w:val="2"/>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23,988</w:t>
            </w:r>
          </w:p>
        </w:tc>
      </w:tr>
      <w:tr>
        <w:trPr>
          <w:trHeight w:val="216"/>
        </w:trPr>
        <w:tc>
          <w:tcPr>
            <w:tcW w:w="800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Accrued compensation and benefits</w:t>
            </w:r>
          </w:p>
        </w:tc>
        <w:tc>
          <w:tcPr>
            <w:tcW w:w="120" w:type="dxa"/>
            <w:vAlign w:val="bottom"/>
          </w:tcPr>
          <w:p>
            <w:pPr>
              <w:spacing w:after="0"/>
              <w:rPr>
                <w:sz w:val="18"/>
                <w:szCs w:val="18"/>
                <w:color w:val="auto"/>
              </w:rPr>
            </w:pPr>
          </w:p>
        </w:tc>
        <w:tc>
          <w:tcPr>
            <w:tcW w:w="14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12,809</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12,639</w:t>
            </w:r>
          </w:p>
        </w:tc>
      </w:tr>
      <w:tr>
        <w:trPr>
          <w:trHeight w:val="216"/>
        </w:trPr>
        <w:tc>
          <w:tcPr>
            <w:tcW w:w="800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Customer deposits</w:t>
            </w:r>
          </w:p>
        </w:tc>
        <w:tc>
          <w:tcPr>
            <w:tcW w:w="12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40,311</w:t>
            </w: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51,492</w:t>
            </w:r>
          </w:p>
        </w:tc>
      </w:tr>
      <w:tr>
        <w:trPr>
          <w:trHeight w:val="216"/>
        </w:trPr>
        <w:tc>
          <w:tcPr>
            <w:tcW w:w="800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Current portion of operating lease obligations</w:t>
            </w:r>
          </w:p>
        </w:tc>
        <w:tc>
          <w:tcPr>
            <w:tcW w:w="120" w:type="dxa"/>
            <w:vAlign w:val="bottom"/>
          </w:tcPr>
          <w:p>
            <w:pPr>
              <w:spacing w:after="0"/>
              <w:rPr>
                <w:sz w:val="18"/>
                <w:szCs w:val="18"/>
                <w:color w:val="auto"/>
              </w:rPr>
            </w:pPr>
          </w:p>
        </w:tc>
        <w:tc>
          <w:tcPr>
            <w:tcW w:w="14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19,969</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20,235</w:t>
            </w:r>
          </w:p>
        </w:tc>
      </w:tr>
      <w:tr>
        <w:trPr>
          <w:trHeight w:val="216"/>
        </w:trPr>
        <w:tc>
          <w:tcPr>
            <w:tcW w:w="800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Current liabilities of discontinued operations held for sale</w:t>
            </w:r>
          </w:p>
        </w:tc>
        <w:tc>
          <w:tcPr>
            <w:tcW w:w="12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16,095</w:t>
            </w:r>
          </w:p>
        </w:tc>
      </w:tr>
      <w:tr>
        <w:trPr>
          <w:trHeight w:val="216"/>
        </w:trPr>
        <w:tc>
          <w:tcPr>
            <w:tcW w:w="800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Other current liabilities and accrued expenses</w:t>
            </w:r>
          </w:p>
        </w:tc>
        <w:tc>
          <w:tcPr>
            <w:tcW w:w="12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12,746</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8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9,770</w:t>
            </w:r>
          </w:p>
        </w:tc>
        <w:tc>
          <w:tcPr>
            <w:tcW w:w="100" w:type="dxa"/>
            <w:vAlign w:val="bottom"/>
          </w:tcPr>
          <w:p>
            <w:pPr>
              <w:spacing w:after="0"/>
              <w:rPr>
                <w:sz w:val="18"/>
                <w:szCs w:val="18"/>
                <w:color w:val="auto"/>
              </w:rPr>
            </w:pPr>
          </w:p>
        </w:tc>
      </w:tr>
      <w:tr>
        <w:trPr>
          <w:trHeight w:val="210"/>
        </w:trPr>
        <w:tc>
          <w:tcPr>
            <w:tcW w:w="80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current liabilities</w:t>
            </w:r>
          </w:p>
        </w:tc>
        <w:tc>
          <w:tcPr>
            <w:tcW w:w="12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110,024</w:t>
            </w: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134,219</w:t>
            </w:r>
          </w:p>
        </w:tc>
      </w:tr>
      <w:tr>
        <w:trPr>
          <w:trHeight w:val="209"/>
        </w:trPr>
        <w:tc>
          <w:tcPr>
            <w:tcW w:w="480" w:type="dxa"/>
            <w:vAlign w:val="bottom"/>
            <w:tcBorders>
              <w:top w:val="single" w:sz="8" w:color="CCEEFF"/>
            </w:tcBorders>
          </w:tcPr>
          <w:p>
            <w:pPr>
              <w:spacing w:after="0"/>
              <w:rPr>
                <w:sz w:val="18"/>
                <w:szCs w:val="18"/>
                <w:color w:val="auto"/>
              </w:rPr>
            </w:pPr>
          </w:p>
        </w:tc>
        <w:tc>
          <w:tcPr>
            <w:tcW w:w="2300" w:type="dxa"/>
            <w:vAlign w:val="bottom"/>
            <w:tcBorders>
              <w:top w:val="single" w:sz="8" w:color="CCEEFF"/>
            </w:tcBorders>
          </w:tcPr>
          <w:p>
            <w:pPr>
              <w:spacing w:after="0"/>
              <w:rPr>
                <w:sz w:val="18"/>
                <w:szCs w:val="18"/>
                <w:color w:val="auto"/>
              </w:rPr>
            </w:pPr>
          </w:p>
        </w:tc>
        <w:tc>
          <w:tcPr>
            <w:tcW w:w="522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360" w:type="dxa"/>
            <w:vAlign w:val="bottom"/>
            <w:tcBorders>
              <w:top w:val="single" w:sz="8" w:color="auto"/>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48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16"/>
        </w:trPr>
        <w:tc>
          <w:tcPr>
            <w:tcW w:w="80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Long-term liabilities</w:t>
            </w:r>
          </w:p>
        </w:tc>
        <w:tc>
          <w:tcPr>
            <w:tcW w:w="12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00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Post employment benefit obligations</w:t>
            </w:r>
          </w:p>
        </w:tc>
        <w:tc>
          <w:tcPr>
            <w:tcW w:w="120" w:type="dxa"/>
            <w:vAlign w:val="bottom"/>
          </w:tcPr>
          <w:p>
            <w:pPr>
              <w:spacing w:after="0"/>
              <w:rPr>
                <w:sz w:val="18"/>
                <w:szCs w:val="18"/>
                <w:color w:val="auto"/>
              </w:rPr>
            </w:pPr>
          </w:p>
        </w:tc>
        <w:tc>
          <w:tcPr>
            <w:tcW w:w="14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13,016</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12,968</w:t>
            </w:r>
          </w:p>
        </w:tc>
      </w:tr>
      <w:tr>
        <w:trPr>
          <w:trHeight w:val="216"/>
        </w:trPr>
        <w:tc>
          <w:tcPr>
            <w:tcW w:w="800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Long-term portion of operating lease obligations</w:t>
            </w:r>
          </w:p>
        </w:tc>
        <w:tc>
          <w:tcPr>
            <w:tcW w:w="12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84,102</w:t>
            </w: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94,845</w:t>
            </w:r>
          </w:p>
        </w:tc>
      </w:tr>
      <w:tr>
        <w:trPr>
          <w:trHeight w:val="216"/>
        </w:trPr>
        <w:tc>
          <w:tcPr>
            <w:tcW w:w="800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Long-term liabilities of discontinued operations held for sale</w:t>
            </w:r>
          </w:p>
        </w:tc>
        <w:tc>
          <w:tcPr>
            <w:tcW w:w="120" w:type="dxa"/>
            <w:vAlign w:val="bottom"/>
          </w:tcPr>
          <w:p>
            <w:pPr>
              <w:spacing w:after="0"/>
              <w:rPr>
                <w:sz w:val="18"/>
                <w:szCs w:val="18"/>
                <w:color w:val="auto"/>
              </w:rPr>
            </w:pPr>
          </w:p>
        </w:tc>
        <w:tc>
          <w:tcPr>
            <w:tcW w:w="14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16,210</w:t>
            </w:r>
          </w:p>
        </w:tc>
      </w:tr>
      <w:tr>
        <w:trPr>
          <w:trHeight w:val="216"/>
        </w:trPr>
        <w:tc>
          <w:tcPr>
            <w:tcW w:w="8000" w:type="dxa"/>
            <w:vAlign w:val="bottom"/>
            <w:tcBorders>
              <w:bottom w:val="single" w:sz="8" w:color="CCEEFF"/>
            </w:tcBorders>
            <w:gridSpan w:val="3"/>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Other long-term liabilities</w:t>
            </w:r>
          </w:p>
        </w:tc>
        <w:tc>
          <w:tcPr>
            <w:tcW w:w="120" w:type="dxa"/>
            <w:vAlign w:val="bottom"/>
            <w:tcBorders>
              <w:bottom w:val="single" w:sz="8" w:color="auto"/>
            </w:tcBorders>
            <w:shd w:val="clear" w:color="auto" w:fill="CCEEFF"/>
          </w:tcPr>
          <w:p>
            <w:pPr>
              <w:spacing w:after="0"/>
              <w:rPr>
                <w:sz w:val="18"/>
                <w:szCs w:val="18"/>
                <w:color w:val="auto"/>
              </w:rPr>
            </w:pPr>
          </w:p>
        </w:tc>
        <w:tc>
          <w:tcPr>
            <w:tcW w:w="13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606</w:t>
            </w:r>
          </w:p>
        </w:tc>
        <w:tc>
          <w:tcPr>
            <w:tcW w:w="12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686</w:t>
            </w:r>
          </w:p>
        </w:tc>
        <w:tc>
          <w:tcPr>
            <w:tcW w:w="100" w:type="dxa"/>
            <w:vAlign w:val="bottom"/>
            <w:tcBorders>
              <w:bottom w:val="single" w:sz="8" w:color="CCEEFF"/>
            </w:tcBorders>
            <w:shd w:val="clear" w:color="auto" w:fill="CCEEFF"/>
          </w:tcPr>
          <w:p>
            <w:pPr>
              <w:spacing w:after="0"/>
              <w:rPr>
                <w:sz w:val="18"/>
                <w:szCs w:val="18"/>
                <w:color w:val="auto"/>
              </w:rPr>
            </w:pPr>
          </w:p>
        </w:tc>
      </w:tr>
      <w:tr>
        <w:trPr>
          <w:trHeight w:val="210"/>
        </w:trPr>
        <w:tc>
          <w:tcPr>
            <w:tcW w:w="80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Total long-term liabilities</w:t>
            </w:r>
          </w:p>
        </w:tc>
        <w:tc>
          <w:tcPr>
            <w:tcW w:w="120" w:type="dxa"/>
            <w:vAlign w:val="bottom"/>
          </w:tcPr>
          <w:p>
            <w:pPr>
              <w:spacing w:after="0"/>
              <w:rPr>
                <w:sz w:val="18"/>
                <w:szCs w:val="18"/>
                <w:color w:val="auto"/>
              </w:rPr>
            </w:pPr>
          </w:p>
        </w:tc>
        <w:tc>
          <w:tcPr>
            <w:tcW w:w="14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97,724</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124,709</w:t>
            </w:r>
          </w:p>
        </w:tc>
      </w:tr>
      <w:tr>
        <w:trPr>
          <w:trHeight w:val="210"/>
        </w:trPr>
        <w:tc>
          <w:tcPr>
            <w:tcW w:w="480" w:type="dxa"/>
            <w:vAlign w:val="bottom"/>
            <w:shd w:val="clear" w:color="auto" w:fill="CCEEFF"/>
          </w:tcPr>
          <w:p>
            <w:pPr>
              <w:spacing w:after="0"/>
              <w:rPr>
                <w:sz w:val="18"/>
                <w:szCs w:val="18"/>
                <w:color w:val="auto"/>
              </w:rPr>
            </w:pPr>
          </w:p>
        </w:tc>
        <w:tc>
          <w:tcPr>
            <w:tcW w:w="2300" w:type="dxa"/>
            <w:vAlign w:val="bottom"/>
            <w:shd w:val="clear" w:color="auto" w:fill="CCEEFF"/>
          </w:tcPr>
          <w:p>
            <w:pPr>
              <w:spacing w:after="0"/>
              <w:rPr>
                <w:sz w:val="18"/>
                <w:szCs w:val="18"/>
                <w:color w:val="auto"/>
              </w:rPr>
            </w:pPr>
          </w:p>
        </w:tc>
        <w:tc>
          <w:tcPr>
            <w:tcW w:w="522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36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480" w:type="dxa"/>
            <w:vAlign w:val="bottom"/>
          </w:tcPr>
          <w:p>
            <w:pPr>
              <w:spacing w:after="0"/>
              <w:rPr>
                <w:sz w:val="18"/>
                <w:szCs w:val="18"/>
                <w:color w:val="auto"/>
              </w:rPr>
            </w:pPr>
          </w:p>
        </w:tc>
        <w:tc>
          <w:tcPr>
            <w:tcW w:w="2300" w:type="dxa"/>
            <w:vAlign w:val="bottom"/>
          </w:tcPr>
          <w:p>
            <w:pPr>
              <w:spacing w:after="0"/>
              <w:rPr>
                <w:sz w:val="18"/>
                <w:szCs w:val="18"/>
                <w:color w:val="auto"/>
              </w:rPr>
            </w:pPr>
          </w:p>
        </w:tc>
        <w:tc>
          <w:tcPr>
            <w:tcW w:w="5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0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Stockholders</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equity</w:t>
            </w:r>
          </w:p>
        </w:tc>
        <w:tc>
          <w:tcPr>
            <w:tcW w:w="12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00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Common stock</w:t>
            </w:r>
          </w:p>
        </w:tc>
        <w:tc>
          <w:tcPr>
            <w:tcW w:w="120" w:type="dxa"/>
            <w:vAlign w:val="bottom"/>
          </w:tcPr>
          <w:p>
            <w:pPr>
              <w:spacing w:after="0"/>
              <w:rPr>
                <w:sz w:val="18"/>
                <w:szCs w:val="18"/>
                <w:color w:val="auto"/>
              </w:rPr>
            </w:pPr>
          </w:p>
        </w:tc>
        <w:tc>
          <w:tcPr>
            <w:tcW w:w="14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46,064</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48,811</w:t>
            </w:r>
          </w:p>
        </w:tc>
      </w:tr>
      <w:tr>
        <w:trPr>
          <w:trHeight w:val="216"/>
        </w:trPr>
        <w:tc>
          <w:tcPr>
            <w:tcW w:w="800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Retained earnings</w:t>
            </w:r>
          </w:p>
        </w:tc>
        <w:tc>
          <w:tcPr>
            <w:tcW w:w="12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150,553</w:t>
            </w: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115,631</w:t>
            </w:r>
          </w:p>
        </w:tc>
      </w:tr>
      <w:tr>
        <w:trPr>
          <w:trHeight w:val="216"/>
        </w:trPr>
        <w:tc>
          <w:tcPr>
            <w:tcW w:w="800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Additional paid-in-capital</w:t>
            </w:r>
          </w:p>
        </w:tc>
        <w:tc>
          <w:tcPr>
            <w:tcW w:w="120" w:type="dxa"/>
            <w:vAlign w:val="bottom"/>
          </w:tcPr>
          <w:p>
            <w:pPr>
              <w:spacing w:after="0"/>
              <w:rPr>
                <w:sz w:val="18"/>
                <w:szCs w:val="18"/>
                <w:color w:val="auto"/>
              </w:rPr>
            </w:pPr>
          </w:p>
        </w:tc>
        <w:tc>
          <w:tcPr>
            <w:tcW w:w="14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113</w:t>
            </w:r>
          </w:p>
        </w:tc>
      </w:tr>
      <w:tr>
        <w:trPr>
          <w:trHeight w:val="216"/>
        </w:trPr>
        <w:tc>
          <w:tcPr>
            <w:tcW w:w="800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Accumulated other comprehensive loss</w:t>
            </w:r>
          </w:p>
        </w:tc>
        <w:tc>
          <w:tcPr>
            <w:tcW w:w="12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(1,678)</w:t>
            </w: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(1,823)</w:t>
            </w:r>
          </w:p>
        </w:tc>
      </w:tr>
      <w:tr>
        <w:trPr>
          <w:trHeight w:val="209"/>
        </w:trPr>
        <w:tc>
          <w:tcPr>
            <w:tcW w:w="8000" w:type="dxa"/>
            <w:vAlign w:val="bottom"/>
            <w:tcBorders>
              <w:top w:val="single" w:sz="8" w:color="CCEEFF"/>
            </w:tcBorders>
            <w:gridSpan w:val="3"/>
          </w:tcPr>
          <w:p>
            <w:pPr>
              <w:spacing w:after="0"/>
              <w:rPr>
                <w:sz w:val="20"/>
                <w:szCs w:val="20"/>
                <w:color w:val="auto"/>
              </w:rPr>
            </w:pPr>
            <w:r>
              <w:rPr>
                <w:rFonts w:ascii="Times New Roman" w:cs="Times New Roman" w:eastAsia="Times New Roman" w:hAnsi="Times New Roman"/>
                <w:sz w:val="18"/>
                <w:szCs w:val="18"/>
                <w:color w:val="auto"/>
              </w:rPr>
              <w:t>Total stockholders' equity</w:t>
            </w:r>
          </w:p>
        </w:tc>
        <w:tc>
          <w:tcPr>
            <w:tcW w:w="120" w:type="dxa"/>
            <w:vAlign w:val="bottom"/>
            <w:tcBorders>
              <w:top w:val="single" w:sz="8" w:color="auto"/>
              <w:bottom w:val="single" w:sz="8" w:color="auto"/>
            </w:tcBorders>
          </w:tcPr>
          <w:p>
            <w:pPr>
              <w:spacing w:after="0"/>
              <w:rPr>
                <w:sz w:val="18"/>
                <w:szCs w:val="18"/>
                <w:color w:val="auto"/>
              </w:rPr>
            </w:pPr>
          </w:p>
        </w:tc>
        <w:tc>
          <w:tcPr>
            <w:tcW w:w="13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194,939</w:t>
            </w:r>
          </w:p>
        </w:tc>
        <w:tc>
          <w:tcPr>
            <w:tcW w:w="12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480" w:type="dxa"/>
            <w:vAlign w:val="bottom"/>
            <w:tcBorders>
              <w:top w:val="single" w:sz="8" w:color="auto"/>
              <w:bottom w:val="single" w:sz="8" w:color="auto"/>
            </w:tcBorders>
          </w:tcPr>
          <w:p>
            <w:pPr>
              <w:spacing w:after="0"/>
              <w:rPr>
                <w:sz w:val="18"/>
                <w:szCs w:val="18"/>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162,732</w:t>
            </w:r>
          </w:p>
        </w:tc>
        <w:tc>
          <w:tcPr>
            <w:tcW w:w="100" w:type="dxa"/>
            <w:vAlign w:val="bottom"/>
            <w:tcBorders>
              <w:top w:val="single" w:sz="8" w:color="CCEEFF"/>
            </w:tcBorders>
          </w:tcPr>
          <w:p>
            <w:pPr>
              <w:spacing w:after="0"/>
              <w:rPr>
                <w:sz w:val="18"/>
                <w:szCs w:val="18"/>
                <w:color w:val="auto"/>
              </w:rPr>
            </w:pPr>
          </w:p>
        </w:tc>
      </w:tr>
      <w:tr>
        <w:trPr>
          <w:trHeight w:val="250"/>
        </w:trPr>
        <w:tc>
          <w:tcPr>
            <w:tcW w:w="80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 liabilities and stockholders</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equity</w:t>
            </w: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402,687</w:t>
            </w:r>
          </w:p>
        </w:tc>
        <w:tc>
          <w:tcPr>
            <w:tcW w:w="560" w:type="dxa"/>
            <w:vAlign w:val="bottom"/>
            <w:gridSpan w:val="2"/>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421,660</w:t>
            </w:r>
          </w:p>
        </w:tc>
      </w:tr>
      <w:tr>
        <w:trPr>
          <w:trHeight w:val="554"/>
        </w:trPr>
        <w:tc>
          <w:tcPr>
            <w:tcW w:w="480" w:type="dxa"/>
            <w:vAlign w:val="bottom"/>
            <w:tcBorders>
              <w:top w:val="single" w:sz="8" w:color="CCEEFF"/>
              <w:bottom w:val="single" w:sz="8" w:color="auto"/>
            </w:tcBorders>
          </w:tcPr>
          <w:p>
            <w:pPr>
              <w:spacing w:after="0"/>
              <w:rPr>
                <w:sz w:val="24"/>
                <w:szCs w:val="24"/>
                <w:color w:val="auto"/>
              </w:rPr>
            </w:pPr>
          </w:p>
        </w:tc>
        <w:tc>
          <w:tcPr>
            <w:tcW w:w="2300" w:type="dxa"/>
            <w:vAlign w:val="bottom"/>
            <w:tcBorders>
              <w:top w:val="single" w:sz="8" w:color="CCEEFF"/>
              <w:bottom w:val="single" w:sz="8" w:color="auto"/>
            </w:tcBorders>
          </w:tcPr>
          <w:p>
            <w:pPr>
              <w:spacing w:after="0"/>
              <w:rPr>
                <w:sz w:val="24"/>
                <w:szCs w:val="24"/>
                <w:color w:val="auto"/>
              </w:rPr>
            </w:pPr>
          </w:p>
        </w:tc>
        <w:tc>
          <w:tcPr>
            <w:tcW w:w="5220" w:type="dxa"/>
            <w:vAlign w:val="bottom"/>
            <w:tcBorders>
              <w:top w:val="single" w:sz="8" w:color="CCEEFF"/>
              <w:bottom w:val="single" w:sz="8" w:color="auto"/>
            </w:tcBorders>
          </w:tcPr>
          <w:p>
            <w:pPr>
              <w:spacing w:after="0"/>
              <w:rPr>
                <w:sz w:val="24"/>
                <w:szCs w:val="24"/>
                <w:color w:val="auto"/>
              </w:rPr>
            </w:pPr>
          </w:p>
        </w:tc>
        <w:tc>
          <w:tcPr>
            <w:tcW w:w="120" w:type="dxa"/>
            <w:vAlign w:val="bottom"/>
            <w:tcBorders>
              <w:top w:val="single" w:sz="8" w:color="auto"/>
              <w:bottom w:val="single" w:sz="8" w:color="auto"/>
            </w:tcBorders>
          </w:tcPr>
          <w:p>
            <w:pPr>
              <w:spacing w:after="0"/>
              <w:rPr>
                <w:sz w:val="24"/>
                <w:szCs w:val="24"/>
                <w:color w:val="auto"/>
              </w:rPr>
            </w:pPr>
          </w:p>
        </w:tc>
        <w:tc>
          <w:tcPr>
            <w:tcW w:w="1360" w:type="dxa"/>
            <w:vAlign w:val="bottom"/>
            <w:tcBorders>
              <w:top w:val="single" w:sz="8" w:color="auto"/>
              <w:bottom w:val="single" w:sz="8" w:color="auto"/>
            </w:tcBorders>
          </w:tcPr>
          <w:p>
            <w:pPr>
              <w:spacing w:after="0"/>
              <w:rPr>
                <w:sz w:val="24"/>
                <w:szCs w:val="24"/>
                <w:color w:val="auto"/>
              </w:rPr>
            </w:pPr>
          </w:p>
        </w:tc>
        <w:tc>
          <w:tcPr>
            <w:tcW w:w="120" w:type="dxa"/>
            <w:vAlign w:val="bottom"/>
            <w:tcBorders>
              <w:top w:val="single" w:sz="8" w:color="CCEEFF"/>
              <w:bottom w:val="single" w:sz="8" w:color="auto"/>
            </w:tcBorders>
          </w:tcPr>
          <w:p>
            <w:pPr>
              <w:spacing w:after="0"/>
              <w:rPr>
                <w:sz w:val="24"/>
                <w:szCs w:val="24"/>
                <w:color w:val="auto"/>
              </w:rPr>
            </w:pPr>
          </w:p>
        </w:tc>
        <w:tc>
          <w:tcPr>
            <w:tcW w:w="80" w:type="dxa"/>
            <w:vAlign w:val="bottom"/>
            <w:tcBorders>
              <w:top w:val="single" w:sz="8" w:color="CCEEFF"/>
              <w:bottom w:val="single" w:sz="8" w:color="auto"/>
            </w:tcBorders>
          </w:tcPr>
          <w:p>
            <w:pPr>
              <w:spacing w:after="0"/>
              <w:rPr>
                <w:sz w:val="24"/>
                <w:szCs w:val="24"/>
                <w:color w:val="auto"/>
              </w:rPr>
            </w:pPr>
          </w:p>
        </w:tc>
        <w:tc>
          <w:tcPr>
            <w:tcW w:w="480" w:type="dxa"/>
            <w:vAlign w:val="bottom"/>
            <w:tcBorders>
              <w:top w:val="single" w:sz="8" w:color="auto"/>
              <w:bottom w:val="single" w:sz="8" w:color="auto"/>
            </w:tcBorders>
          </w:tcPr>
          <w:p>
            <w:pPr>
              <w:spacing w:after="0"/>
              <w:rPr>
                <w:sz w:val="24"/>
                <w:szCs w:val="24"/>
                <w:color w:val="auto"/>
              </w:rPr>
            </w:pPr>
          </w:p>
        </w:tc>
        <w:tc>
          <w:tcPr>
            <w:tcW w:w="980" w:type="dxa"/>
            <w:vAlign w:val="bottom"/>
            <w:tcBorders>
              <w:top w:val="single" w:sz="8" w:color="auto"/>
              <w:bottom w:val="single" w:sz="8" w:color="auto"/>
            </w:tcBorders>
          </w:tcPr>
          <w:p>
            <w:pPr>
              <w:spacing w:after="0"/>
              <w:rPr>
                <w:sz w:val="24"/>
                <w:szCs w:val="24"/>
                <w:color w:val="auto"/>
              </w:rPr>
            </w:pPr>
          </w:p>
        </w:tc>
        <w:tc>
          <w:tcPr>
            <w:tcW w:w="100" w:type="dxa"/>
            <w:vAlign w:val="bottom"/>
            <w:tcBorders>
              <w:top w:val="single" w:sz="8" w:color="CCEEFF"/>
              <w:bottom w:val="single" w:sz="8" w:color="auto"/>
            </w:tcBorders>
          </w:tcPr>
          <w:p>
            <w:pPr>
              <w:spacing w:after="0"/>
              <w:rPr>
                <w:sz w:val="24"/>
                <w:szCs w:val="24"/>
                <w:color w:val="auto"/>
              </w:rPr>
            </w:pPr>
          </w:p>
        </w:tc>
      </w:tr>
    </w:tbl>
    <w:p>
      <w:pPr>
        <w:sectPr>
          <w:pgSz w:w="11900" w:h="16838" w:orient="portrait"/>
          <w:cols w:equalWidth="0" w:num="1">
            <w:col w:w="11240"/>
          </w:cols>
          <w:pgMar w:left="320" w:top="576" w:right="339" w:bottom="1440" w:gutter="0" w:footer="0" w:header="0"/>
        </w:sectPr>
      </w:pPr>
    </w:p>
    <w:bookmarkStart w:id="9" w:name="page10"/>
    <w:bookmarkEnd w:id="9"/>
    <w:p>
      <w:pPr>
        <w:jc w:val="center"/>
        <w:spacing w:after="0"/>
        <w:rPr>
          <w:sz w:val="20"/>
          <w:szCs w:val="20"/>
          <w:color w:val="auto"/>
        </w:rPr>
      </w:pPr>
      <w:r>
        <w:rPr>
          <w:rFonts w:ascii="Times New Roman" w:cs="Times New Roman" w:eastAsia="Times New Roman" w:hAnsi="Times New Roman"/>
          <w:sz w:val="18"/>
          <w:szCs w:val="18"/>
          <w:b w:val="1"/>
          <w:bCs w:val="1"/>
          <w:color w:val="auto"/>
        </w:rPr>
        <w:t>Table 3</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BASSETT FURNITURE INDUSTRIES, INC.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Consolidated Statements of Cash Flows - 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(In thousands)</w:t>
      </w:r>
    </w:p>
    <w:p>
      <w:pPr>
        <w:spacing w:after="0" w:line="234"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80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120" w:type="dxa"/>
            <w:vAlign w:val="bottom"/>
            <w:gridSpan w:val="6"/>
          </w:tcPr>
          <w:p>
            <w:pPr>
              <w:jc w:val="right"/>
              <w:ind w:right="940"/>
              <w:spacing w:after="0"/>
              <w:rPr>
                <w:sz w:val="20"/>
                <w:szCs w:val="20"/>
                <w:color w:val="auto"/>
              </w:rPr>
            </w:pPr>
            <w:r>
              <w:rPr>
                <w:rFonts w:ascii="Times New Roman" w:cs="Times New Roman" w:eastAsia="Times New Roman" w:hAnsi="Times New Roman"/>
                <w:sz w:val="18"/>
                <w:szCs w:val="18"/>
                <w:color w:val="auto"/>
              </w:rPr>
              <w:t>Nine Months Ended</w:t>
            </w:r>
          </w:p>
        </w:tc>
      </w:tr>
      <w:tr>
        <w:trPr>
          <w:trHeight w:val="209"/>
        </w:trPr>
        <w:tc>
          <w:tcPr>
            <w:tcW w:w="80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480" w:type="dxa"/>
            <w:vAlign w:val="bottom"/>
            <w:tcBorders>
              <w:top w:val="single" w:sz="8" w:color="auto"/>
            </w:tcBorders>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August 27, 2022</w:t>
            </w:r>
          </w:p>
        </w:tc>
        <w:tc>
          <w:tcPr>
            <w:tcW w:w="80" w:type="dxa"/>
            <w:vAlign w:val="bottom"/>
            <w:tcBorders>
              <w:top w:val="single" w:sz="8" w:color="auto"/>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340" w:type="dxa"/>
            <w:vAlign w:val="bottom"/>
            <w:tcBorders>
              <w:top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w w:val="98"/>
              </w:rPr>
              <w:t>August 28, 2021</w:t>
            </w:r>
          </w:p>
        </w:tc>
        <w:tc>
          <w:tcPr>
            <w:tcW w:w="100" w:type="dxa"/>
            <w:vAlign w:val="bottom"/>
          </w:tcPr>
          <w:p>
            <w:pPr>
              <w:spacing w:after="0"/>
              <w:rPr>
                <w:sz w:val="18"/>
                <w:szCs w:val="18"/>
                <w:color w:val="auto"/>
              </w:rPr>
            </w:pPr>
          </w:p>
        </w:tc>
      </w:tr>
      <w:tr>
        <w:trPr>
          <w:trHeight w:val="210"/>
        </w:trPr>
        <w:tc>
          <w:tcPr>
            <w:tcW w:w="8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Operating activities:</w:t>
            </w:r>
          </w:p>
        </w:tc>
        <w:tc>
          <w:tcPr>
            <w:tcW w:w="120" w:type="dxa"/>
            <w:vAlign w:val="bottom"/>
            <w:tcBorders>
              <w:top w:val="single" w:sz="8" w:color="auto"/>
            </w:tcBorders>
            <w:shd w:val="clear" w:color="auto" w:fill="CCEEFF"/>
          </w:tcPr>
          <w:p>
            <w:pPr>
              <w:spacing w:after="0"/>
              <w:rPr>
                <w:sz w:val="18"/>
                <w:szCs w:val="18"/>
                <w:color w:val="auto"/>
              </w:rPr>
            </w:pPr>
          </w:p>
        </w:tc>
        <w:tc>
          <w:tcPr>
            <w:tcW w:w="136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34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000" w:type="dxa"/>
            <w:vAlign w:val="bottom"/>
          </w:tcPr>
          <w:p>
            <w:pPr>
              <w:spacing w:after="0"/>
              <w:rPr>
                <w:sz w:val="20"/>
                <w:szCs w:val="20"/>
                <w:color w:val="auto"/>
              </w:rPr>
            </w:pPr>
            <w:r>
              <w:rPr>
                <w:rFonts w:ascii="Times New Roman" w:cs="Times New Roman" w:eastAsia="Times New Roman" w:hAnsi="Times New Roman"/>
                <w:sz w:val="18"/>
                <w:szCs w:val="18"/>
                <w:color w:val="auto"/>
              </w:rPr>
              <w:t>Net income</w:t>
            </w:r>
          </w:p>
        </w:tc>
        <w:tc>
          <w:tcPr>
            <w:tcW w:w="12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60,319</w:t>
            </w:r>
          </w:p>
        </w:tc>
        <w:tc>
          <w:tcPr>
            <w:tcW w:w="2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14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13,001</w:t>
            </w:r>
          </w:p>
        </w:tc>
      </w:tr>
      <w:tr>
        <w:trPr>
          <w:trHeight w:val="216"/>
        </w:trPr>
        <w:tc>
          <w:tcPr>
            <w:tcW w:w="8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Adjustments to reconcile net income to net cash provided by (used in) operating activities:</w:t>
            </w:r>
          </w:p>
        </w:tc>
        <w:tc>
          <w:tcPr>
            <w:tcW w:w="12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00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Depreciation and amortization</w:t>
            </w:r>
          </w:p>
        </w:tc>
        <w:tc>
          <w:tcPr>
            <w:tcW w:w="120" w:type="dxa"/>
            <w:vAlign w:val="bottom"/>
          </w:tcPr>
          <w:p>
            <w:pPr>
              <w:spacing w:after="0"/>
              <w:rPr>
                <w:sz w:val="18"/>
                <w:szCs w:val="18"/>
                <w:color w:val="auto"/>
              </w:rPr>
            </w:pPr>
          </w:p>
        </w:tc>
        <w:tc>
          <w:tcPr>
            <w:tcW w:w="14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8,732</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10,458</w:t>
            </w:r>
          </w:p>
        </w:tc>
      </w:tr>
      <w:tr>
        <w:trPr>
          <w:trHeight w:val="216"/>
        </w:trPr>
        <w:tc>
          <w:tcPr>
            <w:tcW w:w="800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Gain on disposal of discontinued operations</w:t>
            </w:r>
          </w:p>
        </w:tc>
        <w:tc>
          <w:tcPr>
            <w:tcW w:w="12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(53,061)</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800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Gain on sale of property and equipment</w:t>
            </w:r>
          </w:p>
        </w:tc>
        <w:tc>
          <w:tcPr>
            <w:tcW w:w="120" w:type="dxa"/>
            <w:vAlign w:val="bottom"/>
          </w:tcPr>
          <w:p>
            <w:pPr>
              <w:spacing w:after="0"/>
              <w:rPr>
                <w:sz w:val="18"/>
                <w:szCs w:val="18"/>
                <w:color w:val="auto"/>
              </w:rPr>
            </w:pPr>
          </w:p>
        </w:tc>
        <w:tc>
          <w:tcPr>
            <w:tcW w:w="148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(4,603)</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(68)</w:t>
            </w:r>
          </w:p>
        </w:tc>
      </w:tr>
      <w:tr>
        <w:trPr>
          <w:trHeight w:val="216"/>
        </w:trPr>
        <w:tc>
          <w:tcPr>
            <w:tcW w:w="800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Deferred income taxes</w:t>
            </w:r>
          </w:p>
        </w:tc>
        <w:tc>
          <w:tcPr>
            <w:tcW w:w="12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(2,856)</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1,053</w:t>
            </w:r>
          </w:p>
        </w:tc>
      </w:tr>
      <w:tr>
        <w:trPr>
          <w:trHeight w:val="216"/>
        </w:trPr>
        <w:tc>
          <w:tcPr>
            <w:tcW w:w="800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Other, net</w:t>
            </w:r>
          </w:p>
        </w:tc>
        <w:tc>
          <w:tcPr>
            <w:tcW w:w="120" w:type="dxa"/>
            <w:vAlign w:val="bottom"/>
          </w:tcPr>
          <w:p>
            <w:pPr>
              <w:spacing w:after="0"/>
              <w:rPr>
                <w:sz w:val="18"/>
                <w:szCs w:val="18"/>
                <w:color w:val="auto"/>
              </w:rPr>
            </w:pPr>
          </w:p>
        </w:tc>
        <w:tc>
          <w:tcPr>
            <w:tcW w:w="14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1,425</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478</w:t>
            </w:r>
          </w:p>
        </w:tc>
      </w:tr>
      <w:tr>
        <w:trPr>
          <w:trHeight w:val="216"/>
        </w:trPr>
        <w:tc>
          <w:tcPr>
            <w:tcW w:w="800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Changes in operating assets and liabilities</w:t>
            </w:r>
          </w:p>
        </w:tc>
        <w:tc>
          <w:tcPr>
            <w:tcW w:w="12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000" w:type="dxa"/>
            <w:vAlign w:val="bottom"/>
          </w:tcPr>
          <w:p>
            <w:pPr>
              <w:ind w:left="500"/>
              <w:spacing w:after="0"/>
              <w:rPr>
                <w:sz w:val="20"/>
                <w:szCs w:val="20"/>
                <w:color w:val="auto"/>
              </w:rPr>
            </w:pPr>
            <w:r>
              <w:rPr>
                <w:rFonts w:ascii="Times New Roman" w:cs="Times New Roman" w:eastAsia="Times New Roman" w:hAnsi="Times New Roman"/>
                <w:sz w:val="18"/>
                <w:szCs w:val="18"/>
                <w:color w:val="auto"/>
              </w:rPr>
              <w:t>Accounts receivable</w:t>
            </w:r>
          </w:p>
        </w:tc>
        <w:tc>
          <w:tcPr>
            <w:tcW w:w="120" w:type="dxa"/>
            <w:vAlign w:val="bottom"/>
          </w:tcPr>
          <w:p>
            <w:pPr>
              <w:spacing w:after="0"/>
              <w:rPr>
                <w:sz w:val="18"/>
                <w:szCs w:val="18"/>
                <w:color w:val="auto"/>
              </w:rPr>
            </w:pPr>
          </w:p>
        </w:tc>
        <w:tc>
          <w:tcPr>
            <w:tcW w:w="14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57</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(4,329)</w:t>
            </w:r>
          </w:p>
        </w:tc>
      </w:tr>
      <w:tr>
        <w:trPr>
          <w:trHeight w:val="216"/>
        </w:trPr>
        <w:tc>
          <w:tcPr>
            <w:tcW w:w="8000" w:type="dxa"/>
            <w:vAlign w:val="bottom"/>
            <w:shd w:val="clear" w:color="auto" w:fill="CCEEFF"/>
          </w:tcPr>
          <w:p>
            <w:pPr>
              <w:ind w:left="500"/>
              <w:spacing w:after="0"/>
              <w:rPr>
                <w:sz w:val="20"/>
                <w:szCs w:val="20"/>
                <w:color w:val="auto"/>
              </w:rPr>
            </w:pPr>
            <w:r>
              <w:rPr>
                <w:rFonts w:ascii="Times New Roman" w:cs="Times New Roman" w:eastAsia="Times New Roman" w:hAnsi="Times New Roman"/>
                <w:sz w:val="18"/>
                <w:szCs w:val="18"/>
                <w:color w:val="auto"/>
              </w:rPr>
              <w:t>Inventories</w:t>
            </w:r>
          </w:p>
        </w:tc>
        <w:tc>
          <w:tcPr>
            <w:tcW w:w="12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(13,677)</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(18,941)</w:t>
            </w:r>
          </w:p>
        </w:tc>
      </w:tr>
      <w:tr>
        <w:trPr>
          <w:trHeight w:val="216"/>
        </w:trPr>
        <w:tc>
          <w:tcPr>
            <w:tcW w:w="8000" w:type="dxa"/>
            <w:vAlign w:val="bottom"/>
          </w:tcPr>
          <w:p>
            <w:pPr>
              <w:ind w:left="500"/>
              <w:spacing w:after="0"/>
              <w:rPr>
                <w:sz w:val="20"/>
                <w:szCs w:val="20"/>
                <w:color w:val="auto"/>
              </w:rPr>
            </w:pPr>
            <w:r>
              <w:rPr>
                <w:rFonts w:ascii="Times New Roman" w:cs="Times New Roman" w:eastAsia="Times New Roman" w:hAnsi="Times New Roman"/>
                <w:sz w:val="18"/>
                <w:szCs w:val="18"/>
                <w:color w:val="auto"/>
              </w:rPr>
              <w:t>Other current and long-term assets</w:t>
            </w:r>
          </w:p>
        </w:tc>
        <w:tc>
          <w:tcPr>
            <w:tcW w:w="120" w:type="dxa"/>
            <w:vAlign w:val="bottom"/>
          </w:tcPr>
          <w:p>
            <w:pPr>
              <w:spacing w:after="0"/>
              <w:rPr>
                <w:sz w:val="18"/>
                <w:szCs w:val="18"/>
                <w:color w:val="auto"/>
              </w:rPr>
            </w:pPr>
          </w:p>
        </w:tc>
        <w:tc>
          <w:tcPr>
            <w:tcW w:w="14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2,961</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(100)</w:t>
            </w:r>
          </w:p>
        </w:tc>
      </w:tr>
      <w:tr>
        <w:trPr>
          <w:trHeight w:val="216"/>
        </w:trPr>
        <w:tc>
          <w:tcPr>
            <w:tcW w:w="8000" w:type="dxa"/>
            <w:vAlign w:val="bottom"/>
            <w:shd w:val="clear" w:color="auto" w:fill="CCEEFF"/>
          </w:tcPr>
          <w:p>
            <w:pPr>
              <w:ind w:left="500"/>
              <w:spacing w:after="0"/>
              <w:rPr>
                <w:sz w:val="20"/>
                <w:szCs w:val="20"/>
                <w:color w:val="auto"/>
              </w:rPr>
            </w:pPr>
            <w:r>
              <w:rPr>
                <w:rFonts w:ascii="Times New Roman" w:cs="Times New Roman" w:eastAsia="Times New Roman" w:hAnsi="Times New Roman"/>
                <w:sz w:val="18"/>
                <w:szCs w:val="18"/>
                <w:color w:val="auto"/>
              </w:rPr>
              <w:t>Right of use assets under operating leases</w:t>
            </w:r>
          </w:p>
        </w:tc>
        <w:tc>
          <w:tcPr>
            <w:tcW w:w="12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15,881</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18,857</w:t>
            </w:r>
          </w:p>
        </w:tc>
      </w:tr>
      <w:tr>
        <w:trPr>
          <w:trHeight w:val="216"/>
        </w:trPr>
        <w:tc>
          <w:tcPr>
            <w:tcW w:w="8000" w:type="dxa"/>
            <w:vAlign w:val="bottom"/>
          </w:tcPr>
          <w:p>
            <w:pPr>
              <w:ind w:left="500"/>
              <w:spacing w:after="0"/>
              <w:rPr>
                <w:sz w:val="20"/>
                <w:szCs w:val="20"/>
                <w:color w:val="auto"/>
              </w:rPr>
            </w:pPr>
            <w:r>
              <w:rPr>
                <w:rFonts w:ascii="Times New Roman" w:cs="Times New Roman" w:eastAsia="Times New Roman" w:hAnsi="Times New Roman"/>
                <w:sz w:val="18"/>
                <w:szCs w:val="18"/>
                <w:color w:val="auto"/>
              </w:rPr>
              <w:t>Customer deposits</w:t>
            </w:r>
          </w:p>
        </w:tc>
        <w:tc>
          <w:tcPr>
            <w:tcW w:w="120" w:type="dxa"/>
            <w:vAlign w:val="bottom"/>
          </w:tcPr>
          <w:p>
            <w:pPr>
              <w:spacing w:after="0"/>
              <w:rPr>
                <w:sz w:val="18"/>
                <w:szCs w:val="18"/>
                <w:color w:val="auto"/>
              </w:rPr>
            </w:pPr>
          </w:p>
        </w:tc>
        <w:tc>
          <w:tcPr>
            <w:tcW w:w="148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(11,181)</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11,341</w:t>
            </w:r>
          </w:p>
        </w:tc>
      </w:tr>
      <w:tr>
        <w:trPr>
          <w:trHeight w:val="216"/>
        </w:trPr>
        <w:tc>
          <w:tcPr>
            <w:tcW w:w="8000" w:type="dxa"/>
            <w:vAlign w:val="bottom"/>
            <w:shd w:val="clear" w:color="auto" w:fill="CCEEFF"/>
          </w:tcPr>
          <w:p>
            <w:pPr>
              <w:ind w:left="500"/>
              <w:spacing w:after="0"/>
              <w:rPr>
                <w:sz w:val="20"/>
                <w:szCs w:val="20"/>
                <w:color w:val="auto"/>
              </w:rPr>
            </w:pPr>
            <w:r>
              <w:rPr>
                <w:rFonts w:ascii="Times New Roman" w:cs="Times New Roman" w:eastAsia="Times New Roman" w:hAnsi="Times New Roman"/>
                <w:sz w:val="18"/>
                <w:szCs w:val="18"/>
                <w:color w:val="auto"/>
              </w:rPr>
              <w:t>Accounts payable and other liabilities</w:t>
            </w:r>
          </w:p>
        </w:tc>
        <w:tc>
          <w:tcPr>
            <w:tcW w:w="12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1,227</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2,750</w:t>
            </w:r>
          </w:p>
        </w:tc>
      </w:tr>
      <w:tr>
        <w:trPr>
          <w:trHeight w:val="216"/>
        </w:trPr>
        <w:tc>
          <w:tcPr>
            <w:tcW w:w="8000" w:type="dxa"/>
            <w:vAlign w:val="bottom"/>
          </w:tcPr>
          <w:p>
            <w:pPr>
              <w:ind w:left="500"/>
              <w:spacing w:after="0"/>
              <w:rPr>
                <w:sz w:val="20"/>
                <w:szCs w:val="20"/>
                <w:color w:val="auto"/>
              </w:rPr>
            </w:pPr>
            <w:r>
              <w:rPr>
                <w:rFonts w:ascii="Times New Roman" w:cs="Times New Roman" w:eastAsia="Times New Roman" w:hAnsi="Times New Roman"/>
                <w:sz w:val="18"/>
                <w:szCs w:val="18"/>
                <w:color w:val="auto"/>
              </w:rPr>
              <w:t>Obligations under operating leases</w:t>
            </w:r>
          </w:p>
        </w:tc>
        <w:tc>
          <w:tcPr>
            <w:tcW w:w="120" w:type="dxa"/>
            <w:vAlign w:val="bottom"/>
          </w:tcPr>
          <w:p>
            <w:pPr>
              <w:spacing w:after="0"/>
              <w:rPr>
                <w:sz w:val="18"/>
                <w:szCs w:val="18"/>
                <w:color w:val="auto"/>
              </w:rPr>
            </w:pPr>
          </w:p>
        </w:tc>
        <w:tc>
          <w:tcPr>
            <w:tcW w:w="148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(17,519)</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(20,823)</w:t>
            </w:r>
          </w:p>
        </w:tc>
      </w:tr>
      <w:tr>
        <w:trPr>
          <w:trHeight w:val="20"/>
        </w:trPr>
        <w:tc>
          <w:tcPr>
            <w:tcW w:w="80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0"/>
        </w:trPr>
        <w:tc>
          <w:tcPr>
            <w:tcW w:w="8000" w:type="dxa"/>
            <w:vAlign w:val="bottom"/>
            <w:shd w:val="clear" w:color="auto" w:fill="CCEEFF"/>
          </w:tcPr>
          <w:p>
            <w:pPr>
              <w:ind w:left="500"/>
              <w:spacing w:after="0"/>
              <w:rPr>
                <w:sz w:val="20"/>
                <w:szCs w:val="20"/>
                <w:color w:val="auto"/>
              </w:rPr>
            </w:pPr>
            <w:r>
              <w:rPr>
                <w:rFonts w:ascii="Times New Roman" w:cs="Times New Roman" w:eastAsia="Times New Roman" w:hAnsi="Times New Roman"/>
                <w:sz w:val="18"/>
                <w:szCs w:val="18"/>
                <w:b w:val="1"/>
                <w:bCs w:val="1"/>
                <w:color w:val="auto"/>
              </w:rPr>
              <w:t>Net cash provided by (used in) operating activities</w:t>
            </w:r>
          </w:p>
        </w:tc>
        <w:tc>
          <w:tcPr>
            <w:tcW w:w="12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(12,295)</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13,677</w:t>
            </w:r>
          </w:p>
        </w:tc>
      </w:tr>
      <w:tr>
        <w:trPr>
          <w:trHeight w:val="209"/>
        </w:trPr>
        <w:tc>
          <w:tcPr>
            <w:tcW w:w="800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360" w:type="dxa"/>
            <w:vAlign w:val="bottom"/>
            <w:tcBorders>
              <w:top w:val="single" w:sz="8" w:color="auto"/>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34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16"/>
        </w:trPr>
        <w:tc>
          <w:tcPr>
            <w:tcW w:w="8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Investing activities:</w:t>
            </w:r>
          </w:p>
        </w:tc>
        <w:tc>
          <w:tcPr>
            <w:tcW w:w="12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000" w:type="dxa"/>
            <w:vAlign w:val="bottom"/>
          </w:tcPr>
          <w:p>
            <w:pPr>
              <w:spacing w:after="0"/>
              <w:rPr>
                <w:sz w:val="20"/>
                <w:szCs w:val="20"/>
                <w:color w:val="auto"/>
              </w:rPr>
            </w:pPr>
            <w:r>
              <w:rPr>
                <w:rFonts w:ascii="Times New Roman" w:cs="Times New Roman" w:eastAsia="Times New Roman" w:hAnsi="Times New Roman"/>
                <w:sz w:val="18"/>
                <w:szCs w:val="18"/>
                <w:color w:val="auto"/>
              </w:rPr>
              <w:t>Purchases of property and equipment</w:t>
            </w:r>
          </w:p>
        </w:tc>
        <w:tc>
          <w:tcPr>
            <w:tcW w:w="120" w:type="dxa"/>
            <w:vAlign w:val="bottom"/>
          </w:tcPr>
          <w:p>
            <w:pPr>
              <w:spacing w:after="0"/>
              <w:rPr>
                <w:sz w:val="18"/>
                <w:szCs w:val="18"/>
                <w:color w:val="auto"/>
              </w:rPr>
            </w:pPr>
          </w:p>
        </w:tc>
        <w:tc>
          <w:tcPr>
            <w:tcW w:w="148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(17,266)</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(7,141)</w:t>
            </w:r>
          </w:p>
        </w:tc>
      </w:tr>
      <w:tr>
        <w:trPr>
          <w:trHeight w:val="216"/>
        </w:trPr>
        <w:tc>
          <w:tcPr>
            <w:tcW w:w="8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Proceeds from sale of property and equipment</w:t>
            </w:r>
          </w:p>
        </w:tc>
        <w:tc>
          <w:tcPr>
            <w:tcW w:w="12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8,226</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101</w:t>
            </w:r>
          </w:p>
        </w:tc>
      </w:tr>
      <w:tr>
        <w:trPr>
          <w:trHeight w:val="216"/>
        </w:trPr>
        <w:tc>
          <w:tcPr>
            <w:tcW w:w="8000" w:type="dxa"/>
            <w:vAlign w:val="bottom"/>
          </w:tcPr>
          <w:p>
            <w:pPr>
              <w:spacing w:after="0"/>
              <w:rPr>
                <w:sz w:val="20"/>
                <w:szCs w:val="20"/>
                <w:color w:val="auto"/>
              </w:rPr>
            </w:pPr>
            <w:r>
              <w:rPr>
                <w:rFonts w:ascii="Times New Roman" w:cs="Times New Roman" w:eastAsia="Times New Roman" w:hAnsi="Times New Roman"/>
                <w:sz w:val="18"/>
                <w:szCs w:val="18"/>
                <w:color w:val="auto"/>
              </w:rPr>
              <w:t>Proceeds from disposal of discontinued operations, net</w:t>
            </w:r>
          </w:p>
        </w:tc>
        <w:tc>
          <w:tcPr>
            <w:tcW w:w="120" w:type="dxa"/>
            <w:vAlign w:val="bottom"/>
          </w:tcPr>
          <w:p>
            <w:pPr>
              <w:spacing w:after="0"/>
              <w:rPr>
                <w:sz w:val="18"/>
                <w:szCs w:val="18"/>
                <w:color w:val="auto"/>
              </w:rPr>
            </w:pPr>
          </w:p>
        </w:tc>
        <w:tc>
          <w:tcPr>
            <w:tcW w:w="14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84,534</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8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w:t>
            </w:r>
          </w:p>
        </w:tc>
        <w:tc>
          <w:tcPr>
            <w:tcW w:w="12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(1,428)</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(1,173)</w:t>
            </w:r>
          </w:p>
        </w:tc>
      </w:tr>
      <w:tr>
        <w:trPr>
          <w:trHeight w:val="20"/>
        </w:trPr>
        <w:tc>
          <w:tcPr>
            <w:tcW w:w="800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r>
      <w:tr>
        <w:trPr>
          <w:trHeight w:val="210"/>
        </w:trPr>
        <w:tc>
          <w:tcPr>
            <w:tcW w:w="8000" w:type="dxa"/>
            <w:vAlign w:val="bottom"/>
          </w:tcPr>
          <w:p>
            <w:pPr>
              <w:ind w:left="500"/>
              <w:spacing w:after="0"/>
              <w:rPr>
                <w:sz w:val="20"/>
                <w:szCs w:val="20"/>
                <w:color w:val="auto"/>
              </w:rPr>
            </w:pPr>
            <w:r>
              <w:rPr>
                <w:rFonts w:ascii="Times New Roman" w:cs="Times New Roman" w:eastAsia="Times New Roman" w:hAnsi="Times New Roman"/>
                <w:sz w:val="18"/>
                <w:szCs w:val="18"/>
                <w:b w:val="1"/>
                <w:bCs w:val="1"/>
                <w:color w:val="auto"/>
              </w:rPr>
              <w:t>Net cash provided by (used in) investing activities</w:t>
            </w:r>
          </w:p>
        </w:tc>
        <w:tc>
          <w:tcPr>
            <w:tcW w:w="12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74,066</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(8,213)</w:t>
            </w:r>
          </w:p>
        </w:tc>
      </w:tr>
      <w:tr>
        <w:trPr>
          <w:trHeight w:val="209"/>
        </w:trPr>
        <w:tc>
          <w:tcPr>
            <w:tcW w:w="800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36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34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0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Financing activities:</w:t>
            </w:r>
          </w:p>
        </w:tc>
        <w:tc>
          <w:tcPr>
            <w:tcW w:w="12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Cash dividends</w:t>
            </w:r>
          </w:p>
        </w:tc>
        <w:tc>
          <w:tcPr>
            <w:tcW w:w="12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(18,734)</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(6,321)</w:t>
            </w:r>
          </w:p>
        </w:tc>
      </w:tr>
      <w:tr>
        <w:trPr>
          <w:trHeight w:val="216"/>
        </w:trPr>
        <w:tc>
          <w:tcPr>
            <w:tcW w:w="8000" w:type="dxa"/>
            <w:vAlign w:val="bottom"/>
          </w:tcPr>
          <w:p>
            <w:pPr>
              <w:spacing w:after="0"/>
              <w:rPr>
                <w:sz w:val="20"/>
                <w:szCs w:val="20"/>
                <w:color w:val="auto"/>
              </w:rPr>
            </w:pPr>
            <w:r>
              <w:rPr>
                <w:rFonts w:ascii="Times New Roman" w:cs="Times New Roman" w:eastAsia="Times New Roman" w:hAnsi="Times New Roman"/>
                <w:sz w:val="18"/>
                <w:szCs w:val="18"/>
                <w:color w:val="auto"/>
              </w:rPr>
              <w:t>Proceeds from the exercise of stock options</w:t>
            </w:r>
          </w:p>
        </w:tc>
        <w:tc>
          <w:tcPr>
            <w:tcW w:w="120" w:type="dxa"/>
            <w:vAlign w:val="bottom"/>
          </w:tcPr>
          <w:p>
            <w:pPr>
              <w:spacing w:after="0"/>
              <w:rPr>
                <w:sz w:val="18"/>
                <w:szCs w:val="18"/>
                <w:color w:val="auto"/>
              </w:rPr>
            </w:pPr>
          </w:p>
        </w:tc>
        <w:tc>
          <w:tcPr>
            <w:tcW w:w="14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42</w:t>
            </w:r>
          </w:p>
        </w:tc>
      </w:tr>
      <w:tr>
        <w:trPr>
          <w:trHeight w:val="216"/>
        </w:trPr>
        <w:tc>
          <w:tcPr>
            <w:tcW w:w="8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issuance of common stock</w:t>
            </w:r>
          </w:p>
        </w:tc>
        <w:tc>
          <w:tcPr>
            <w:tcW w:w="12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340</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266</w:t>
            </w:r>
          </w:p>
        </w:tc>
      </w:tr>
      <w:tr>
        <w:trPr>
          <w:trHeight w:val="216"/>
        </w:trPr>
        <w:tc>
          <w:tcPr>
            <w:tcW w:w="8000" w:type="dxa"/>
            <w:vAlign w:val="bottom"/>
          </w:tcPr>
          <w:p>
            <w:pPr>
              <w:spacing w:after="0"/>
              <w:rPr>
                <w:sz w:val="20"/>
                <w:szCs w:val="20"/>
                <w:color w:val="auto"/>
              </w:rPr>
            </w:pPr>
            <w:r>
              <w:rPr>
                <w:rFonts w:ascii="Times New Roman" w:cs="Times New Roman" w:eastAsia="Times New Roman" w:hAnsi="Times New Roman"/>
                <w:sz w:val="18"/>
                <w:szCs w:val="18"/>
                <w:color w:val="auto"/>
              </w:rPr>
              <w:t>Repurchases of common stock</w:t>
            </w:r>
          </w:p>
        </w:tc>
        <w:tc>
          <w:tcPr>
            <w:tcW w:w="120" w:type="dxa"/>
            <w:vAlign w:val="bottom"/>
          </w:tcPr>
          <w:p>
            <w:pPr>
              <w:spacing w:after="0"/>
              <w:rPr>
                <w:sz w:val="18"/>
                <w:szCs w:val="18"/>
                <w:color w:val="auto"/>
              </w:rPr>
            </w:pPr>
          </w:p>
        </w:tc>
        <w:tc>
          <w:tcPr>
            <w:tcW w:w="148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(10,263)</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(5,566)</w:t>
            </w:r>
          </w:p>
        </w:tc>
      </w:tr>
      <w:tr>
        <w:trPr>
          <w:trHeight w:val="216"/>
        </w:trPr>
        <w:tc>
          <w:tcPr>
            <w:tcW w:w="8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Taxes paid related to net share settlement of equity awards</w:t>
            </w:r>
          </w:p>
        </w:tc>
        <w:tc>
          <w:tcPr>
            <w:tcW w:w="12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(219)</w:t>
            </w:r>
          </w:p>
        </w:tc>
      </w:tr>
      <w:tr>
        <w:trPr>
          <w:trHeight w:val="216"/>
        </w:trPr>
        <w:tc>
          <w:tcPr>
            <w:tcW w:w="8000" w:type="dxa"/>
            <w:vAlign w:val="bottom"/>
          </w:tcPr>
          <w:p>
            <w:pPr>
              <w:spacing w:after="0"/>
              <w:rPr>
                <w:sz w:val="20"/>
                <w:szCs w:val="20"/>
                <w:color w:val="auto"/>
              </w:rPr>
            </w:pPr>
            <w:r>
              <w:rPr>
                <w:rFonts w:ascii="Times New Roman" w:cs="Times New Roman" w:eastAsia="Times New Roman" w:hAnsi="Times New Roman"/>
                <w:sz w:val="18"/>
                <w:szCs w:val="18"/>
                <w:color w:val="auto"/>
              </w:rPr>
              <w:t>Repayments of finance lease obligations</w:t>
            </w:r>
          </w:p>
        </w:tc>
        <w:tc>
          <w:tcPr>
            <w:tcW w:w="120" w:type="dxa"/>
            <w:vAlign w:val="bottom"/>
          </w:tcPr>
          <w:p>
            <w:pPr>
              <w:spacing w:after="0"/>
              <w:rPr>
                <w:sz w:val="18"/>
                <w:szCs w:val="18"/>
                <w:color w:val="auto"/>
              </w:rPr>
            </w:pPr>
          </w:p>
        </w:tc>
        <w:tc>
          <w:tcPr>
            <w:tcW w:w="148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(618)</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(854)</w:t>
            </w:r>
          </w:p>
        </w:tc>
      </w:tr>
      <w:tr>
        <w:trPr>
          <w:trHeight w:val="20"/>
        </w:trPr>
        <w:tc>
          <w:tcPr>
            <w:tcW w:w="80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0"/>
        </w:trPr>
        <w:tc>
          <w:tcPr>
            <w:tcW w:w="8000" w:type="dxa"/>
            <w:vAlign w:val="bottom"/>
            <w:shd w:val="clear" w:color="auto" w:fill="CCEEFF"/>
          </w:tcPr>
          <w:p>
            <w:pPr>
              <w:ind w:left="500"/>
              <w:spacing w:after="0"/>
              <w:rPr>
                <w:sz w:val="20"/>
                <w:szCs w:val="20"/>
                <w:color w:val="auto"/>
              </w:rPr>
            </w:pPr>
            <w:r>
              <w:rPr>
                <w:rFonts w:ascii="Times New Roman" w:cs="Times New Roman" w:eastAsia="Times New Roman" w:hAnsi="Times New Roman"/>
                <w:sz w:val="18"/>
                <w:szCs w:val="18"/>
                <w:b w:val="1"/>
                <w:bCs w:val="1"/>
                <w:color w:val="auto"/>
              </w:rPr>
              <w:t>Net cash used in financing activities</w:t>
            </w:r>
          </w:p>
        </w:tc>
        <w:tc>
          <w:tcPr>
            <w:tcW w:w="12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(29,275)</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(12,652)</w:t>
            </w:r>
          </w:p>
        </w:tc>
      </w:tr>
      <w:tr>
        <w:trPr>
          <w:trHeight w:val="20"/>
        </w:trPr>
        <w:tc>
          <w:tcPr>
            <w:tcW w:w="800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r>
      <w:tr>
        <w:trPr>
          <w:trHeight w:val="209"/>
        </w:trPr>
        <w:tc>
          <w:tcPr>
            <w:tcW w:w="80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Change in cash and cash equivalents</w:t>
            </w:r>
          </w:p>
        </w:tc>
        <w:tc>
          <w:tcPr>
            <w:tcW w:w="12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32,496</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(7,188)</w:t>
            </w:r>
          </w:p>
        </w:tc>
      </w:tr>
      <w:tr>
        <w:trPr>
          <w:trHeight w:val="216"/>
        </w:trPr>
        <w:tc>
          <w:tcPr>
            <w:tcW w:w="8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Cash and cash equivalents - beginning of period</w:t>
            </w:r>
          </w:p>
        </w:tc>
        <w:tc>
          <w:tcPr>
            <w:tcW w:w="12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34,374</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45,799</w:t>
            </w:r>
          </w:p>
        </w:tc>
      </w:tr>
      <w:tr>
        <w:trPr>
          <w:trHeight w:val="210"/>
        </w:trPr>
        <w:tc>
          <w:tcPr>
            <w:tcW w:w="800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360" w:type="dxa"/>
            <w:vAlign w:val="bottom"/>
            <w:tcBorders>
              <w:top w:val="single" w:sz="8" w:color="auto"/>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34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56"/>
        </w:trPr>
        <w:tc>
          <w:tcPr>
            <w:tcW w:w="8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Cash and cash equivalents - end of period</w:t>
            </w: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66,870</w:t>
            </w:r>
          </w:p>
        </w:tc>
        <w:tc>
          <w:tcPr>
            <w:tcW w:w="20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14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38,611</w:t>
            </w:r>
          </w:p>
        </w:tc>
      </w:tr>
      <w:tr>
        <w:trPr>
          <w:trHeight w:val="555"/>
        </w:trPr>
        <w:tc>
          <w:tcPr>
            <w:tcW w:w="8000" w:type="dxa"/>
            <w:vAlign w:val="bottom"/>
            <w:tcBorders>
              <w:top w:val="single" w:sz="8" w:color="CCEEFF"/>
              <w:bottom w:val="single" w:sz="8" w:color="auto"/>
            </w:tcBorders>
          </w:tcPr>
          <w:p>
            <w:pPr>
              <w:spacing w:after="0"/>
              <w:rPr>
                <w:sz w:val="24"/>
                <w:szCs w:val="24"/>
                <w:color w:val="auto"/>
              </w:rPr>
            </w:pPr>
          </w:p>
        </w:tc>
        <w:tc>
          <w:tcPr>
            <w:tcW w:w="120" w:type="dxa"/>
            <w:vAlign w:val="bottom"/>
            <w:tcBorders>
              <w:top w:val="single" w:sz="8" w:color="auto"/>
              <w:bottom w:val="single" w:sz="8" w:color="auto"/>
            </w:tcBorders>
          </w:tcPr>
          <w:p>
            <w:pPr>
              <w:spacing w:after="0"/>
              <w:rPr>
                <w:sz w:val="24"/>
                <w:szCs w:val="24"/>
                <w:color w:val="auto"/>
              </w:rPr>
            </w:pPr>
          </w:p>
        </w:tc>
        <w:tc>
          <w:tcPr>
            <w:tcW w:w="1360" w:type="dxa"/>
            <w:vAlign w:val="bottom"/>
            <w:tcBorders>
              <w:top w:val="single" w:sz="8" w:color="auto"/>
              <w:bottom w:val="single" w:sz="8" w:color="auto"/>
            </w:tcBorders>
          </w:tcPr>
          <w:p>
            <w:pPr>
              <w:spacing w:after="0"/>
              <w:rPr>
                <w:sz w:val="24"/>
                <w:szCs w:val="24"/>
                <w:color w:val="auto"/>
              </w:rPr>
            </w:pPr>
          </w:p>
        </w:tc>
        <w:tc>
          <w:tcPr>
            <w:tcW w:w="120" w:type="dxa"/>
            <w:vAlign w:val="bottom"/>
            <w:tcBorders>
              <w:top w:val="single" w:sz="8" w:color="CCEEFF"/>
              <w:bottom w:val="single" w:sz="8" w:color="auto"/>
            </w:tcBorders>
          </w:tcPr>
          <w:p>
            <w:pPr>
              <w:spacing w:after="0"/>
              <w:rPr>
                <w:sz w:val="24"/>
                <w:szCs w:val="24"/>
                <w:color w:val="auto"/>
              </w:rPr>
            </w:pPr>
          </w:p>
        </w:tc>
        <w:tc>
          <w:tcPr>
            <w:tcW w:w="80" w:type="dxa"/>
            <w:vAlign w:val="bottom"/>
            <w:tcBorders>
              <w:top w:val="single" w:sz="8" w:color="CCEEFF"/>
              <w:bottom w:val="single" w:sz="8" w:color="auto"/>
            </w:tcBorders>
          </w:tcPr>
          <w:p>
            <w:pPr>
              <w:spacing w:after="0"/>
              <w:rPr>
                <w:sz w:val="24"/>
                <w:szCs w:val="24"/>
                <w:color w:val="auto"/>
              </w:rPr>
            </w:pPr>
          </w:p>
        </w:tc>
        <w:tc>
          <w:tcPr>
            <w:tcW w:w="120" w:type="dxa"/>
            <w:vAlign w:val="bottom"/>
            <w:tcBorders>
              <w:top w:val="single" w:sz="8" w:color="auto"/>
              <w:bottom w:val="single" w:sz="8" w:color="auto"/>
            </w:tcBorders>
          </w:tcPr>
          <w:p>
            <w:pPr>
              <w:spacing w:after="0"/>
              <w:rPr>
                <w:sz w:val="24"/>
                <w:szCs w:val="24"/>
                <w:color w:val="auto"/>
              </w:rPr>
            </w:pPr>
          </w:p>
        </w:tc>
        <w:tc>
          <w:tcPr>
            <w:tcW w:w="1340" w:type="dxa"/>
            <w:vAlign w:val="bottom"/>
            <w:tcBorders>
              <w:top w:val="single" w:sz="8" w:color="auto"/>
              <w:bottom w:val="single" w:sz="8" w:color="auto"/>
            </w:tcBorders>
          </w:tcPr>
          <w:p>
            <w:pPr>
              <w:spacing w:after="0"/>
              <w:rPr>
                <w:sz w:val="24"/>
                <w:szCs w:val="24"/>
                <w:color w:val="auto"/>
              </w:rPr>
            </w:pPr>
          </w:p>
        </w:tc>
        <w:tc>
          <w:tcPr>
            <w:tcW w:w="100" w:type="dxa"/>
            <w:vAlign w:val="bottom"/>
            <w:tcBorders>
              <w:top w:val="single" w:sz="8" w:color="CCEEFF"/>
              <w:bottom w:val="single" w:sz="8" w:color="auto"/>
            </w:tcBorders>
          </w:tcPr>
          <w:p>
            <w:pPr>
              <w:spacing w:after="0"/>
              <w:rPr>
                <w:sz w:val="24"/>
                <w:szCs w:val="24"/>
                <w:color w:val="auto"/>
              </w:rPr>
            </w:pPr>
          </w:p>
        </w:tc>
      </w:tr>
    </w:tbl>
    <w:p>
      <w:pPr>
        <w:sectPr>
          <w:pgSz w:w="11900" w:h="16838" w:orient="portrait"/>
          <w:cols w:equalWidth="0" w:num="1">
            <w:col w:w="11240"/>
          </w:cols>
          <w:pgMar w:left="320" w:top="576" w:right="339" w:bottom="1440" w:gutter="0" w:footer="0" w:header="0"/>
        </w:sectPr>
      </w:pPr>
    </w:p>
    <w:bookmarkStart w:id="10" w:name="page11"/>
    <w:bookmarkEnd w:id="10"/>
    <w:p>
      <w:pPr>
        <w:jc w:val="center"/>
        <w:spacing w:after="0"/>
        <w:rPr>
          <w:sz w:val="20"/>
          <w:szCs w:val="20"/>
          <w:color w:val="auto"/>
        </w:rPr>
      </w:pPr>
      <w:r>
        <w:rPr>
          <w:rFonts w:ascii="Times New Roman" w:cs="Times New Roman" w:eastAsia="Times New Roman" w:hAnsi="Times New Roman"/>
          <w:sz w:val="18"/>
          <w:szCs w:val="18"/>
          <w:b w:val="1"/>
          <w:bCs w:val="1"/>
          <w:color w:val="auto"/>
        </w:rPr>
        <w:t>Table 4</w:t>
      </w:r>
    </w:p>
    <w:p>
      <w:pPr>
        <w:spacing w:after="0" w:line="3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BASSETT FURNITURE INDUSTRIES, INC.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Segment Information - 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(In thousands)</w:t>
      </w:r>
    </w:p>
    <w:p>
      <w:pPr>
        <w:spacing w:after="0" w:line="234"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9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0" w:type="dxa"/>
            <w:vAlign w:val="bottom"/>
            <w:gridSpan w:val="4"/>
          </w:tcPr>
          <w:p>
            <w:pPr>
              <w:jc w:val="right"/>
              <w:ind w:right="940"/>
              <w:spacing w:after="0"/>
              <w:rPr>
                <w:sz w:val="20"/>
                <w:szCs w:val="20"/>
                <w:color w:val="auto"/>
              </w:rPr>
            </w:pPr>
            <w:r>
              <w:rPr>
                <w:rFonts w:ascii="Times New Roman" w:cs="Times New Roman" w:eastAsia="Times New Roman" w:hAnsi="Times New Roman"/>
                <w:sz w:val="18"/>
                <w:szCs w:val="18"/>
                <w:color w:val="auto"/>
              </w:rPr>
              <w:t>Quarter Ended</w:t>
            </w:r>
          </w:p>
        </w:tc>
        <w:tc>
          <w:tcPr>
            <w:tcW w:w="120" w:type="dxa"/>
            <w:vAlign w:val="bottom"/>
          </w:tcPr>
          <w:p>
            <w:pPr>
              <w:spacing w:after="0"/>
              <w:rPr>
                <w:sz w:val="20"/>
                <w:szCs w:val="20"/>
                <w:color w:val="auto"/>
              </w:rPr>
            </w:pPr>
          </w:p>
        </w:tc>
        <w:tc>
          <w:tcPr>
            <w:tcW w:w="2420" w:type="dxa"/>
            <w:vAlign w:val="bottom"/>
            <w:gridSpan w:val="4"/>
          </w:tcPr>
          <w:p>
            <w:pPr>
              <w:jc w:val="right"/>
              <w:ind w:right="600"/>
              <w:spacing w:after="0"/>
              <w:rPr>
                <w:sz w:val="20"/>
                <w:szCs w:val="20"/>
                <w:color w:val="auto"/>
              </w:rPr>
            </w:pPr>
            <w:r>
              <w:rPr>
                <w:rFonts w:ascii="Times New Roman" w:cs="Times New Roman" w:eastAsia="Times New Roman" w:hAnsi="Times New Roman"/>
                <w:sz w:val="18"/>
                <w:szCs w:val="18"/>
                <w:color w:val="auto"/>
              </w:rPr>
              <w:t>Nine Months Ended</w:t>
            </w:r>
          </w:p>
        </w:tc>
      </w:tr>
      <w:tr>
        <w:trPr>
          <w:trHeight w:val="191"/>
        </w:trPr>
        <w:tc>
          <w:tcPr>
            <w:tcW w:w="5980" w:type="dxa"/>
            <w:vAlign w:val="bottom"/>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1160" w:type="dxa"/>
            <w:vAlign w:val="bottom"/>
            <w:tcBorders>
              <w:top w:val="single" w:sz="8" w:color="auto"/>
            </w:tcBorders>
          </w:tcPr>
          <w:p>
            <w:pPr>
              <w:jc w:val="right"/>
              <w:ind w:right="230"/>
              <w:spacing w:after="0" w:line="191" w:lineRule="exact"/>
              <w:rPr>
                <w:sz w:val="20"/>
                <w:szCs w:val="20"/>
                <w:color w:val="auto"/>
              </w:rPr>
            </w:pPr>
            <w:r>
              <w:rPr>
                <w:rFonts w:ascii="Times New Roman" w:cs="Times New Roman" w:eastAsia="Times New Roman" w:hAnsi="Times New Roman"/>
                <w:sz w:val="18"/>
                <w:szCs w:val="18"/>
                <w:color w:val="auto"/>
              </w:rPr>
              <w:t>August 27,</w:t>
            </w:r>
          </w:p>
        </w:tc>
        <w:tc>
          <w:tcPr>
            <w:tcW w:w="220" w:type="dxa"/>
            <w:vAlign w:val="bottom"/>
            <w:tcBorders>
              <w:top w:val="single" w:sz="8" w:color="auto"/>
            </w:tcBorders>
          </w:tcPr>
          <w:p>
            <w:pPr>
              <w:spacing w:after="0"/>
              <w:rPr>
                <w:sz w:val="16"/>
                <w:szCs w:val="16"/>
                <w:color w:val="auto"/>
              </w:rPr>
            </w:pPr>
          </w:p>
        </w:tc>
        <w:tc>
          <w:tcPr>
            <w:tcW w:w="1020" w:type="dxa"/>
            <w:vAlign w:val="bottom"/>
            <w:tcBorders>
              <w:top w:val="single" w:sz="8" w:color="auto"/>
            </w:tcBorders>
          </w:tcPr>
          <w:p>
            <w:pPr>
              <w:jc w:val="right"/>
              <w:ind w:right="90"/>
              <w:spacing w:after="0" w:line="191" w:lineRule="exact"/>
              <w:rPr>
                <w:sz w:val="20"/>
                <w:szCs w:val="20"/>
                <w:color w:val="auto"/>
              </w:rPr>
            </w:pPr>
            <w:r>
              <w:rPr>
                <w:rFonts w:ascii="Times New Roman" w:cs="Times New Roman" w:eastAsia="Times New Roman" w:hAnsi="Times New Roman"/>
                <w:sz w:val="18"/>
                <w:szCs w:val="18"/>
                <w:color w:val="auto"/>
              </w:rPr>
              <w:t>August 28,</w:t>
            </w:r>
          </w:p>
        </w:tc>
        <w:tc>
          <w:tcPr>
            <w:tcW w:w="200" w:type="dxa"/>
            <w:vAlign w:val="bottom"/>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1120" w:type="dxa"/>
            <w:vAlign w:val="bottom"/>
            <w:tcBorders>
              <w:top w:val="single" w:sz="8" w:color="auto"/>
            </w:tcBorders>
          </w:tcPr>
          <w:p>
            <w:pPr>
              <w:jc w:val="right"/>
              <w:ind w:right="190"/>
              <w:spacing w:after="0" w:line="191" w:lineRule="exact"/>
              <w:rPr>
                <w:sz w:val="20"/>
                <w:szCs w:val="20"/>
                <w:color w:val="auto"/>
              </w:rPr>
            </w:pPr>
            <w:r>
              <w:rPr>
                <w:rFonts w:ascii="Times New Roman" w:cs="Times New Roman" w:eastAsia="Times New Roman" w:hAnsi="Times New Roman"/>
                <w:sz w:val="18"/>
                <w:szCs w:val="18"/>
                <w:color w:val="auto"/>
              </w:rPr>
              <w:t>August 27,</w:t>
            </w:r>
          </w:p>
        </w:tc>
        <w:tc>
          <w:tcPr>
            <w:tcW w:w="200" w:type="dxa"/>
            <w:vAlign w:val="bottom"/>
            <w:tcBorders>
              <w:top w:val="single" w:sz="8" w:color="auto"/>
            </w:tcBorders>
          </w:tcPr>
          <w:p>
            <w:pPr>
              <w:spacing w:after="0"/>
              <w:rPr>
                <w:sz w:val="16"/>
                <w:szCs w:val="16"/>
                <w:color w:val="auto"/>
              </w:rPr>
            </w:pPr>
          </w:p>
        </w:tc>
        <w:tc>
          <w:tcPr>
            <w:tcW w:w="1000" w:type="dxa"/>
            <w:vAlign w:val="bottom"/>
            <w:tcBorders>
              <w:top w:val="single" w:sz="8" w:color="auto"/>
            </w:tcBorders>
          </w:tcPr>
          <w:p>
            <w:pPr>
              <w:jc w:val="right"/>
              <w:ind w:right="70"/>
              <w:spacing w:after="0" w:line="191" w:lineRule="exact"/>
              <w:rPr>
                <w:sz w:val="20"/>
                <w:szCs w:val="20"/>
                <w:color w:val="auto"/>
              </w:rPr>
            </w:pPr>
            <w:r>
              <w:rPr>
                <w:rFonts w:ascii="Times New Roman" w:cs="Times New Roman" w:eastAsia="Times New Roman" w:hAnsi="Times New Roman"/>
                <w:sz w:val="18"/>
                <w:szCs w:val="18"/>
                <w:color w:val="auto"/>
              </w:rPr>
              <w:t>August 28,</w:t>
            </w:r>
          </w:p>
        </w:tc>
        <w:tc>
          <w:tcPr>
            <w:tcW w:w="100" w:type="dxa"/>
            <w:vAlign w:val="bottom"/>
          </w:tcPr>
          <w:p>
            <w:pPr>
              <w:spacing w:after="0"/>
              <w:rPr>
                <w:sz w:val="16"/>
                <w:szCs w:val="16"/>
                <w:color w:val="auto"/>
              </w:rPr>
            </w:pPr>
          </w:p>
        </w:tc>
      </w:tr>
      <w:tr>
        <w:trPr>
          <w:trHeight w:val="234"/>
        </w:trPr>
        <w:tc>
          <w:tcPr>
            <w:tcW w:w="598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jc w:val="right"/>
              <w:ind w:right="450"/>
              <w:spacing w:after="0"/>
              <w:rPr>
                <w:sz w:val="20"/>
                <w:szCs w:val="20"/>
                <w:color w:val="auto"/>
              </w:rPr>
            </w:pPr>
            <w:r>
              <w:rPr>
                <w:rFonts w:ascii="Times New Roman" w:cs="Times New Roman" w:eastAsia="Times New Roman" w:hAnsi="Times New Roman"/>
                <w:sz w:val="18"/>
                <w:szCs w:val="18"/>
                <w:color w:val="auto"/>
              </w:rPr>
              <w:t>2022</w:t>
            </w:r>
          </w:p>
        </w:tc>
        <w:tc>
          <w:tcPr>
            <w:tcW w:w="22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jc w:val="right"/>
              <w:ind w:right="310"/>
              <w:spacing w:after="0"/>
              <w:rPr>
                <w:sz w:val="20"/>
                <w:szCs w:val="20"/>
                <w:color w:val="auto"/>
              </w:rPr>
            </w:pPr>
            <w:r>
              <w:rPr>
                <w:rFonts w:ascii="Times New Roman" w:cs="Times New Roman" w:eastAsia="Times New Roman" w:hAnsi="Times New Roman"/>
                <w:sz w:val="18"/>
                <w:szCs w:val="18"/>
                <w:color w:val="auto"/>
              </w:rPr>
              <w:t>2021</w:t>
            </w:r>
          </w:p>
        </w:tc>
        <w:tc>
          <w:tcPr>
            <w:tcW w:w="20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jc w:val="right"/>
              <w:ind w:right="410"/>
              <w:spacing w:after="0"/>
              <w:rPr>
                <w:sz w:val="20"/>
                <w:szCs w:val="20"/>
                <w:color w:val="auto"/>
              </w:rPr>
            </w:pPr>
            <w:r>
              <w:rPr>
                <w:rFonts w:ascii="Times New Roman" w:cs="Times New Roman" w:eastAsia="Times New Roman" w:hAnsi="Times New Roman"/>
                <w:sz w:val="18"/>
                <w:szCs w:val="18"/>
                <w:color w:val="auto"/>
              </w:rPr>
              <w:t>2022</w:t>
            </w:r>
          </w:p>
        </w:tc>
        <w:tc>
          <w:tcPr>
            <w:tcW w:w="20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color w:val="auto"/>
              </w:rPr>
              <w:t>2021</w:t>
            </w:r>
          </w:p>
        </w:tc>
        <w:tc>
          <w:tcPr>
            <w:tcW w:w="100" w:type="dxa"/>
            <w:vAlign w:val="bottom"/>
          </w:tcPr>
          <w:p>
            <w:pPr>
              <w:spacing w:after="0"/>
              <w:rPr>
                <w:sz w:val="20"/>
                <w:szCs w:val="20"/>
                <w:color w:val="auto"/>
              </w:rPr>
            </w:pPr>
          </w:p>
        </w:tc>
      </w:tr>
      <w:tr>
        <w:trPr>
          <w:trHeight w:val="210"/>
        </w:trPr>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Sales Revenue</w:t>
            </w:r>
          </w:p>
        </w:tc>
        <w:tc>
          <w:tcPr>
            <w:tcW w:w="12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20" w:type="dxa"/>
            <w:vAlign w:val="bottom"/>
            <w:tcBorders>
              <w:right w:val="single" w:sz="8" w:color="CCEEFF"/>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Wholesale sales of furniture and accessories</w:t>
            </w:r>
          </w:p>
        </w:tc>
        <w:tc>
          <w:tcPr>
            <w:tcW w:w="12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1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78,959</w:t>
            </w:r>
          </w:p>
        </w:tc>
        <w:tc>
          <w:tcPr>
            <w:tcW w:w="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73,073</w:t>
            </w:r>
          </w:p>
        </w:tc>
        <w:tc>
          <w:tcPr>
            <w:tcW w:w="12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249,945</w:t>
            </w:r>
          </w:p>
        </w:tc>
        <w:tc>
          <w:tcPr>
            <w:tcW w:w="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219,371</w:t>
            </w:r>
          </w:p>
        </w:tc>
      </w:tr>
      <w:tr>
        <w:trPr>
          <w:trHeight w:val="216"/>
        </w:trPr>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Less: Sales to retail segment</w:t>
            </w:r>
          </w:p>
        </w:tc>
        <w:tc>
          <w:tcPr>
            <w:tcW w:w="120" w:type="dxa"/>
            <w:vAlign w:val="bottom"/>
            <w:shd w:val="clear" w:color="auto" w:fill="CCEEFF"/>
          </w:tcPr>
          <w:p>
            <w:pPr>
              <w:spacing w:after="0"/>
              <w:rPr>
                <w:sz w:val="18"/>
                <w:szCs w:val="18"/>
                <w:color w:val="auto"/>
              </w:rPr>
            </w:pPr>
          </w:p>
        </w:tc>
        <w:tc>
          <w:tcPr>
            <w:tcW w:w="116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(31,833)</w:t>
            </w:r>
          </w:p>
        </w:tc>
        <w:tc>
          <w:tcPr>
            <w:tcW w:w="2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(26,779)</w:t>
            </w:r>
          </w:p>
        </w:tc>
        <w:tc>
          <w:tcPr>
            <w:tcW w:w="120" w:type="dxa"/>
            <w:vAlign w:val="bottom"/>
            <w:shd w:val="clear" w:color="auto" w:fill="CCEEFF"/>
          </w:tcPr>
          <w:p>
            <w:pPr>
              <w:spacing w:after="0"/>
              <w:rPr>
                <w:sz w:val="18"/>
                <w:szCs w:val="18"/>
                <w:color w:val="auto"/>
              </w:rPr>
            </w:pP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(95,976)</w:t>
            </w:r>
          </w:p>
        </w:tc>
        <w:tc>
          <w:tcPr>
            <w:tcW w:w="20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(84,303)</w:t>
            </w:r>
          </w:p>
        </w:tc>
      </w:tr>
      <w:tr>
        <w:trPr>
          <w:trHeight w:val="20"/>
        </w:trPr>
        <w:tc>
          <w:tcPr>
            <w:tcW w:w="598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020" w:type="dxa"/>
            <w:vAlign w:val="bottom"/>
            <w:tcBorders>
              <w:right w:val="single" w:sz="8" w:color="CCEEFF"/>
            </w:tcBorders>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r>
      <w:tr>
        <w:trPr>
          <w:trHeight w:val="209"/>
        </w:trPr>
        <w:tc>
          <w:tcPr>
            <w:tcW w:w="59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Wholesale sales to external customers</w:t>
            </w:r>
          </w:p>
        </w:tc>
        <w:tc>
          <w:tcPr>
            <w:tcW w:w="120" w:type="dxa"/>
            <w:vAlign w:val="bottom"/>
          </w:tcPr>
          <w:p>
            <w:pPr>
              <w:spacing w:after="0"/>
              <w:rPr>
                <w:sz w:val="18"/>
                <w:szCs w:val="18"/>
                <w:color w:val="auto"/>
              </w:rPr>
            </w:pPr>
          </w:p>
        </w:tc>
        <w:tc>
          <w:tcPr>
            <w:tcW w:w="11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47,126</w:t>
            </w:r>
          </w:p>
        </w:tc>
        <w:tc>
          <w:tcPr>
            <w:tcW w:w="220" w:type="dxa"/>
            <w:vAlign w:val="bottom"/>
          </w:tcPr>
          <w:p>
            <w:pPr>
              <w:spacing w:after="0"/>
              <w:rPr>
                <w:sz w:val="18"/>
                <w:szCs w:val="18"/>
                <w:color w:val="auto"/>
              </w:rPr>
            </w:pPr>
          </w:p>
        </w:tc>
        <w:tc>
          <w:tcPr>
            <w:tcW w:w="12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46,294</w:t>
            </w:r>
          </w:p>
        </w:tc>
        <w:tc>
          <w:tcPr>
            <w:tcW w:w="120" w:type="dxa"/>
            <w:vAlign w:val="bottom"/>
          </w:tcPr>
          <w:p>
            <w:pPr>
              <w:spacing w:after="0"/>
              <w:rPr>
                <w:sz w:val="18"/>
                <w:szCs w:val="18"/>
                <w:color w:val="auto"/>
              </w:rPr>
            </w:pPr>
          </w:p>
        </w:tc>
        <w:tc>
          <w:tcPr>
            <w:tcW w:w="112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153,969</w:t>
            </w:r>
          </w:p>
        </w:tc>
        <w:tc>
          <w:tcPr>
            <w:tcW w:w="20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135,068</w:t>
            </w:r>
          </w:p>
        </w:tc>
      </w:tr>
      <w:tr>
        <w:trPr>
          <w:trHeight w:val="216"/>
        </w:trPr>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Retail sales of furniture and accessories</w:t>
            </w:r>
          </w:p>
        </w:tc>
        <w:tc>
          <w:tcPr>
            <w:tcW w:w="120" w:type="dxa"/>
            <w:vAlign w:val="bottom"/>
            <w:shd w:val="clear" w:color="auto" w:fill="CCEEFF"/>
          </w:tcPr>
          <w:p>
            <w:pPr>
              <w:spacing w:after="0"/>
              <w:rPr>
                <w:sz w:val="18"/>
                <w:szCs w:val="18"/>
                <w:color w:val="auto"/>
              </w:rPr>
            </w:pPr>
          </w:p>
        </w:tc>
        <w:tc>
          <w:tcPr>
            <w:tcW w:w="116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70,886</w:t>
            </w:r>
          </w:p>
        </w:tc>
        <w:tc>
          <w:tcPr>
            <w:tcW w:w="2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58,576</w:t>
            </w:r>
          </w:p>
        </w:tc>
        <w:tc>
          <w:tcPr>
            <w:tcW w:w="120" w:type="dxa"/>
            <w:vAlign w:val="bottom"/>
            <w:shd w:val="clear" w:color="auto" w:fill="CCEEFF"/>
          </w:tcPr>
          <w:p>
            <w:pPr>
              <w:spacing w:after="0"/>
              <w:rPr>
                <w:sz w:val="18"/>
                <w:szCs w:val="18"/>
                <w:color w:val="auto"/>
              </w:rPr>
            </w:pPr>
          </w:p>
        </w:tc>
        <w:tc>
          <w:tcPr>
            <w:tcW w:w="112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210,613</w:t>
            </w:r>
          </w:p>
        </w:tc>
        <w:tc>
          <w:tcPr>
            <w:tcW w:w="20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181,454</w:t>
            </w:r>
          </w:p>
        </w:tc>
      </w:tr>
      <w:tr>
        <w:trPr>
          <w:trHeight w:val="210"/>
        </w:trPr>
        <w:tc>
          <w:tcPr>
            <w:tcW w:w="5980" w:type="dxa"/>
            <w:vAlign w:val="bottom"/>
            <w:tcBorders>
              <w:top w:val="single" w:sz="8" w:color="CCEEFF"/>
            </w:tcBorders>
          </w:tcPr>
          <w:p>
            <w:pPr>
              <w:spacing w:after="0"/>
              <w:rPr>
                <w:sz w:val="20"/>
                <w:szCs w:val="20"/>
                <w:color w:val="auto"/>
              </w:rPr>
            </w:pPr>
            <w:r>
              <w:rPr>
                <w:rFonts w:ascii="Times New Roman" w:cs="Times New Roman" w:eastAsia="Times New Roman" w:hAnsi="Times New Roman"/>
                <w:sz w:val="18"/>
                <w:szCs w:val="18"/>
                <w:color w:val="auto"/>
              </w:rPr>
              <w:t>Consolidated net sales of furniture and accessories</w:t>
            </w: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160" w:type="dxa"/>
            <w:vAlign w:val="bottom"/>
            <w:tcBorders>
              <w:top w:val="single" w:sz="8" w:color="auto"/>
              <w:bottom w:val="single" w:sz="8" w:color="auto"/>
            </w:tcBorders>
          </w:tcPr>
          <w:p>
            <w:pPr>
              <w:jc w:val="right"/>
              <w:ind w:right="70"/>
              <w:spacing w:after="0"/>
              <w:rPr>
                <w:sz w:val="20"/>
                <w:szCs w:val="20"/>
                <w:color w:val="auto"/>
              </w:rPr>
            </w:pPr>
            <w:r>
              <w:rPr>
                <w:rFonts w:ascii="Times New Roman" w:cs="Times New Roman" w:eastAsia="Times New Roman" w:hAnsi="Times New Roman"/>
                <w:sz w:val="18"/>
                <w:szCs w:val="18"/>
                <w:color w:val="auto"/>
              </w:rPr>
              <w:t>118,012</w:t>
            </w:r>
          </w:p>
        </w:tc>
        <w:tc>
          <w:tcPr>
            <w:tcW w:w="2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104,870</w:t>
            </w:r>
          </w:p>
        </w:tc>
        <w:tc>
          <w:tcPr>
            <w:tcW w:w="200" w:type="dxa"/>
            <w:vAlign w:val="bottom"/>
            <w:tcBorders>
              <w:top w:val="single" w:sz="8" w:color="CCEEFF"/>
            </w:tcBorders>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tcBorders>
              <w:top w:val="single" w:sz="8" w:color="auto"/>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rPr>
              <w:t>364,582</w:t>
            </w:r>
          </w:p>
        </w:tc>
        <w:tc>
          <w:tcPr>
            <w:tcW w:w="2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316,522</w:t>
            </w:r>
          </w:p>
        </w:tc>
        <w:tc>
          <w:tcPr>
            <w:tcW w:w="100" w:type="dxa"/>
            <w:vAlign w:val="bottom"/>
            <w:tcBorders>
              <w:top w:val="single" w:sz="8" w:color="CCEEFF"/>
            </w:tcBorders>
          </w:tcPr>
          <w:p>
            <w:pPr>
              <w:spacing w:after="0"/>
              <w:rPr>
                <w:sz w:val="18"/>
                <w:szCs w:val="18"/>
                <w:color w:val="auto"/>
              </w:rPr>
            </w:pPr>
          </w:p>
        </w:tc>
      </w:tr>
      <w:tr>
        <w:trPr>
          <w:trHeight w:val="20"/>
        </w:trPr>
        <w:tc>
          <w:tcPr>
            <w:tcW w:w="59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7"/>
        </w:trPr>
        <w:tc>
          <w:tcPr>
            <w:tcW w:w="59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20" w:type="dxa"/>
            <w:vAlign w:val="bottom"/>
            <w:tcBorders>
              <w:right w:val="single" w:sz="8" w:color="CCEEFF"/>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16"/>
        </w:trPr>
        <w:tc>
          <w:tcPr>
            <w:tcW w:w="59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Operating Income</w:t>
            </w:r>
          </w:p>
        </w:tc>
        <w:tc>
          <w:tcPr>
            <w:tcW w:w="12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20" w:type="dxa"/>
            <w:vAlign w:val="bottom"/>
            <w:tcBorders>
              <w:right w:val="single" w:sz="8" w:color="CCEEFF"/>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Wholesale</w:t>
            </w:r>
          </w:p>
        </w:tc>
        <w:tc>
          <w:tcPr>
            <w:tcW w:w="12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1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1,611</w:t>
            </w:r>
          </w:p>
        </w:tc>
        <w:tc>
          <w:tcPr>
            <w:tcW w:w="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4,466</w:t>
            </w:r>
          </w:p>
        </w:tc>
        <w:tc>
          <w:tcPr>
            <w:tcW w:w="20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8,430</w:t>
            </w:r>
          </w:p>
        </w:tc>
        <w:tc>
          <w:tcPr>
            <w:tcW w:w="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14,622</w:t>
            </w:r>
          </w:p>
        </w:tc>
      </w:tr>
      <w:tr>
        <w:trPr>
          <w:trHeight w:val="216"/>
        </w:trPr>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Retail</w:t>
            </w:r>
          </w:p>
        </w:tc>
        <w:tc>
          <w:tcPr>
            <w:tcW w:w="120" w:type="dxa"/>
            <w:vAlign w:val="bottom"/>
            <w:shd w:val="clear" w:color="auto" w:fill="CCEEFF"/>
          </w:tcPr>
          <w:p>
            <w:pPr>
              <w:spacing w:after="0"/>
              <w:rPr>
                <w:sz w:val="18"/>
                <w:szCs w:val="18"/>
                <w:color w:val="auto"/>
              </w:rPr>
            </w:pPr>
          </w:p>
        </w:tc>
        <w:tc>
          <w:tcPr>
            <w:tcW w:w="116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4,529</w:t>
            </w:r>
          </w:p>
        </w:tc>
        <w:tc>
          <w:tcPr>
            <w:tcW w:w="2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917</w:t>
            </w:r>
          </w:p>
        </w:tc>
        <w:tc>
          <w:tcPr>
            <w:tcW w:w="120" w:type="dxa"/>
            <w:vAlign w:val="bottom"/>
            <w:shd w:val="clear" w:color="auto" w:fill="CCEEFF"/>
          </w:tcPr>
          <w:p>
            <w:pPr>
              <w:spacing w:after="0"/>
              <w:rPr>
                <w:sz w:val="18"/>
                <w:szCs w:val="18"/>
                <w:color w:val="auto"/>
              </w:rPr>
            </w:pPr>
          </w:p>
        </w:tc>
        <w:tc>
          <w:tcPr>
            <w:tcW w:w="112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15,754</w:t>
            </w:r>
          </w:p>
        </w:tc>
        <w:tc>
          <w:tcPr>
            <w:tcW w:w="20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3,663</w:t>
            </w: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Inter-company elimination</w:t>
            </w:r>
          </w:p>
        </w:tc>
        <w:tc>
          <w:tcPr>
            <w:tcW w:w="120" w:type="dxa"/>
            <w:vAlign w:val="bottom"/>
          </w:tcPr>
          <w:p>
            <w:pPr>
              <w:spacing w:after="0"/>
              <w:rPr>
                <w:sz w:val="18"/>
                <w:szCs w:val="18"/>
                <w:color w:val="auto"/>
              </w:rPr>
            </w:pPr>
          </w:p>
        </w:tc>
        <w:tc>
          <w:tcPr>
            <w:tcW w:w="11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(63)</w:t>
            </w:r>
          </w:p>
        </w:tc>
        <w:tc>
          <w:tcPr>
            <w:tcW w:w="220" w:type="dxa"/>
            <w:vAlign w:val="bottom"/>
          </w:tcPr>
          <w:p>
            <w:pPr>
              <w:spacing w:after="0"/>
              <w:rPr>
                <w:sz w:val="18"/>
                <w:szCs w:val="18"/>
                <w:color w:val="auto"/>
              </w:rPr>
            </w:pPr>
          </w:p>
        </w:tc>
        <w:tc>
          <w:tcPr>
            <w:tcW w:w="12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(407)</w:t>
            </w:r>
          </w:p>
        </w:tc>
        <w:tc>
          <w:tcPr>
            <w:tcW w:w="12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(617)</w:t>
            </w:r>
          </w:p>
        </w:tc>
        <w:tc>
          <w:tcPr>
            <w:tcW w:w="200" w:type="dxa"/>
            <w:vAlign w:val="bottom"/>
          </w:tcPr>
          <w:p>
            <w:pPr>
              <w:spacing w:after="0"/>
              <w:rPr>
                <w:sz w:val="18"/>
                <w:szCs w:val="18"/>
                <w:color w:val="auto"/>
              </w:rPr>
            </w:pPr>
          </w:p>
        </w:tc>
        <w:tc>
          <w:tcPr>
            <w:tcW w:w="11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(662)</w:t>
            </w:r>
          </w:p>
        </w:tc>
      </w:tr>
      <w:tr>
        <w:trPr>
          <w:trHeight w:val="216"/>
        </w:trPr>
        <w:tc>
          <w:tcPr>
            <w:tcW w:w="598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Gain on sale of real estate</w:t>
            </w:r>
          </w:p>
        </w:tc>
        <w:tc>
          <w:tcPr>
            <w:tcW w:w="120" w:type="dxa"/>
            <w:vAlign w:val="bottom"/>
            <w:tcBorders>
              <w:bottom w:val="single" w:sz="8" w:color="auto"/>
            </w:tcBorders>
            <w:shd w:val="clear" w:color="auto" w:fill="CCEEFF"/>
          </w:tcPr>
          <w:p>
            <w:pPr>
              <w:spacing w:after="0"/>
              <w:rPr>
                <w:sz w:val="18"/>
                <w:szCs w:val="18"/>
                <w:color w:val="auto"/>
              </w:rPr>
            </w:pPr>
          </w:p>
        </w:tc>
        <w:tc>
          <w:tcPr>
            <w:tcW w:w="1160" w:type="dxa"/>
            <w:vAlign w:val="bottom"/>
            <w:tcBorders>
              <w:bottom w:val="single" w:sz="8" w:color="auto"/>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4,595</w:t>
            </w:r>
          </w:p>
        </w:tc>
        <w:tc>
          <w:tcPr>
            <w:tcW w:w="220" w:type="dxa"/>
            <w:vAlign w:val="bottom"/>
            <w:tcBorders>
              <w:bottom w:val="single" w:sz="8" w:color="auto"/>
            </w:tcBorders>
            <w:shd w:val="clear" w:color="auto" w:fill="CCEEFF"/>
          </w:tcPr>
          <w:p>
            <w:pPr>
              <w:spacing w:after="0"/>
              <w:rPr>
                <w:sz w:val="18"/>
                <w:szCs w:val="18"/>
                <w:color w:val="auto"/>
              </w:rPr>
            </w:pPr>
          </w:p>
        </w:tc>
        <w:tc>
          <w:tcPr>
            <w:tcW w:w="1020" w:type="dxa"/>
            <w:vAlign w:val="bottom"/>
            <w:tcBorders>
              <w:bottom w:val="single" w:sz="8" w:color="auto"/>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120" w:type="dxa"/>
            <w:vAlign w:val="bottom"/>
            <w:tcBorders>
              <w:bottom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4,595</w:t>
            </w:r>
          </w:p>
        </w:tc>
        <w:tc>
          <w:tcPr>
            <w:tcW w:w="20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bottom w:val="single" w:sz="8" w:color="CCEEFF"/>
            </w:tcBorders>
            <w:shd w:val="clear" w:color="auto" w:fill="CCEEFF"/>
          </w:tcPr>
          <w:p>
            <w:pPr>
              <w:spacing w:after="0"/>
              <w:rPr>
                <w:sz w:val="18"/>
                <w:szCs w:val="18"/>
                <w:color w:val="auto"/>
              </w:rPr>
            </w:pPr>
          </w:p>
        </w:tc>
      </w:tr>
      <w:tr>
        <w:trPr>
          <w:trHeight w:val="209"/>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Consolidated</w:t>
            </w:r>
          </w:p>
        </w:tc>
        <w:tc>
          <w:tcPr>
            <w:tcW w:w="12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1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10,672</w:t>
            </w:r>
          </w:p>
        </w:tc>
        <w:tc>
          <w:tcPr>
            <w:tcW w:w="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4,976</w:t>
            </w:r>
          </w:p>
        </w:tc>
        <w:tc>
          <w:tcPr>
            <w:tcW w:w="20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28,162</w:t>
            </w:r>
          </w:p>
        </w:tc>
        <w:tc>
          <w:tcPr>
            <w:tcW w:w="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17,623</w:t>
            </w:r>
          </w:p>
        </w:tc>
      </w:tr>
      <w:tr>
        <w:trPr>
          <w:trHeight w:val="20"/>
        </w:trPr>
        <w:tc>
          <w:tcPr>
            <w:tcW w:w="59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 w:lineRule="exact"/>
        <w:rPr>
          <w:sz w:val="20"/>
          <w:szCs w:val="20"/>
          <w:color w:val="auto"/>
        </w:rPr>
      </w:pPr>
    </w:p>
    <w:sectPr>
      <w:pgSz w:w="11900" w:h="16838" w:orient="portrait"/>
      <w:cols w:equalWidth="0" w:num="1">
        <w:col w:w="11240"/>
      </w:cols>
      <w:pgMar w:left="320" w:top="576"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decimal"/>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jpe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2022-09-29T08:35:21Z</dcterms:created>
  <dcterms:modified xsi:type="dcterms:W3CDTF">2022-09-29T08:35:21Z</dcterms:modified>
</cp:coreProperties>
</file>