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452" w:right="499" w:bottom="1440" w:gutter="0" w:footer="0" w:header="0"/>
        </w:sectPr>
      </w:pPr>
    </w:p>
    <w:p>
      <w:pPr>
        <w:spacing w:after="0" w:line="323"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060" w:space="720"/>
            <w:col w:w="3140" w:space="720"/>
            <w:col w:w="2440"/>
          </w:cols>
          <w:pgMar w:left="320" w:top="452" w:right="499" w:bottom="1440" w:gutter="0" w:footer="0" w:header="0"/>
          <w:type w:val="continuous"/>
        </w:sectPr>
      </w:pPr>
    </w:p>
    <w:p>
      <w:pPr>
        <w:spacing w:after="0" w:line="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200" w:space="720"/>
            <w:col w:w="2160"/>
          </w:cols>
          <w:pgMar w:left="320" w:top="452"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4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52" w:right="49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1, 2026, Bassett Furniture Industries issued a news release relating to the first quarter financial results for the fiscal year ending November 28, 2026. A copy of the news release announcing this information is attached to this report as Exhibit 99.1.</w:t>
      </w:r>
    </w:p>
    <w:p>
      <w:pPr>
        <w:spacing w:after="0" w:line="200" w:lineRule="exact"/>
        <w:rPr>
          <w:sz w:val="20"/>
          <w:szCs w:val="20"/>
          <w:color w:val="auto"/>
        </w:rPr>
      </w:pPr>
    </w:p>
    <w:p>
      <w:pPr>
        <w:spacing w:after="0" w:line="20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News release issued by Bassett Furniture Industries, Inc. on April 1,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576" w:right="6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April 1, 2026</w:t>
            </w:r>
          </w:p>
        </w:tc>
        <w:tc>
          <w:tcPr>
            <w:tcW w:w="68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33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480" w:type="dxa"/>
            <w:vAlign w:val="bottom"/>
            <w:tcBorders>
              <w:top w:val="single" w:sz="8" w:color="auto"/>
            </w:tcBorders>
          </w:tcPr>
          <w:p>
            <w:pPr>
              <w:ind w:left="64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16"/>
        </w:trPr>
        <w:tc>
          <w:tcPr>
            <w:tcW w:w="3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Title: Senior Vice President – Chief Financial &amp;</w:t>
            </w:r>
          </w:p>
        </w:tc>
      </w:tr>
      <w:tr>
        <w:trPr>
          <w:trHeight w:val="234"/>
        </w:trPr>
        <w:tc>
          <w:tcPr>
            <w:tcW w:w="3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Administrative Officer</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84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95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Michael Daniel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629-6000 –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mdaniel@bassettfurniture.com</w:t>
      </w:r>
    </w:p>
    <w:p>
      <w:pPr>
        <w:spacing w:after="0" w:line="200" w:lineRule="exact"/>
        <w:rPr>
          <w:sz w:val="20"/>
          <w:szCs w:val="20"/>
          <w:color w:val="auto"/>
        </w:rPr>
      </w:pPr>
    </w:p>
    <w:p>
      <w:pPr>
        <w:sectPr>
          <w:pgSz w:w="11900" w:h="16838" w:orient="portrait"/>
          <w:cols w:equalWidth="0" w:num="2">
            <w:col w:w="7160" w:space="720"/>
            <w:col w:w="3360"/>
          </w:cols>
          <w:pgMar w:left="320" w:top="360" w:right="339" w:bottom="1440" w:gutter="0" w:footer="0" w:header="0"/>
          <w:type w:val="continuous"/>
        </w:sectPr>
      </w:pPr>
    </w:p>
    <w:p>
      <w:pPr>
        <w:spacing w:after="0" w:line="1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Peter D. Morrison</w:t>
      </w:r>
    </w:p>
    <w:p>
      <w:pPr>
        <w:spacing w:after="0" w:line="3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b w:val="1"/>
          <w:bCs w:val="1"/>
          <w:color w:val="auto"/>
        </w:rPr>
        <w:t>Vice President of Communications</w:t>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(276) 629-6450 – Media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ectPr>
          <w:pgSz w:w="11900" w:h="16838" w:orient="portrait"/>
          <w:cols w:equalWidth="0" w:num="1">
            <w:col w:w="11240"/>
          </w:cols>
          <w:pgMar w:left="320" w:top="360"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Bassett Reports Fiscal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(Bassett, Va.) – April 1, 2026 – Bassett Furniture Industries, Inc. (Nasdaq: BSET) reported today its results of operations for its first quarter ended February 28,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Q1 Consolidated Business Highlights</w:t>
      </w:r>
      <w:r>
        <w:rPr>
          <w:rFonts w:ascii="Times New Roman" w:cs="Times New Roman" w:eastAsia="Times New Roman" w:hAnsi="Times New Roman"/>
          <w:sz w:val="18"/>
          <w:szCs w:val="18"/>
          <w:i w:val="1"/>
          <w:iCs w:val="1"/>
          <w:color w:val="auto"/>
        </w:rPr>
        <w:t>: [FY 26 vs. FY 25, unless otherwise specified]</w:t>
      </w:r>
    </w:p>
    <w:p>
      <w:pPr>
        <w:spacing w:after="0" w:line="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decreased 2.2% from the prior year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$1.2 million or 1.4% of sales as compared to operating income of $2.5 million or 3.0% of sales for the prior year quarter.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56.2% represented an 80-basis point decrease from the prior year due to lower margins in both the wholesale and retail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excluding new store preopening costs were 54.7% of sales, 70 basis points higher than the prior year, reflecting reduced leverage of fixed costs due to lower sales levels.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were $0.13 as compared to $0.21 per share in the prior year period.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$5.5 million of cash in operating activities as the first quarter is typically the slowest quarter for cash generation due to the historically slow rate of business during the Christmas season, coupled with negative working capital changes which were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2026 First Quarter Overview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5"/>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1st Quarter</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1st</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1st</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40" w:hanging="332"/>
        <w:spacing w:after="0" w:line="200" w:lineRule="auto"/>
        <w:tabs>
          <w:tab w:leader="none" w:pos="34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Our consolidated results for the quarter include certain intercompany eliminations. See Table 4, "Segment Information" below for an illustration of the effects of these items on our consolidated sales and operating income.</w:t>
      </w:r>
    </w:p>
    <w:p>
      <w:pPr>
        <w:spacing w:after="0" w:line="108" w:lineRule="exact"/>
        <w:rPr>
          <w:rFonts w:ascii="Times New Roman" w:cs="Times New Roman" w:eastAsia="Times New Roman" w:hAnsi="Times New Roman"/>
          <w:sz w:val="27"/>
          <w:szCs w:val="27"/>
          <w:color w:val="auto"/>
          <w:vertAlign w:val="superscript"/>
        </w:rPr>
      </w:pPr>
    </w:p>
    <w:p>
      <w:pPr>
        <w:ind w:left="340" w:hanging="332"/>
        <w:spacing w:after="0"/>
        <w:tabs>
          <w:tab w:leader="none" w:pos="34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Corporate and Other includes the the shared Corporate costs that are benefiting both the Wholesale and Retail segments.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 from Rob Spilman, Bassett Chairman and CEO</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a solid start to the first seven weeks of fiscal 2026, the pace of business slowed abruptly in mid-January. As a result, consolidated sales declined by 2.2% for the quarter.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macro front, demand continues to suffer from the stubbornly weak residential housing market. Amidst that backdrop, severe weather occurring over the last two weekends of January essentially shut down normal operations at many of our retail stores and warehouses. The timing of the bad weather was especially unfortunate as the back half of January is usually a strong sales period. On the positive side, retail written sales for our President’s Day event rebounded nicely, producing a double-digit sales increase for the promotion. Ultimately, retail written sales were flat for the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Wholesale margins were down slightly, primarily due to volume declines in our domestic upholstery operations. Bassett Casegoods, on the other hand, posted a 12.1% sales gain and improved margins. Retail margins were significantly affected by our decision to absorb tariffs in retail pricing during the fourth quarter of 2025, which are delivered in Q1. Pricing for the second quarter forward now includes the tariffs at retail and wholesale.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some point, we believe that the housing market will rebound and drive demand more in line with historical experience. With that in mind, we are making measured cash investments to grow our business. We are committed to our omni-channel model as e-commerce sales increased by 28% in the quarter. The new Cincinnati store is under construction and we will begin work on our new Orlando location in early April. This fall, we will move into a new showroom location in High Point and extensive renovations are already taking place to that space. As we invest, we strive to seek the proper balance between investment in future top line expansion and managing ongoing expenses. Accordingly, our efforts to identify ways to leverage operating expenses are ongoing. Several initiatives are underway that are expected to save an additional $1.5 to $2.0 million annually beginning late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Conference Call and Webcast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hold a conference call to discuss its quarterly results on April 2, 2026, at 9:00 am ET. The public is invited to listen to the conference call by webcast, accessible through the Company’s investor relations website, https://investors.bassettfurniture.com/. Participants can also listen to the conference call via https://edge.media-server.com/mmc/p/fpr54xoc. A replay and transcript of the conference call will be available on demand on the investor relations 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provider of high-quality home furnishings with a wide range of distribution types. Bassett sales approximately 60% of its products through its network of 86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first fiscal quarter of 2026,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07"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257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February 28, 2026</w:t>
      </w:r>
    </w:p>
    <w:p>
      <w:pPr>
        <w:spacing w:after="0" w:line="23" w:lineRule="exact"/>
        <w:rPr>
          <w:sz w:val="20"/>
          <w:szCs w:val="20"/>
          <w:color w:val="auto"/>
        </w:rPr>
      </w:pPr>
    </w:p>
    <w:tbl>
      <w:tblPr>
        <w:tblLayout w:type="fixed"/>
        <w:tblInd w:w="5940" w:type="dxa"/>
        <w:tblCellMar>
          <w:top w:w="0" w:type="dxa"/>
          <w:left w:w="0" w:type="dxa"/>
          <w:bottom w:w="0" w:type="dxa"/>
          <w:right w:w="0" w:type="dxa"/>
        </w:tblCellMar>
      </w:tblPr>
      <w:tr>
        <w:trPr>
          <w:trHeight w:val="191"/>
        </w:trPr>
        <w:tc>
          <w:tcPr>
            <w:tcW w:w="1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Net Sales</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March 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Net Sales</w:t>
            </w:r>
          </w:p>
        </w:tc>
      </w:tr>
    </w:tbl>
    <w:p>
      <w:pPr>
        <w:spacing w:after="0" w:line="200" w:lineRule="exact"/>
        <w:rPr>
          <w:sz w:val="20"/>
          <w:szCs w:val="20"/>
          <w:color w:val="auto"/>
        </w:rPr>
      </w:pPr>
    </w:p>
    <w:p>
      <w:pPr>
        <w:sectPr>
          <w:pgSz w:w="11900" w:h="16838" w:orient="portrait"/>
          <w:cols w:equalWidth="0" w:num="2">
            <w:col w:w="8380" w:space="260"/>
            <w:col w:w="2600"/>
          </w:cols>
          <w:pgMar w:left="320" w:top="57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80,340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82,162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35,175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35,332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45,165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46,830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5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43,913</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54.7%</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44,375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New store preopening costs</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1,157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2,455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553</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1,518</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2,555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402</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701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1,116</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1,854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0.13</w:t>
            </w: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0.21</w:t>
            </w: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555"/>
        </w:trPr>
        <w:tc>
          <w:tcPr>
            <w:tcW w:w="59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(Unaudited)</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February 28, 2026</w:t>
            </w: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November 29, 2025</w:t>
            </w:r>
          </w:p>
        </w:tc>
      </w:tr>
      <w:tr>
        <w:trPr>
          <w:trHeight w:val="169"/>
        </w:trPr>
        <w:tc>
          <w:tcPr>
            <w:tcW w:w="572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32,989</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41,277</w:t>
            </w:r>
          </w:p>
        </w:tc>
      </w:tr>
      <w:tr>
        <w:trPr>
          <w:trHeight w:val="216"/>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17,963</w:t>
            </w:r>
          </w:p>
        </w:tc>
        <w:tc>
          <w:tcPr>
            <w:tcW w:w="5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17,963</w:t>
            </w: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14,662</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14,410</w:t>
            </w:r>
          </w:p>
        </w:tc>
      </w:tr>
      <w:tr>
        <w:trPr>
          <w:trHeight w:val="216"/>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65,666</w:t>
            </w:r>
          </w:p>
        </w:tc>
        <w:tc>
          <w:tcPr>
            <w:tcW w:w="5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61,790</w:t>
            </w: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627</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shd w:val="clear" w:color="auto" w:fill="CCEEFF"/>
          </w:tcPr>
          <w:p>
            <w:pPr>
              <w:spacing w:after="0"/>
              <w:rPr>
                <w:sz w:val="18"/>
                <w:szCs w:val="18"/>
                <w:color w:val="auto"/>
              </w:rPr>
            </w:pPr>
          </w:p>
        </w:tc>
      </w:tr>
      <w:tr>
        <w:trPr>
          <w:trHeight w:val="230"/>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8,117</w:t>
            </w:r>
          </w:p>
        </w:tc>
        <w:tc>
          <w:tcPr>
            <w:tcW w:w="5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7,224</w:t>
            </w:r>
          </w:p>
        </w:tc>
        <w:tc>
          <w:tcPr>
            <w:tcW w:w="80" w:type="dxa"/>
            <w:vAlign w:val="bottom"/>
          </w:tcPr>
          <w:p>
            <w:pPr>
              <w:spacing w:after="0"/>
              <w:rPr>
                <w:sz w:val="19"/>
                <w:szCs w:val="19"/>
                <w:color w:val="auto"/>
              </w:rPr>
            </w:pPr>
          </w:p>
        </w:tc>
      </w:tr>
      <w:tr>
        <w:trPr>
          <w:trHeight w:val="209"/>
        </w:trPr>
        <w:tc>
          <w:tcPr>
            <w:tcW w:w="57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140,024</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72,215</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73,175</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6,049</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5,979</w:t>
            </w:r>
          </w:p>
        </w:tc>
        <w:tc>
          <w:tcPr>
            <w:tcW w:w="80" w:type="dxa"/>
            <w:vAlign w:val="bottom"/>
          </w:tcPr>
          <w:p>
            <w:pPr>
              <w:spacing w:after="0"/>
              <w:rPr>
                <w:sz w:val="18"/>
                <w:szCs w:val="18"/>
                <w:color w:val="auto"/>
              </w:rPr>
            </w:pP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7,217</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7,217</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6,896</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6,910</w:t>
            </w:r>
          </w:p>
        </w:tc>
        <w:tc>
          <w:tcPr>
            <w:tcW w:w="80" w:type="dxa"/>
            <w:vAlign w:val="bottom"/>
          </w:tcPr>
          <w:p>
            <w:pPr>
              <w:spacing w:after="0"/>
              <w:rPr>
                <w:sz w:val="18"/>
                <w:szCs w:val="18"/>
                <w:color w:val="auto"/>
              </w:rPr>
            </w:pP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75,230</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76,727</w:t>
            </w:r>
          </w:p>
        </w:tc>
      </w:tr>
      <w:tr>
        <w:trPr>
          <w:trHeight w:val="229"/>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8,523</w:t>
            </w:r>
          </w:p>
        </w:tc>
        <w:tc>
          <w:tcPr>
            <w:tcW w:w="5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8,269</w:t>
            </w:r>
          </w:p>
        </w:tc>
        <w:tc>
          <w:tcPr>
            <w:tcW w:w="80" w:type="dxa"/>
            <w:vAlign w:val="bottom"/>
          </w:tcPr>
          <w:p>
            <w:pPr>
              <w:spacing w:after="0"/>
              <w:rPr>
                <w:sz w:val="19"/>
                <w:szCs w:val="19"/>
                <w:color w:val="auto"/>
              </w:rPr>
            </w:pPr>
          </w:p>
        </w:tc>
      </w:tr>
      <w:tr>
        <w:trPr>
          <w:trHeight w:val="209"/>
        </w:trPr>
        <w:tc>
          <w:tcPr>
            <w:tcW w:w="57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316,154</w:t>
            </w:r>
          </w:p>
        </w:tc>
        <w:tc>
          <w:tcPr>
            <w:tcW w:w="2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57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14,812</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14,739</w:t>
            </w: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6,857</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10,227</w:t>
            </w:r>
          </w:p>
        </w:tc>
      </w:tr>
      <w:tr>
        <w:trPr>
          <w:trHeight w:val="216"/>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24,745</w:t>
            </w:r>
          </w:p>
        </w:tc>
        <w:tc>
          <w:tcPr>
            <w:tcW w:w="5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24,969</w:t>
            </w: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17,671</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19,299</w:t>
            </w:r>
          </w:p>
        </w:tc>
      </w:tr>
      <w:tr>
        <w:trPr>
          <w:trHeight w:val="229"/>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7,738</w:t>
            </w:r>
          </w:p>
        </w:tc>
        <w:tc>
          <w:tcPr>
            <w:tcW w:w="5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7,750</w:t>
            </w:r>
          </w:p>
        </w:tc>
        <w:tc>
          <w:tcPr>
            <w:tcW w:w="80" w:type="dxa"/>
            <w:vAlign w:val="bottom"/>
          </w:tcPr>
          <w:p>
            <w:pPr>
              <w:spacing w:after="0"/>
              <w:rPr>
                <w:sz w:val="19"/>
                <w:szCs w:val="19"/>
                <w:color w:val="auto"/>
              </w:rPr>
            </w:pPr>
          </w:p>
        </w:tc>
      </w:tr>
      <w:tr>
        <w:trPr>
          <w:trHeight w:val="210"/>
        </w:trPr>
        <w:tc>
          <w:tcPr>
            <w:tcW w:w="57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71,823</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76,984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11,629</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11,379</w:t>
            </w:r>
          </w:p>
        </w:tc>
        <w:tc>
          <w:tcPr>
            <w:tcW w:w="80" w:type="dxa"/>
            <w:vAlign w:val="bottom"/>
          </w:tcPr>
          <w:p>
            <w:pPr>
              <w:spacing w:after="0"/>
              <w:rPr>
                <w:sz w:val="18"/>
                <w:szCs w:val="18"/>
                <w:color w:val="auto"/>
              </w:rPr>
            </w:pP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67,365</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69,353</w:t>
            </w:r>
          </w:p>
        </w:tc>
      </w:tr>
      <w:tr>
        <w:trPr>
          <w:trHeight w:val="230"/>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891</w:t>
            </w:r>
          </w:p>
        </w:tc>
        <w:tc>
          <w:tcPr>
            <w:tcW w:w="54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r>
      <w:tr>
        <w:trPr>
          <w:trHeight w:val="209"/>
        </w:trPr>
        <w:tc>
          <w:tcPr>
            <w:tcW w:w="57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43,249</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43,256</w:t>
            </w:r>
          </w:p>
        </w:tc>
      </w:tr>
      <w:tr>
        <w:trPr>
          <w:trHeight w:val="216"/>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120,484</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121,128</w:t>
            </w:r>
          </w:p>
        </w:tc>
        <w:tc>
          <w:tcPr>
            <w:tcW w:w="80" w:type="dxa"/>
            <w:vAlign w:val="bottom"/>
          </w:tcPr>
          <w:p>
            <w:pPr>
              <w:spacing w:after="0"/>
              <w:rPr>
                <w:sz w:val="18"/>
                <w:szCs w:val="18"/>
                <w:color w:val="auto"/>
              </w:rPr>
            </w:pPr>
          </w:p>
        </w:tc>
      </w:tr>
      <w:tr>
        <w:trPr>
          <w:trHeight w:val="216"/>
        </w:trPr>
        <w:tc>
          <w:tcPr>
            <w:tcW w:w="5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w:t>
            </w:r>
          </w:p>
        </w:tc>
        <w:tc>
          <w:tcPr>
            <w:tcW w:w="54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r>
      <w:tr>
        <w:trPr>
          <w:trHeight w:val="210"/>
        </w:trPr>
        <w:tc>
          <w:tcPr>
            <w:tcW w:w="57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164,446</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316,154</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55"/>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5"/>
          </w:tcPr>
          <w:p>
            <w:pPr>
              <w:jc w:val="right"/>
              <w:ind w:right="941"/>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7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99"/>
              </w:rPr>
              <w:t>February 28, 2026</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March 1, 2025</w:t>
            </w:r>
          </w:p>
        </w:tc>
        <w:tc>
          <w:tcPr>
            <w:tcW w:w="100" w:type="dxa"/>
            <w:vAlign w:val="bottom"/>
          </w:tcPr>
          <w:p>
            <w:pPr>
              <w:spacing w:after="0"/>
              <w:rPr>
                <w:sz w:val="19"/>
                <w:szCs w:val="19"/>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1,854</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2,236</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2,246</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7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(3,876)</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16"/>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1,358</w:t>
            </w: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7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4,208</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4,211</w:t>
            </w:r>
          </w:p>
        </w:tc>
      </w:tr>
      <w:tr>
        <w:trPr>
          <w:trHeight w:val="216"/>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7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(3,756)</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709</w:t>
            </w:r>
          </w:p>
        </w:tc>
      </w:tr>
      <w:tr>
        <w:trPr>
          <w:trHeight w:val="229"/>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(6,327)</w:t>
            </w:r>
          </w:p>
        </w:tc>
        <w:tc>
          <w:tcPr>
            <w:tcW w:w="1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09"/>
        </w:trPr>
        <w:tc>
          <w:tcPr>
            <w:tcW w:w="71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2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(863)</w:t>
            </w: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7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6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7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6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2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41,277</w:t>
            </w:r>
          </w:p>
        </w:tc>
        <w:tc>
          <w:tcPr>
            <w:tcW w:w="18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39,551</w:t>
            </w:r>
          </w:p>
        </w:tc>
      </w:tr>
      <w:tr>
        <w:trPr>
          <w:trHeight w:val="223"/>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7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6"/>
          </w:tcPr>
          <w:p>
            <w:pPr>
              <w:jc w:val="right"/>
              <w:ind w:right="1260"/>
              <w:spacing w:after="0"/>
              <w:rPr>
                <w:sz w:val="20"/>
                <w:szCs w:val="20"/>
                <w:color w:val="auto"/>
              </w:rPr>
            </w:pPr>
            <w:r>
              <w:rPr>
                <w:rFonts w:ascii="Times New Roman" w:cs="Times New Roman" w:eastAsia="Times New Roman" w:hAnsi="Times New Roman"/>
                <w:sz w:val="18"/>
                <w:szCs w:val="18"/>
                <w:color w:val="auto"/>
              </w:rPr>
              <w:t>Quarter Ended</w:t>
            </w:r>
          </w:p>
        </w:tc>
      </w:tr>
      <w:tr>
        <w:trPr>
          <w:trHeight w:val="223"/>
        </w:trPr>
        <w:tc>
          <w:tcPr>
            <w:tcW w:w="5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February 28, 2026</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March 1, 2025</w:t>
            </w:r>
          </w:p>
        </w:tc>
        <w:tc>
          <w:tcPr>
            <w:tcW w:w="100" w:type="dxa"/>
            <w:vAlign w:val="bottom"/>
            <w:gridSpan w:val="2"/>
          </w:tcPr>
          <w:p>
            <w:pPr>
              <w:spacing w:after="0"/>
              <w:rPr>
                <w:sz w:val="19"/>
                <w:szCs w:val="19"/>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2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52,927</w:t>
            </w:r>
          </w:p>
        </w:tc>
      </w:tr>
      <w:tr>
        <w:trPr>
          <w:trHeight w:val="22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(25,166)</w:t>
            </w: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(24,059)</w:t>
            </w:r>
          </w:p>
        </w:tc>
      </w:tr>
      <w:tr>
        <w:trPr>
          <w:trHeight w:val="210"/>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2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27,795</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100" w:type="dxa"/>
            <w:vAlign w:val="bottom"/>
            <w:gridSpan w:val="2"/>
          </w:tcPr>
          <w:p>
            <w:pPr>
              <w:spacing w:after="0"/>
              <w:rPr>
                <w:sz w:val="18"/>
                <w:szCs w:val="18"/>
                <w:color w:val="auto"/>
              </w:rPr>
            </w:pPr>
          </w:p>
        </w:tc>
      </w:tr>
      <w:tr>
        <w:trPr>
          <w:trHeight w:val="22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52,545</w:t>
            </w: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53,294</w:t>
            </w:r>
          </w:p>
        </w:tc>
      </w:tr>
      <w:tr>
        <w:trPr>
          <w:trHeight w:val="263"/>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2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82,162</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5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8,685</w:t>
            </w: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(1,034)</w:t>
            </w:r>
          </w:p>
        </w:tc>
        <w:tc>
          <w:tcPr>
            <w:tcW w:w="18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5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6"/>
                <w:szCs w:val="26"/>
                <w:color w:val="auto"/>
                <w:vertAlign w:val="superscript"/>
              </w:rPr>
              <w:t>(1)</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(6,118)</w:t>
            </w: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(6,226)</w:t>
            </w:r>
          </w:p>
        </w:tc>
      </w:tr>
      <w:tr>
        <w:trPr>
          <w:trHeight w:val="209"/>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2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 net</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Corporate and Other includes the shared Corporate costs that are benefiting both the Wholesale and Retail segments.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2026-04-01T15:49:08Z</dcterms:created>
  <dcterms:modified xsi:type="dcterms:W3CDTF">2026-04-01T15:49:08Z</dcterms:modified>
</cp:coreProperties>
</file>