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13"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0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184785</wp:posOffset>
            </wp:positionV>
            <wp:extent cx="17830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33"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31"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April 2,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328295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28"/>
          <w:szCs w:val="28"/>
          <w:b w:val="1"/>
          <w:bCs w:val="1"/>
          <w:color w:val="auto"/>
        </w:rPr>
        <w:t>BASSETT FURNITURE INDUSTRIES, INCORPORATED</w:t>
      </w:r>
    </w:p>
    <w:p>
      <w:pPr>
        <w:spacing w:after="0" w:line="55"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ectPr>
          <w:pgSz w:w="11900" w:h="16838" w:orient="portrait"/>
          <w:cols w:equalWidth="0" w:num="1">
            <w:col w:w="11080"/>
          </w:cols>
          <w:pgMar w:left="320" w:top="216" w:right="499" w:bottom="1440" w:gutter="0" w:footer="0" w:header="0"/>
        </w:sectPr>
      </w:pPr>
    </w:p>
    <w:p>
      <w:pPr>
        <w:spacing w:after="0" w:line="200" w:lineRule="exact"/>
        <w:rPr>
          <w:sz w:val="24"/>
          <w:szCs w:val="24"/>
          <w:color w:val="auto"/>
        </w:rPr>
      </w:pPr>
    </w:p>
    <w:p>
      <w:pPr>
        <w:spacing w:after="0" w:line="339"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8"/>
          <w:szCs w:val="18"/>
          <w:b w:val="1"/>
          <w:bCs w:val="1"/>
          <w:color w:val="auto"/>
        </w:rPr>
        <w:t>Virginia</w:t>
      </w:r>
    </w:p>
    <w:p>
      <w:pPr>
        <w:spacing w:after="0" w:line="31" w:lineRule="exact"/>
        <w:rPr>
          <w:sz w:val="24"/>
          <w:szCs w:val="24"/>
          <w:color w:val="auto"/>
        </w:rPr>
      </w:pPr>
    </w:p>
    <w:p>
      <w:pPr>
        <w:ind w:left="680"/>
        <w:spacing w:after="0"/>
        <w:rPr>
          <w:sz w:val="20"/>
          <w:szCs w:val="20"/>
          <w:color w:val="auto"/>
        </w:rPr>
      </w:pPr>
      <w:r>
        <w:rPr>
          <w:rFonts w:ascii="Times New Roman" w:cs="Times New Roman" w:eastAsia="Times New Roman" w:hAnsi="Times New Roman"/>
          <w:sz w:val="18"/>
          <w:szCs w:val="18"/>
          <w:b w:val="1"/>
          <w:bCs w:val="1"/>
          <w:color w:val="auto"/>
        </w:rPr>
        <w:t>(State or other jurisdiction of</w:t>
      </w:r>
    </w:p>
    <w:p>
      <w:pPr>
        <w:spacing w:after="0" w:line="9" w:lineRule="exact"/>
        <w:rPr>
          <w:sz w:val="24"/>
          <w:szCs w:val="24"/>
          <w:color w:val="auto"/>
        </w:rPr>
      </w:pPr>
    </w:p>
    <w:p>
      <w:pPr>
        <w:ind w:left="640"/>
        <w:spacing w:after="0"/>
        <w:rPr>
          <w:sz w:val="20"/>
          <w:szCs w:val="20"/>
          <w:color w:val="auto"/>
        </w:rPr>
      </w:pPr>
      <w:r>
        <w:rPr>
          <w:rFonts w:ascii="Times New Roman" w:cs="Times New Roman" w:eastAsia="Times New Roman" w:hAnsi="Times New Roman"/>
          <w:sz w:val="17"/>
          <w:szCs w:val="17"/>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19" w:lineRule="exact"/>
        <w:rPr>
          <w:sz w:val="24"/>
          <w:szCs w:val="24"/>
          <w:color w:val="auto"/>
        </w:rPr>
      </w:pPr>
    </w:p>
    <w:p>
      <w:pPr>
        <w:jc w:val="center"/>
        <w:ind w:right="1520"/>
        <w:spacing w:after="0"/>
        <w:rPr>
          <w:sz w:val="20"/>
          <w:szCs w:val="20"/>
          <w:color w:val="auto"/>
        </w:rPr>
      </w:pPr>
      <w:r>
        <w:rPr>
          <w:rFonts w:ascii="Times New Roman" w:cs="Times New Roman" w:eastAsia="Times New Roman" w:hAnsi="Times New Roman"/>
          <w:sz w:val="18"/>
          <w:szCs w:val="18"/>
          <w:b w:val="1"/>
          <w:bCs w:val="1"/>
          <w:color w:val="auto"/>
        </w:rPr>
        <w:t>000-00209</w:t>
      </w:r>
    </w:p>
    <w:p>
      <w:pPr>
        <w:spacing w:after="0" w:line="31" w:lineRule="exact"/>
        <w:rPr>
          <w:sz w:val="24"/>
          <w:szCs w:val="24"/>
          <w:color w:val="auto"/>
        </w:rPr>
      </w:pPr>
    </w:p>
    <w:p>
      <w:pPr>
        <w:jc w:val="center"/>
        <w:ind w:right="1520"/>
        <w:spacing w:after="0"/>
        <w:rPr>
          <w:sz w:val="20"/>
          <w:szCs w:val="20"/>
          <w:color w:val="auto"/>
        </w:rPr>
      </w:pPr>
      <w:r>
        <w:rPr>
          <w:rFonts w:ascii="Times New Roman" w:cs="Times New Roman" w:eastAsia="Times New Roman" w:hAnsi="Times New Roman"/>
          <w:sz w:val="18"/>
          <w:szCs w:val="18"/>
          <w:b w:val="1"/>
          <w:bCs w:val="1"/>
          <w:color w:val="auto"/>
        </w:rPr>
        <w:t>(Commission File No.)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19" w:lineRule="exact"/>
        <w:rPr>
          <w:sz w:val="24"/>
          <w:szCs w:val="24"/>
          <w:color w:val="auto"/>
        </w:rPr>
      </w:pPr>
    </w:p>
    <w:p>
      <w:pPr>
        <w:jc w:val="center"/>
        <w:ind w:right="940"/>
        <w:spacing w:after="0"/>
        <w:rPr>
          <w:sz w:val="20"/>
          <w:szCs w:val="20"/>
          <w:color w:val="auto"/>
        </w:rPr>
      </w:pPr>
      <w:r>
        <w:rPr>
          <w:rFonts w:ascii="Times New Roman" w:cs="Times New Roman" w:eastAsia="Times New Roman" w:hAnsi="Times New Roman"/>
          <w:sz w:val="18"/>
          <w:szCs w:val="18"/>
          <w:b w:val="1"/>
          <w:bCs w:val="1"/>
          <w:color w:val="auto"/>
        </w:rPr>
        <w:t>54-0135270</w:t>
      </w:r>
    </w:p>
    <w:p>
      <w:pPr>
        <w:spacing w:after="0" w:line="31" w:lineRule="exact"/>
        <w:rPr>
          <w:sz w:val="24"/>
          <w:szCs w:val="24"/>
          <w:color w:val="auto"/>
        </w:rPr>
      </w:pPr>
    </w:p>
    <w:p>
      <w:pPr>
        <w:jc w:val="center"/>
        <w:ind w:right="940"/>
        <w:spacing w:after="0"/>
        <w:rPr>
          <w:sz w:val="20"/>
          <w:szCs w:val="20"/>
          <w:color w:val="auto"/>
        </w:rPr>
      </w:pPr>
      <w:r>
        <w:rPr>
          <w:rFonts w:ascii="Times New Roman" w:cs="Times New Roman" w:eastAsia="Times New Roman" w:hAnsi="Times New Roman"/>
          <w:sz w:val="18"/>
          <w:szCs w:val="18"/>
          <w:b w:val="1"/>
          <w:bCs w:val="1"/>
          <w:color w:val="auto"/>
        </w:rPr>
        <w:t>(I.R.S. Employer</w:t>
      </w:r>
    </w:p>
    <w:p>
      <w:pPr>
        <w:spacing w:after="0" w:line="9" w:lineRule="exact"/>
        <w:rPr>
          <w:sz w:val="24"/>
          <w:szCs w:val="24"/>
          <w:color w:val="auto"/>
        </w:rPr>
      </w:pPr>
    </w:p>
    <w:p>
      <w:pPr>
        <w:jc w:val="center"/>
        <w:ind w:right="940"/>
        <w:spacing w:after="0"/>
        <w:rPr>
          <w:sz w:val="20"/>
          <w:szCs w:val="20"/>
          <w:color w:val="auto"/>
        </w:rPr>
      </w:pPr>
      <w:r>
        <w:rPr>
          <w:rFonts w:ascii="Times New Roman" w:cs="Times New Roman" w:eastAsia="Times New Roman" w:hAnsi="Times New Roman"/>
          <w:sz w:val="17"/>
          <w:szCs w:val="17"/>
          <w:b w:val="1"/>
          <w:bCs w:val="1"/>
          <w:color w:val="auto"/>
        </w:rPr>
        <w:t>Identification No.)</w:t>
      </w:r>
    </w:p>
    <w:p>
      <w:pPr>
        <w:spacing w:after="0" w:line="200" w:lineRule="exact"/>
        <w:rPr>
          <w:sz w:val="24"/>
          <w:szCs w:val="24"/>
          <w:color w:val="auto"/>
        </w:rPr>
      </w:pPr>
    </w:p>
    <w:p>
      <w:pPr>
        <w:sectPr>
          <w:pgSz w:w="11900" w:h="16838" w:orient="portrait"/>
          <w:cols w:equalWidth="0" w:num="3">
            <w:col w:w="4060" w:space="720"/>
            <w:col w:w="3240" w:space="720"/>
            <w:col w:w="2340"/>
          </w:cols>
          <w:pgMar w:left="320" w:top="216" w:right="499" w:bottom="1440" w:gutter="0" w:footer="0" w:header="0"/>
          <w:type w:val="continuous"/>
        </w:sectPr>
      </w:pPr>
    </w:p>
    <w:p>
      <w:pPr>
        <w:spacing w:after="0" w:line="1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3525 Fairystone Park Highway</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Bassett, Virginia</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10" w:lineRule="exact"/>
        <w:rPr>
          <w:sz w:val="24"/>
          <w:szCs w:val="24"/>
          <w:color w:val="auto"/>
        </w:rPr>
      </w:pPr>
    </w:p>
    <w:p>
      <w:pPr>
        <w:jc w:val="center"/>
        <w:ind w:right="2760"/>
        <w:spacing w:after="0"/>
        <w:rPr>
          <w:sz w:val="20"/>
          <w:szCs w:val="20"/>
          <w:color w:val="auto"/>
        </w:rPr>
      </w:pPr>
      <w:r>
        <w:rPr>
          <w:rFonts w:ascii="Times New Roman" w:cs="Times New Roman" w:eastAsia="Times New Roman" w:hAnsi="Times New Roman"/>
          <w:sz w:val="18"/>
          <w:szCs w:val="18"/>
          <w:b w:val="1"/>
          <w:bCs w:val="1"/>
          <w:color w:val="auto"/>
        </w:rPr>
        <w:t>24055</w:t>
      </w:r>
    </w:p>
    <w:p>
      <w:pPr>
        <w:spacing w:after="0" w:line="31" w:lineRule="exact"/>
        <w:rPr>
          <w:sz w:val="24"/>
          <w:szCs w:val="24"/>
          <w:color w:val="auto"/>
        </w:rPr>
      </w:pPr>
    </w:p>
    <w:p>
      <w:pPr>
        <w:jc w:val="center"/>
        <w:ind w:right="2760"/>
        <w:spacing w:after="0"/>
        <w:rPr>
          <w:sz w:val="20"/>
          <w:szCs w:val="20"/>
          <w:color w:val="auto"/>
        </w:rPr>
      </w:pPr>
      <w:r>
        <w:rPr>
          <w:rFonts w:ascii="Times New Roman" w:cs="Times New Roman" w:eastAsia="Times New Roman" w:hAnsi="Times New Roman"/>
          <w:sz w:val="18"/>
          <w:szCs w:val="18"/>
          <w:b w:val="1"/>
          <w:bCs w:val="1"/>
          <w:color w:val="auto"/>
        </w:rPr>
        <w:t>(Zip Code)</w:t>
      </w:r>
    </w:p>
    <w:p>
      <w:pPr>
        <w:spacing w:after="0" w:line="200" w:lineRule="exact"/>
        <w:rPr>
          <w:sz w:val="24"/>
          <w:szCs w:val="24"/>
          <w:color w:val="auto"/>
        </w:rPr>
      </w:pPr>
    </w:p>
    <w:p>
      <w:pPr>
        <w:sectPr>
          <w:pgSz w:w="11900" w:h="16838" w:orient="portrait"/>
          <w:cols w:equalWidth="0" w:num="2">
            <w:col w:w="6760" w:space="720"/>
            <w:col w:w="3600"/>
          </w:cols>
          <w:pgMar w:left="320" w:top="216" w:right="499" w:bottom="1440" w:gutter="0" w:footer="0" w:header="0"/>
          <w:type w:val="continuous"/>
        </w:sectPr>
      </w:pPr>
    </w:p>
    <w:p>
      <w:pPr>
        <w:spacing w:after="0" w:line="3"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Registrant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telephone number, including area code (276) 629-6000</w:t>
      </w:r>
    </w:p>
    <w:p>
      <w:pPr>
        <w:spacing w:after="0" w:line="225"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29"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600" w:firstLine="8"/>
        <w:spacing w:after="0" w:line="500" w:lineRule="auto"/>
        <w:tabs>
          <w:tab w:leader="none" w:pos="43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2" w:lineRule="exact"/>
        <w:rPr>
          <w:sz w:val="24"/>
          <w:szCs w:val="24"/>
          <w:color w:val="auto"/>
        </w:rPr>
      </w:pPr>
    </w:p>
    <w:tbl>
      <w:tblPr>
        <w:tblLayout w:type="fixed"/>
        <w:tblInd w:w="760" w:type="dxa"/>
        <w:tblCellMar>
          <w:top w:w="0" w:type="dxa"/>
          <w:left w:w="0" w:type="dxa"/>
          <w:bottom w:w="0" w:type="dxa"/>
          <w:right w:w="0" w:type="dxa"/>
        </w:tblCellMar>
      </w:tblPr>
      <w:tr>
        <w:trPr>
          <w:trHeight w:val="234"/>
        </w:trPr>
        <w:tc>
          <w:tcPr>
            <w:tcW w:w="3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300" w:type="dxa"/>
            <w:vAlign w:val="bottom"/>
          </w:tcPr>
          <w:p>
            <w:pPr>
              <w:spacing w:after="0"/>
              <w:rPr>
                <w:sz w:val="20"/>
                <w:szCs w:val="20"/>
                <w:color w:val="auto"/>
              </w:rPr>
            </w:pPr>
          </w:p>
        </w:tc>
        <w:tc>
          <w:tcPr>
            <w:tcW w:w="3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Trading Symbol</w:t>
            </w:r>
          </w:p>
        </w:tc>
        <w:tc>
          <w:tcPr>
            <w:tcW w:w="300" w:type="dxa"/>
            <w:vAlign w:val="bottom"/>
          </w:tcPr>
          <w:p>
            <w:pPr>
              <w:spacing w:after="0"/>
              <w:rPr>
                <w:sz w:val="20"/>
                <w:szCs w:val="20"/>
                <w:color w:val="auto"/>
              </w:rPr>
            </w:pPr>
          </w:p>
        </w:tc>
        <w:tc>
          <w:tcPr>
            <w:tcW w:w="3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exchange on which registered</w:t>
            </w:r>
          </w:p>
        </w:tc>
      </w:tr>
      <w:tr>
        <w:trPr>
          <w:trHeight w:val="228"/>
        </w:trPr>
        <w:tc>
          <w:tcPr>
            <w:tcW w:w="3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($5.00 par value)</w:t>
            </w:r>
          </w:p>
        </w:tc>
        <w:tc>
          <w:tcPr>
            <w:tcW w:w="300" w:type="dxa"/>
            <w:vAlign w:val="bottom"/>
          </w:tcPr>
          <w:p>
            <w:pPr>
              <w:spacing w:after="0"/>
              <w:rPr>
                <w:sz w:val="19"/>
                <w:szCs w:val="19"/>
                <w:color w:val="auto"/>
              </w:rPr>
            </w:pPr>
          </w:p>
        </w:tc>
        <w:tc>
          <w:tcPr>
            <w:tcW w:w="3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BSET</w:t>
            </w:r>
          </w:p>
        </w:tc>
        <w:tc>
          <w:tcPr>
            <w:tcW w:w="300" w:type="dxa"/>
            <w:vAlign w:val="bottom"/>
          </w:tcPr>
          <w:p>
            <w:pPr>
              <w:spacing w:after="0"/>
              <w:rPr>
                <w:sz w:val="19"/>
                <w:szCs w:val="19"/>
                <w:color w:val="auto"/>
              </w:rPr>
            </w:pPr>
          </w:p>
        </w:tc>
        <w:tc>
          <w:tcPr>
            <w:tcW w:w="3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NASDAQ</w:t>
            </w:r>
          </w:p>
        </w:tc>
      </w:tr>
    </w:tbl>
    <w:p>
      <w:pPr>
        <w:spacing w:after="0" w:line="179" w:lineRule="exact"/>
        <w:rPr>
          <w:sz w:val="24"/>
          <w:szCs w:val="24"/>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or Rule 12b-2 of the Securities Exchange Act of 1934.</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216" w:right="499" w:bottom="1440" w:gutter="0" w:footer="0" w:header="0"/>
          <w:type w:val="continuous"/>
        </w:sectPr>
      </w:pPr>
    </w:p>
    <w:bookmarkStart w:id="1" w:name="page2"/>
    <w:bookmarkEnd w:id="1"/>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April 2, 2025, Bassett Furniture Industries issued a news release relating to the first quarter financial results for the fiscal year ending November 29, 2025. A copy of the news release announcing this information is attached to this report as Exhibit 99.1.</w:t>
      </w:r>
    </w:p>
    <w:p>
      <w:pPr>
        <w:spacing w:after="0" w:line="200" w:lineRule="exact"/>
        <w:rPr>
          <w:sz w:val="20"/>
          <w:szCs w:val="20"/>
          <w:color w:val="auto"/>
        </w:rPr>
      </w:pPr>
    </w:p>
    <w:p>
      <w:pPr>
        <w:spacing w:after="0" w:line="20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5" w:lineRule="exact"/>
        <w:rPr>
          <w:sz w:val="20"/>
          <w:szCs w:val="20"/>
          <w:color w:val="auto"/>
        </w:rPr>
      </w:pPr>
    </w:p>
    <w:p>
      <w:pPr>
        <w:ind w:left="660" w:hanging="652"/>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News release issued by Bassett Furniture Industries, Inc. on April 2, 2025.</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40"/>
          </w:cols>
          <w:pgMar w:left="320" w:top="576" w:right="639" w:bottom="1440" w:gutter="0" w:footer="0" w:header="0"/>
        </w:sectPr>
      </w:pPr>
    </w:p>
    <w:bookmarkStart w:id="2" w:name="page3"/>
    <w:bookmarkEnd w:id="2"/>
    <w:p>
      <w:pPr>
        <w:jc w:val="center"/>
        <w:ind w:right="-319"/>
        <w:spacing w:after="0"/>
        <w:rPr>
          <w:sz w:val="20"/>
          <w:szCs w:val="20"/>
          <w:color w:val="auto"/>
        </w:rPr>
      </w:pPr>
      <w:r>
        <w:rPr>
          <w:rFonts w:ascii="Times New Roman" w:cs="Times New Roman" w:eastAsia="Times New Roman" w:hAnsi="Times New Roman"/>
          <w:sz w:val="18"/>
          <w:szCs w:val="18"/>
          <w:color w:val="auto"/>
        </w:rPr>
        <w:t>Signatures</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April 2, 2025</w:t>
            </w:r>
          </w:p>
        </w:tc>
        <w:tc>
          <w:tcPr>
            <w:tcW w:w="6940" w:type="dxa"/>
            <w:vAlign w:val="bottom"/>
            <w:gridSpan w:val="2"/>
          </w:tcPr>
          <w:p>
            <w:pPr>
              <w:ind w:left="2320"/>
              <w:spacing w:after="0"/>
              <w:rPr>
                <w:sz w:val="20"/>
                <w:szCs w:val="20"/>
                <w:color w:val="auto"/>
              </w:rPr>
            </w:pPr>
            <w:r>
              <w:rPr>
                <w:rFonts w:ascii="Times New Roman" w:cs="Times New Roman" w:eastAsia="Times New Roman" w:hAnsi="Times New Roman"/>
                <w:sz w:val="18"/>
                <w:szCs w:val="18"/>
                <w:color w:val="auto"/>
              </w:rPr>
              <w:t>By: /s/ J. Michael Daniel</w:t>
            </w:r>
          </w:p>
        </w:tc>
      </w:tr>
      <w:tr>
        <w:trPr>
          <w:trHeight w:val="191"/>
        </w:trPr>
        <w:tc>
          <w:tcPr>
            <w:tcW w:w="328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43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J. Michael Daniel</w:t>
            </w:r>
          </w:p>
        </w:tc>
      </w:tr>
      <w:tr>
        <w:trPr>
          <w:trHeight w:val="216"/>
        </w:trPr>
        <w:tc>
          <w:tcPr>
            <w:tcW w:w="328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Title:Senior Vice President – Chief Financial &amp;</w:t>
            </w:r>
          </w:p>
        </w:tc>
      </w:tr>
      <w:tr>
        <w:trPr>
          <w:trHeight w:val="234"/>
        </w:trPr>
        <w:tc>
          <w:tcPr>
            <w:tcW w:w="328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43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Administrative Officer</w:t>
            </w:r>
          </w:p>
        </w:tc>
      </w:tr>
    </w:tbl>
    <w:p>
      <w:pPr>
        <w:sectPr>
          <w:pgSz w:w="11900" w:h="16838" w:orient="portrait"/>
          <w:cols w:equalWidth="0" w:num="1">
            <w:col w:w="10920"/>
          </w:cols>
          <w:pgMar w:left="320" w:top="580" w:right="6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Exhibit 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1208405" cy="4889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08405" cy="488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780" w:type="dxa"/>
            <w:vAlign w:val="bottom"/>
          </w:tcPr>
          <w:p>
            <w:pPr>
              <w:spacing w:after="0"/>
              <w:rPr>
                <w:sz w:val="18"/>
                <w:szCs w:val="18"/>
                <w:color w:val="auto"/>
              </w:rPr>
            </w:pPr>
          </w:p>
        </w:tc>
        <w:tc>
          <w:tcPr>
            <w:tcW w:w="5460" w:type="dxa"/>
            <w:vAlign w:val="bottom"/>
          </w:tcPr>
          <w:p>
            <w:pPr>
              <w:ind w:left="1700"/>
              <w:spacing w:after="0"/>
              <w:rPr>
                <w:sz w:val="20"/>
                <w:szCs w:val="20"/>
                <w:color w:val="auto"/>
              </w:rPr>
            </w:pPr>
            <w:r>
              <w:rPr>
                <w:rFonts w:ascii="Times New Roman" w:cs="Times New Roman" w:eastAsia="Times New Roman" w:hAnsi="Times New Roman"/>
                <w:sz w:val="18"/>
                <w:szCs w:val="18"/>
                <w:color w:val="auto"/>
              </w:rPr>
              <w:t>Contacts:</w:t>
            </w: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Bassett Furniture Industries, Inc.</w:t>
            </w:r>
          </w:p>
        </w:tc>
        <w:tc>
          <w:tcPr>
            <w:tcW w:w="5460" w:type="dxa"/>
            <w:vAlign w:val="bottom"/>
          </w:tcPr>
          <w:p>
            <w:pPr>
              <w:ind w:left="1700"/>
              <w:spacing w:after="0"/>
              <w:rPr>
                <w:sz w:val="20"/>
                <w:szCs w:val="20"/>
                <w:color w:val="auto"/>
              </w:rPr>
            </w:pPr>
            <w:r>
              <w:rPr>
                <w:rFonts w:ascii="Times New Roman" w:cs="Times New Roman" w:eastAsia="Times New Roman" w:hAnsi="Times New Roman"/>
                <w:sz w:val="18"/>
                <w:szCs w:val="18"/>
                <w:b w:val="1"/>
                <w:bCs w:val="1"/>
                <w:color w:val="auto"/>
              </w:rPr>
              <w:t>J. Michael Daniel</w:t>
            </w: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P.O. Box 626</w:t>
            </w:r>
          </w:p>
        </w:tc>
        <w:tc>
          <w:tcPr>
            <w:tcW w:w="5460" w:type="dxa"/>
            <w:vAlign w:val="bottom"/>
          </w:tcPr>
          <w:p>
            <w:pPr>
              <w:ind w:left="1700"/>
              <w:spacing w:after="0"/>
              <w:rPr>
                <w:sz w:val="20"/>
                <w:szCs w:val="20"/>
                <w:color w:val="auto"/>
              </w:rPr>
            </w:pPr>
            <w:r>
              <w:rPr>
                <w:rFonts w:ascii="Times New Roman" w:cs="Times New Roman" w:eastAsia="Times New Roman" w:hAnsi="Times New Roman"/>
                <w:sz w:val="18"/>
                <w:szCs w:val="18"/>
                <w:b w:val="1"/>
                <w:bCs w:val="1"/>
                <w:color w:val="auto"/>
              </w:rPr>
              <w:t>Senior Vice President and</w:t>
            </w:r>
          </w:p>
        </w:tc>
      </w:tr>
      <w:tr>
        <w:trPr>
          <w:trHeight w:val="220"/>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Bassett, VA 24055</w:t>
            </w:r>
          </w:p>
        </w:tc>
        <w:tc>
          <w:tcPr>
            <w:tcW w:w="5460" w:type="dxa"/>
            <w:vAlign w:val="bottom"/>
          </w:tcPr>
          <w:p>
            <w:pPr>
              <w:ind w:left="1700"/>
              <w:spacing w:after="0"/>
              <w:rPr>
                <w:sz w:val="20"/>
                <w:szCs w:val="20"/>
                <w:color w:val="auto"/>
              </w:rPr>
            </w:pPr>
            <w:r>
              <w:rPr>
                <w:rFonts w:ascii="Times New Roman" w:cs="Times New Roman" w:eastAsia="Times New Roman" w:hAnsi="Times New Roman"/>
                <w:sz w:val="18"/>
                <w:szCs w:val="18"/>
                <w:b w:val="1"/>
                <w:bCs w:val="1"/>
                <w:color w:val="auto"/>
              </w:rPr>
              <w:t>Chief Financial Officer</w:t>
            </w:r>
          </w:p>
        </w:tc>
      </w:tr>
      <w:tr>
        <w:trPr>
          <w:trHeight w:val="216"/>
        </w:trPr>
        <w:tc>
          <w:tcPr>
            <w:tcW w:w="5780" w:type="dxa"/>
            <w:vAlign w:val="bottom"/>
          </w:tcPr>
          <w:p>
            <w:pPr>
              <w:spacing w:after="0"/>
              <w:rPr>
                <w:sz w:val="18"/>
                <w:szCs w:val="18"/>
                <w:color w:val="auto"/>
              </w:rPr>
            </w:pPr>
          </w:p>
        </w:tc>
        <w:tc>
          <w:tcPr>
            <w:tcW w:w="5460" w:type="dxa"/>
            <w:vAlign w:val="bottom"/>
          </w:tcPr>
          <w:p>
            <w:pPr>
              <w:ind w:left="1700"/>
              <w:spacing w:after="0"/>
              <w:rPr>
                <w:sz w:val="20"/>
                <w:szCs w:val="20"/>
                <w:color w:val="auto"/>
              </w:rPr>
            </w:pPr>
            <w:r>
              <w:rPr>
                <w:rFonts w:ascii="Times New Roman" w:cs="Times New Roman" w:eastAsia="Times New Roman" w:hAnsi="Times New Roman"/>
                <w:sz w:val="18"/>
                <w:szCs w:val="18"/>
                <w:color w:val="auto"/>
              </w:rPr>
              <w:t>(276) 629-6260 – Investors</w:t>
            </w:r>
          </w:p>
        </w:tc>
      </w:tr>
      <w:tr>
        <w:trPr>
          <w:trHeight w:val="234"/>
        </w:trPr>
        <w:tc>
          <w:tcPr>
            <w:tcW w:w="5780" w:type="dxa"/>
            <w:vAlign w:val="bottom"/>
          </w:tcPr>
          <w:p>
            <w:pPr>
              <w:spacing w:after="0"/>
              <w:rPr>
                <w:sz w:val="20"/>
                <w:szCs w:val="20"/>
                <w:color w:val="auto"/>
              </w:rPr>
            </w:pPr>
          </w:p>
        </w:tc>
        <w:tc>
          <w:tcPr>
            <w:tcW w:w="5460" w:type="dxa"/>
            <w:vAlign w:val="bottom"/>
          </w:tcPr>
          <w:p>
            <w:pPr>
              <w:ind w:left="1700"/>
              <w:spacing w:after="0"/>
              <w:rPr>
                <w:sz w:val="20"/>
                <w:szCs w:val="20"/>
                <w:color w:val="auto"/>
              </w:rPr>
            </w:pPr>
            <w:r>
              <w:rPr>
                <w:rFonts w:ascii="Times New Roman" w:cs="Times New Roman" w:eastAsia="Times New Roman" w:hAnsi="Times New Roman"/>
                <w:sz w:val="18"/>
                <w:szCs w:val="18"/>
                <w:color w:val="auto"/>
              </w:rPr>
              <w:t>mdaniel@bassettfurniture.com</w:t>
            </w:r>
          </w:p>
        </w:tc>
      </w:tr>
      <w:tr>
        <w:trPr>
          <w:trHeight w:val="410"/>
        </w:trPr>
        <w:tc>
          <w:tcPr>
            <w:tcW w:w="5780" w:type="dxa"/>
            <w:vAlign w:val="bottom"/>
          </w:tcPr>
          <w:p>
            <w:pPr>
              <w:spacing w:after="0"/>
              <w:rPr>
                <w:sz w:val="24"/>
                <w:szCs w:val="24"/>
                <w:color w:val="auto"/>
              </w:rPr>
            </w:pPr>
          </w:p>
        </w:tc>
        <w:tc>
          <w:tcPr>
            <w:tcW w:w="5460" w:type="dxa"/>
            <w:vAlign w:val="bottom"/>
          </w:tcPr>
          <w:p>
            <w:pPr>
              <w:ind w:left="1700"/>
              <w:spacing w:after="0"/>
              <w:rPr>
                <w:sz w:val="20"/>
                <w:szCs w:val="20"/>
                <w:color w:val="auto"/>
              </w:rPr>
            </w:pPr>
            <w:r>
              <w:rPr>
                <w:rFonts w:ascii="Times New Roman" w:cs="Times New Roman" w:eastAsia="Times New Roman" w:hAnsi="Times New Roman"/>
                <w:sz w:val="18"/>
                <w:szCs w:val="18"/>
                <w:b w:val="1"/>
                <w:bCs w:val="1"/>
                <w:color w:val="auto"/>
              </w:rPr>
              <w:t>Peter D. Morrison</w:t>
            </w:r>
          </w:p>
        </w:tc>
      </w:tr>
      <w:tr>
        <w:trPr>
          <w:trHeight w:val="220"/>
        </w:trPr>
        <w:tc>
          <w:tcPr>
            <w:tcW w:w="5780" w:type="dxa"/>
            <w:vAlign w:val="bottom"/>
          </w:tcPr>
          <w:p>
            <w:pPr>
              <w:spacing w:after="0"/>
              <w:rPr>
                <w:sz w:val="19"/>
                <w:szCs w:val="19"/>
                <w:color w:val="auto"/>
              </w:rPr>
            </w:pPr>
          </w:p>
        </w:tc>
        <w:tc>
          <w:tcPr>
            <w:tcW w:w="5460" w:type="dxa"/>
            <w:vAlign w:val="bottom"/>
          </w:tcPr>
          <w:p>
            <w:pPr>
              <w:ind w:left="1700"/>
              <w:spacing w:after="0"/>
              <w:rPr>
                <w:sz w:val="20"/>
                <w:szCs w:val="20"/>
                <w:color w:val="auto"/>
              </w:rPr>
            </w:pPr>
            <w:r>
              <w:rPr>
                <w:rFonts w:ascii="Times New Roman" w:cs="Times New Roman" w:eastAsia="Times New Roman" w:hAnsi="Times New Roman"/>
                <w:sz w:val="18"/>
                <w:szCs w:val="18"/>
                <w:b w:val="1"/>
                <w:bCs w:val="1"/>
                <w:color w:val="auto"/>
              </w:rPr>
              <w:t>Vice President of Communications</w:t>
            </w:r>
          </w:p>
        </w:tc>
      </w:tr>
      <w:tr>
        <w:trPr>
          <w:trHeight w:val="234"/>
        </w:trPr>
        <w:tc>
          <w:tcPr>
            <w:tcW w:w="5780" w:type="dxa"/>
            <w:vAlign w:val="bottom"/>
          </w:tcPr>
          <w:p>
            <w:pPr>
              <w:spacing w:after="0"/>
              <w:rPr>
                <w:sz w:val="20"/>
                <w:szCs w:val="20"/>
                <w:color w:val="auto"/>
              </w:rPr>
            </w:pPr>
          </w:p>
        </w:tc>
        <w:tc>
          <w:tcPr>
            <w:tcW w:w="5460" w:type="dxa"/>
            <w:vAlign w:val="bottom"/>
          </w:tcPr>
          <w:p>
            <w:pPr>
              <w:ind w:left="1700"/>
              <w:spacing w:after="0"/>
              <w:rPr>
                <w:sz w:val="20"/>
                <w:szCs w:val="20"/>
                <w:color w:val="auto"/>
              </w:rPr>
            </w:pPr>
            <w:r>
              <w:rPr>
                <w:rFonts w:ascii="Times New Roman" w:cs="Times New Roman" w:eastAsia="Times New Roman" w:hAnsi="Times New Roman"/>
                <w:sz w:val="18"/>
                <w:szCs w:val="18"/>
                <w:color w:val="auto"/>
              </w:rPr>
              <w:t>(276) 629-6450 – Media</w:t>
            </w:r>
          </w:p>
        </w:tc>
      </w:tr>
      <w:tr>
        <w:trPr>
          <w:trHeight w:val="648"/>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For immediate release</w:t>
            </w:r>
          </w:p>
        </w:tc>
        <w:tc>
          <w:tcPr>
            <w:tcW w:w="5460" w:type="dxa"/>
            <w:vAlign w:val="bottom"/>
          </w:tcPr>
          <w:p>
            <w:pPr>
              <w:spacing w:after="0"/>
              <w:rPr>
                <w:sz w:val="24"/>
                <w:szCs w:val="24"/>
                <w:color w:val="auto"/>
              </w:rPr>
            </w:pPr>
          </w:p>
        </w:tc>
      </w:tr>
      <w:tr>
        <w:trPr>
          <w:trHeight w:val="471"/>
        </w:trPr>
        <w:tc>
          <w:tcPr>
            <w:tcW w:w="57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Bassett Reports Fiscal First Quarter Results</w:t>
            </w:r>
          </w:p>
        </w:tc>
        <w:tc>
          <w:tcPr>
            <w:tcW w:w="5460" w:type="dxa"/>
            <w:vAlign w:val="bottom"/>
          </w:tcPr>
          <w:p>
            <w:pPr>
              <w:spacing w:after="0"/>
              <w:rPr>
                <w:sz w:val="24"/>
                <w:szCs w:val="24"/>
                <w:color w:val="auto"/>
              </w:rPr>
            </w:pPr>
          </w:p>
        </w:tc>
      </w:tr>
      <w:tr>
        <w:trPr>
          <w:trHeight w:val="42"/>
        </w:trPr>
        <w:tc>
          <w:tcPr>
            <w:tcW w:w="5780" w:type="dxa"/>
            <w:vAlign w:val="bottom"/>
            <w:tcBorders>
              <w:bottom w:val="single" w:sz="8" w:color="auto"/>
            </w:tcBorders>
          </w:tcPr>
          <w:p>
            <w:pPr>
              <w:spacing w:after="0"/>
              <w:rPr>
                <w:sz w:val="3"/>
                <w:szCs w:val="3"/>
                <w:color w:val="auto"/>
              </w:rPr>
            </w:pPr>
          </w:p>
        </w:tc>
        <w:tc>
          <w:tcPr>
            <w:tcW w:w="5460" w:type="dxa"/>
            <w:vAlign w:val="bottom"/>
            <w:tcBorders>
              <w:bottom w:val="single" w:sz="8" w:color="auto"/>
            </w:tcBorders>
          </w:tcPr>
          <w:p>
            <w:pPr>
              <w:spacing w:after="0"/>
              <w:rPr>
                <w:sz w:val="3"/>
                <w:szCs w:val="3"/>
                <w:color w:val="auto"/>
              </w:rPr>
            </w:pPr>
          </w:p>
        </w:tc>
      </w:tr>
    </w:tbl>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(Bassett, Va.) – April 2, 2025 – Bassett Furniture Industries, Inc. (Nasdaq: BSET) reported today its results of operations for its first quarter ended March 1, 2025. The first quarter for the Company’s Fiscal Year 25 had 13 weeks as compared to 14 weeks in Fiscal Year 24.</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Q1 Consolidated Business Highlights</w:t>
      </w:r>
      <w:r>
        <w:rPr>
          <w:rFonts w:ascii="Times New Roman" w:cs="Times New Roman" w:eastAsia="Times New Roman" w:hAnsi="Times New Roman"/>
          <w:sz w:val="18"/>
          <w:szCs w:val="18"/>
          <w:i w:val="1"/>
          <w:iCs w:val="1"/>
          <w:color w:val="auto"/>
        </w:rPr>
        <w:t>: [FY 25 vs. FY 24, unless otherwise specified]</w:t>
      </w:r>
    </w:p>
    <w:p>
      <w:pPr>
        <w:spacing w:after="0" w:line="29" w:lineRule="exact"/>
        <w:rPr>
          <w:sz w:val="20"/>
          <w:szCs w:val="20"/>
          <w:color w:val="auto"/>
        </w:rPr>
      </w:pPr>
    </w:p>
    <w:p>
      <w:pPr>
        <w:ind w:left="660" w:right="2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decreased 5.1% from the prior year quarter, which contained an additional week. Normalizing the first fiscal quarter of 2024 to adjust for the additional week, sales revenue for the first quarter of fiscal 2025 increased 2.2%.</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income was $2.5 million or 3.0% of sales as compared to a loss of $(2.4) million for the prior year quarter.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Improved wholesale margins in the quarter drove Company gross margin to 57.0%, a 170 basis point increase over the prior year.</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Selling, general and administrative expenses came in at 54.0% of sales which was 400 basis points lower than the prior year. This was despite a 5.1% sales decrease as the Company continues to realize the benefits from its 2024 restructuring plan.</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Diluted earnings per share of $0.21 vs. a loss of $(0.14).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i w:val="1"/>
          <w:iCs w:val="1"/>
          <w:u w:val="single" w:color="auto"/>
          <w:color w:val="auto"/>
        </w:rPr>
        <w:t>Fiscal 2025 First Quarter Overview</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(Dollars in millions)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3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Sales</w:t>
            </w:r>
          </w:p>
        </w:tc>
        <w:tc>
          <w:tcPr>
            <w:tcW w:w="7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5"/>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9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09"/>
        </w:trPr>
        <w:tc>
          <w:tcPr>
            <w:tcW w:w="23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1st Qtr</w:t>
            </w:r>
          </w:p>
        </w:tc>
        <w:tc>
          <w:tcPr>
            <w:tcW w:w="66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Dollar</w:t>
            </w:r>
          </w:p>
        </w:tc>
        <w:tc>
          <w:tcPr>
            <w:tcW w:w="8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1st Qtr</w:t>
            </w:r>
          </w:p>
        </w:tc>
        <w:tc>
          <w:tcPr>
            <w:tcW w:w="116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 of</w:t>
            </w:r>
          </w:p>
        </w:tc>
        <w:tc>
          <w:tcPr>
            <w:tcW w:w="14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1st Qtr</w:t>
            </w:r>
          </w:p>
        </w:tc>
        <w:tc>
          <w:tcPr>
            <w:tcW w:w="9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 of</w:t>
            </w:r>
          </w:p>
        </w:tc>
        <w:tc>
          <w:tcPr>
            <w:tcW w:w="160" w:type="dxa"/>
            <w:vAlign w:val="bottom"/>
          </w:tcPr>
          <w:p>
            <w:pPr>
              <w:spacing w:after="0"/>
              <w:rPr>
                <w:sz w:val="18"/>
                <w:szCs w:val="18"/>
                <w:color w:val="auto"/>
              </w:rPr>
            </w:pPr>
          </w:p>
        </w:tc>
      </w:tr>
      <w:tr>
        <w:trPr>
          <w:trHeight w:val="210"/>
        </w:trPr>
        <w:tc>
          <w:tcPr>
            <w:tcW w:w="23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220" w:type="dxa"/>
            <w:vAlign w:val="bottom"/>
          </w:tcPr>
          <w:p>
            <w:pPr>
              <w:spacing w:after="0"/>
              <w:rPr>
                <w:sz w:val="18"/>
                <w:szCs w:val="18"/>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18"/>
                <w:szCs w:val="18"/>
                <w:color w:val="auto"/>
              </w:rPr>
            </w:pPr>
          </w:p>
        </w:tc>
        <w:tc>
          <w:tcPr>
            <w:tcW w:w="8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Sales</w:t>
            </w:r>
          </w:p>
        </w:tc>
        <w:tc>
          <w:tcPr>
            <w:tcW w:w="2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18"/>
                <w:szCs w:val="18"/>
                <w:color w:val="auto"/>
              </w:rPr>
            </w:pPr>
          </w:p>
        </w:tc>
        <w:tc>
          <w:tcPr>
            <w:tcW w:w="9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Sales</w:t>
            </w:r>
          </w:p>
        </w:tc>
        <w:tc>
          <w:tcPr>
            <w:tcW w:w="160" w:type="dxa"/>
            <w:vAlign w:val="bottom"/>
          </w:tcPr>
          <w:p>
            <w:pPr>
              <w:spacing w:after="0"/>
              <w:rPr>
                <w:sz w:val="18"/>
                <w:szCs w:val="18"/>
                <w:color w:val="auto"/>
              </w:rPr>
            </w:pPr>
          </w:p>
        </w:tc>
      </w:tr>
      <w:tr>
        <w:trPr>
          <w:trHeight w:val="209"/>
        </w:trPr>
        <w:tc>
          <w:tcPr>
            <w:tcW w:w="2320" w:type="dxa"/>
            <w:vAlign w:val="bottom"/>
            <w:shd w:val="clear" w:color="auto" w:fill="CCEEFF"/>
          </w:tcPr>
          <w:p>
            <w:pPr>
              <w:spacing w:after="0" w:line="210" w:lineRule="exact"/>
              <w:rPr>
                <w:sz w:val="20"/>
                <w:szCs w:val="20"/>
                <w:color w:val="auto"/>
              </w:rPr>
            </w:pPr>
            <w:r>
              <w:rPr>
                <w:rFonts w:ascii="Times New Roman" w:cs="Times New Roman" w:eastAsia="Times New Roman" w:hAnsi="Times New Roman"/>
                <w:sz w:val="15"/>
                <w:szCs w:val="15"/>
                <w:color w:val="auto"/>
              </w:rPr>
              <w:t xml:space="preserve">Consolidated </w:t>
            </w:r>
            <w:r>
              <w:rPr>
                <w:rFonts w:ascii="Times New Roman" w:cs="Times New Roman" w:eastAsia="Times New Roman" w:hAnsi="Times New Roman"/>
                <w:sz w:val="24"/>
                <w:szCs w:val="24"/>
                <w:color w:val="auto"/>
                <w:vertAlign w:val="superscript"/>
              </w:rPr>
              <w:t>(1)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82.2</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86.6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(4.4)</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(2.4)</w:t>
            </w: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2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Wholesale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52.9</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54.7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8.7</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6.8</w:t>
            </w: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12.4%</w:t>
            </w:r>
          </w:p>
        </w:tc>
      </w:tr>
      <w:tr>
        <w:trPr>
          <w:trHeight w:val="216"/>
        </w:trPr>
        <w:tc>
          <w:tcPr>
            <w:tcW w:w="2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Retail</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53.3</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(0.5)</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w:t>
            </w: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2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32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 xml:space="preserve">Corporate &amp; Other </w:t>
            </w:r>
            <w:r>
              <w:rPr>
                <w:rFonts w:ascii="Times New Roman" w:cs="Times New Roman" w:eastAsia="Times New Roman" w:hAnsi="Times New Roman"/>
                <w:sz w:val="25"/>
                <w:szCs w:val="25"/>
                <w:color w:val="auto"/>
                <w:vertAlign w:val="superscript"/>
              </w:rPr>
              <w:t>(2)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(6.2)</w:t>
            </w: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N/A</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(7.6)</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N/A</w:t>
            </w:r>
          </w:p>
        </w:tc>
      </w:tr>
    </w:tbl>
    <w:p>
      <w:pPr>
        <w:spacing w:after="0" w:line="198" w:lineRule="exact"/>
        <w:rPr>
          <w:sz w:val="20"/>
          <w:szCs w:val="20"/>
          <w:color w:val="auto"/>
        </w:rPr>
      </w:pPr>
    </w:p>
    <w:p>
      <w:pPr>
        <w:ind w:left="340" w:hanging="332"/>
        <w:spacing w:after="0" w:line="282"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consolidated results for the quarter include certain intercompany eliminations. See Table 4, "Segment Information" below for an illustration of the effects of these items on our consolidated sales and operating income.</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and Other includes the operations of Noa Home Inc. (fiscal 2024 only) along with the shared Corporate costs that are benefiting both the Wholesale and Retail segments.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“We’re pleased that with consolidated margin improvements in the first quarter, Bassett delivered diluted earnings per share of $0.21,” said Robert H. Spilman, Jr., Bassett Chairman and Chief Executive Officer. “We reduced our cost structure to operate with greater efficiency while we accelerate product innovation to drive higher sales. Our strategic plan for 2025 is designed to weather another year of tepid demand for home furnishings and keep us focused on growth initiatives, including new collections across all categories and e-commerce sales. We believe we’ve taken the right steps to position us very competitively for 2025.”</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Conference Call and Webcast</w:t>
      </w:r>
    </w:p>
    <w:p>
      <w:pPr>
        <w:spacing w:after="0" w:line="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will hold a conference call to discuss its quarterly results on April 3, 2025, at 9:00 am ET. The public is invited to listen to the conference call by webcast, accessible through the Company’s investor relations website, https://investors.bassettfurniture.com/. Participants can also listen to the conference call via https://edge.media-server.com/mmc/p/b3vchwmf. A replay and transcript of the conference call will be available on demand on the investor relations site.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About Bassett Furniture Industries, Inc.</w:t>
      </w:r>
    </w:p>
    <w:p>
      <w:pPr>
        <w:spacing w:after="0" w:line="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Bassett Furniture Industries, Inc. (NASDAQ: BSET) is a leading provider of high-quality home furnishings with a wide range of distribution types. Bassett sales approximately 60% of its products through its network of 87 company- and licensee-owned stores which feature the latest on-trend furniture styles, the Company’s capabilities in custom furniture design and manufacturing, free in-home design visits, and coordinated decorating accessories in a professional and friendly environment. Bassett also has a significant traditional wholesale business with more than 1,000 open market accounts. Most of the open market sales are through Bassett Design Centers and Bassett Custom Studios which function as a store within a multi-line store featuring the Company’s custom furniture capabilities. The wholesale business, including the Lane Venture outdoor brand, also services general furniture stores and a growing number of interior design firms. Bassett products are also directly available to consumers at www.bassettfurniture.com. (BSET-E)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354330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auto"/>
        </w:rPr>
        <w:t>Forward-Looking Statements</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Certain of the statements in this release, particularly those preceded by, followed by or including the words “believes,” “plans,” “expects,” “anticipates,” “intends,” “should,” “estimates,” or similar expressions, or those relating to or anticipating financial results or changes in operations for periods beyond the end of the first fiscal quarter of 2025, constitute “forward looking statements” within the meaning of Section 27A of the Securities Act of 1933, as amended. For those statements, Bassett claims the protection of the safe harbor for forward-looking statements contained in the Private Securities Litigation Reform Act of 1995. In many cases, Bassett cannot predict what factors would cause actual results to differ materially from those indicated in the forward-looking statements. Expectations included in the forward-looking statements are based on preliminary information, as well as certain assumptions which management believes to be reasonable at this time. The following important factors affect Bassett and could cause actual results to differ materially from those indicated in the forward looking statements: the effects of national and global economic or other conditions and future events on the retail demand for home furnishings and the ability of Bassett’s customers and consumers to obtain credit; the success of marketing, logistics, retail and other initiatives; and the economic, competitive, governmental and other factors identified in Bassett’s filings with the Securities and Exchange Commission. Any forward-looking statement that Bassett makes speaks only as of the date of such statement, and Bassett undertakes no obligation to update any forward-looking statements, whether as a result of new information, future events or otherwise. Comparisons of results for current and any prior periods are not intended to express any future trends or indication of future performance, unless expressed as such, and should only be viewed as historical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353695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Table 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BASSETT FURNITURE INDUSTRIES, INC.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Statements of Operations -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for per share data)</w:t>
      </w:r>
    </w:p>
    <w:p>
      <w:pPr>
        <w:spacing w:after="0" w:line="207" w:lineRule="exact"/>
        <w:rPr>
          <w:sz w:val="20"/>
          <w:szCs w:val="20"/>
          <w:color w:val="auto"/>
        </w:rPr>
      </w:pPr>
    </w:p>
    <w:p>
      <w:pPr>
        <w:jc w:val="right"/>
        <w:ind w:right="2160"/>
        <w:spacing w:after="0"/>
        <w:rPr>
          <w:sz w:val="20"/>
          <w:szCs w:val="20"/>
          <w:color w:val="auto"/>
        </w:rPr>
      </w:pPr>
      <w:r>
        <w:rPr>
          <w:rFonts w:ascii="Times New Roman" w:cs="Times New Roman" w:eastAsia="Times New Roman" w:hAnsi="Times New Roman"/>
          <w:sz w:val="18"/>
          <w:szCs w:val="18"/>
          <w:color w:val="auto"/>
        </w:rPr>
        <w:t>Quarter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17145</wp:posOffset>
            </wp:positionV>
            <wp:extent cx="325755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57550" cy="889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p>
      <w:pPr>
        <w:spacing w:after="0" w:line="27" w:lineRule="exact"/>
        <w:rPr>
          <w:sz w:val="20"/>
          <w:szCs w:val="20"/>
          <w:color w:val="auto"/>
        </w:rPr>
      </w:pPr>
    </w:p>
    <w:p>
      <w:pPr>
        <w:ind w:left="6640"/>
        <w:spacing w:after="0"/>
        <w:rPr>
          <w:sz w:val="20"/>
          <w:szCs w:val="20"/>
          <w:color w:val="auto"/>
        </w:rPr>
      </w:pPr>
      <w:r>
        <w:rPr>
          <w:rFonts w:ascii="Times New Roman" w:cs="Times New Roman" w:eastAsia="Times New Roman" w:hAnsi="Times New Roman"/>
          <w:sz w:val="18"/>
          <w:szCs w:val="18"/>
          <w:color w:val="auto"/>
        </w:rPr>
        <w:t>March 1, 2025</w:t>
      </w:r>
    </w:p>
    <w:p>
      <w:pPr>
        <w:spacing w:after="0" w:line="23" w:lineRule="exact"/>
        <w:rPr>
          <w:sz w:val="20"/>
          <w:szCs w:val="20"/>
          <w:color w:val="auto"/>
        </w:rPr>
      </w:pPr>
    </w:p>
    <w:tbl>
      <w:tblPr>
        <w:tblLayout w:type="fixed"/>
        <w:tblInd w:w="5940" w:type="dxa"/>
        <w:tblCellMar>
          <w:top w:w="0" w:type="dxa"/>
          <w:left w:w="0" w:type="dxa"/>
          <w:bottom w:w="0" w:type="dxa"/>
          <w:right w:w="0" w:type="dxa"/>
        </w:tblCellMar>
      </w:tblPr>
      <w:tr>
        <w:trPr>
          <w:trHeight w:val="191"/>
        </w:trPr>
        <w:tc>
          <w:tcPr>
            <w:tcW w:w="118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center"/>
              <w:ind w:left="70"/>
              <w:spacing w:after="0" w:line="191" w:lineRule="exact"/>
              <w:rPr>
                <w:sz w:val="20"/>
                <w:szCs w:val="20"/>
                <w:color w:val="auto"/>
              </w:rPr>
            </w:pPr>
            <w:r>
              <w:rPr>
                <w:rFonts w:ascii="Times New Roman" w:cs="Times New Roman" w:eastAsia="Times New Roman" w:hAnsi="Times New Roman"/>
                <w:sz w:val="18"/>
                <w:szCs w:val="18"/>
                <w:color w:val="auto"/>
              </w:rPr>
              <w:t>Percent of</w:t>
            </w:r>
          </w:p>
        </w:tc>
      </w:tr>
      <w:tr>
        <w:trPr>
          <w:trHeight w:val="234"/>
        </w:trPr>
        <w:tc>
          <w:tcPr>
            <w:tcW w:w="118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Amount</w:t>
            </w:r>
          </w:p>
        </w:tc>
        <w:tc>
          <w:tcPr>
            <w:tcW w:w="1260" w:type="dxa"/>
            <w:vAlign w:val="bottom"/>
            <w:tcBorders>
              <w:bottom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9"/>
              </w:rPr>
              <w:t>Net Sales</w:t>
            </w:r>
          </w:p>
        </w:tc>
      </w:tr>
    </w:tbl>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March 2, 2024</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118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center"/>
              <w:ind w:left="70"/>
              <w:spacing w:after="0" w:line="191" w:lineRule="exact"/>
              <w:rPr>
                <w:sz w:val="20"/>
                <w:szCs w:val="20"/>
                <w:color w:val="auto"/>
              </w:rPr>
            </w:pPr>
            <w:r>
              <w:rPr>
                <w:rFonts w:ascii="Times New Roman" w:cs="Times New Roman" w:eastAsia="Times New Roman" w:hAnsi="Times New Roman"/>
                <w:sz w:val="18"/>
                <w:szCs w:val="18"/>
                <w:color w:val="auto"/>
              </w:rPr>
              <w:t>Percent of</w:t>
            </w:r>
          </w:p>
        </w:tc>
      </w:tr>
      <w:tr>
        <w:trPr>
          <w:trHeight w:val="234"/>
        </w:trPr>
        <w:tc>
          <w:tcPr>
            <w:tcW w:w="118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Amount</w:t>
            </w:r>
          </w:p>
        </w:tc>
        <w:tc>
          <w:tcPr>
            <w:tcW w:w="1260" w:type="dxa"/>
            <w:vAlign w:val="bottom"/>
            <w:tcBorders>
              <w:bottom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9"/>
              </w:rPr>
              <w:t>Net Sales</w:t>
            </w:r>
          </w:p>
        </w:tc>
      </w:tr>
    </w:tbl>
    <w:p>
      <w:pPr>
        <w:spacing w:after="0" w:line="20" w:lineRule="exact"/>
        <w:rPr>
          <w:sz w:val="20"/>
          <w:szCs w:val="20"/>
          <w:color w:val="auto"/>
        </w:rPr>
      </w:pPr>
    </w:p>
    <w:p>
      <w:pPr>
        <w:sectPr>
          <w:pgSz w:w="11900" w:h="16838" w:orient="portrait"/>
          <w:cols w:equalWidth="0" w:num="2">
            <w:col w:w="8380" w:space="260"/>
            <w:col w:w="2600"/>
          </w:cols>
          <w:pgMar w:left="320" w:top="576" w:right="3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59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Net sales of furniture and accessories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82,162</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86,554</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furniture and accessories sold</w:t>
            </w: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35,332</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43.0%</w:t>
            </w: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38,687</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44.7%</w:t>
            </w:r>
          </w:p>
        </w:tc>
      </w:tr>
      <w:tr>
        <w:trPr>
          <w:trHeight w:val="20"/>
        </w:trPr>
        <w:tc>
          <w:tcPr>
            <w:tcW w:w="594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09"/>
        </w:trPr>
        <w:tc>
          <w:tcPr>
            <w:tcW w:w="5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Gross profit</w:t>
            </w:r>
          </w:p>
        </w:tc>
        <w:tc>
          <w:tcPr>
            <w:tcW w:w="360" w:type="dxa"/>
            <w:vAlign w:val="bottom"/>
          </w:tcPr>
          <w:p>
            <w:pPr>
              <w:spacing w:after="0"/>
              <w:rPr>
                <w:sz w:val="18"/>
                <w:szCs w:val="18"/>
                <w:color w:val="auto"/>
              </w:rPr>
            </w:pPr>
          </w:p>
        </w:tc>
        <w:tc>
          <w:tcPr>
            <w:tcW w:w="12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46,830</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57.0%</w:t>
            </w:r>
          </w:p>
        </w:tc>
        <w:tc>
          <w:tcPr>
            <w:tcW w:w="360" w:type="dxa"/>
            <w:vAlign w:val="bottom"/>
          </w:tcPr>
          <w:p>
            <w:pPr>
              <w:spacing w:after="0"/>
              <w:rPr>
                <w:sz w:val="18"/>
                <w:szCs w:val="18"/>
                <w:color w:val="auto"/>
              </w:rPr>
            </w:pPr>
          </w:p>
        </w:tc>
        <w:tc>
          <w:tcPr>
            <w:tcW w:w="12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47,867</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55.3%</w:t>
            </w:r>
          </w:p>
        </w:tc>
      </w:tr>
      <w:tr>
        <w:trPr>
          <w:trHeight w:val="216"/>
        </w:trPr>
        <w:tc>
          <w:tcPr>
            <w:tcW w:w="59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60" w:type="dxa"/>
            <w:vAlign w:val="bottom"/>
          </w:tcPr>
          <w:p>
            <w:pPr>
              <w:spacing w:after="0"/>
              <w:rPr>
                <w:sz w:val="18"/>
                <w:szCs w:val="18"/>
                <w:color w:val="auto"/>
              </w:rPr>
            </w:pPr>
          </w:p>
        </w:tc>
        <w:tc>
          <w:tcPr>
            <w:tcW w:w="12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44,375</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54.0%</w:t>
            </w:r>
          </w:p>
        </w:tc>
        <w:tc>
          <w:tcPr>
            <w:tcW w:w="360" w:type="dxa"/>
            <w:vAlign w:val="bottom"/>
          </w:tcPr>
          <w:p>
            <w:pPr>
              <w:spacing w:after="0"/>
              <w:rPr>
                <w:sz w:val="18"/>
                <w:szCs w:val="18"/>
                <w:color w:val="auto"/>
              </w:rPr>
            </w:pPr>
          </w:p>
        </w:tc>
        <w:tc>
          <w:tcPr>
            <w:tcW w:w="12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50,224</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58.0%</w:t>
            </w:r>
          </w:p>
        </w:tc>
      </w:tr>
      <w:tr>
        <w:trPr>
          <w:trHeight w:val="20"/>
        </w:trPr>
        <w:tc>
          <w:tcPr>
            <w:tcW w:w="59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9"/>
        </w:trPr>
        <w:tc>
          <w:tcPr>
            <w:tcW w:w="5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2,455</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w:t>
            </w: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(2,357)</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5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559</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0.7%</w:t>
            </w: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756</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0.9%</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Other loss, net</w:t>
            </w:r>
          </w:p>
        </w:tc>
        <w:tc>
          <w:tcPr>
            <w:tcW w:w="360" w:type="dxa"/>
            <w:vAlign w:val="bottom"/>
          </w:tcPr>
          <w:p>
            <w:pPr>
              <w:spacing w:after="0"/>
              <w:rPr>
                <w:sz w:val="18"/>
                <w:szCs w:val="18"/>
                <w:color w:val="auto"/>
              </w:rPr>
            </w:pPr>
          </w:p>
        </w:tc>
        <w:tc>
          <w:tcPr>
            <w:tcW w:w="12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(459)</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-0.6%</w:t>
            </w:r>
          </w:p>
        </w:tc>
        <w:tc>
          <w:tcPr>
            <w:tcW w:w="360" w:type="dxa"/>
            <w:vAlign w:val="bottom"/>
          </w:tcPr>
          <w:p>
            <w:pPr>
              <w:spacing w:after="0"/>
              <w:rPr>
                <w:sz w:val="18"/>
                <w:szCs w:val="18"/>
                <w:color w:val="auto"/>
              </w:rPr>
            </w:pPr>
          </w:p>
        </w:tc>
        <w:tc>
          <w:tcPr>
            <w:tcW w:w="12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(104)</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-0.1%</w:t>
            </w:r>
          </w:p>
        </w:tc>
      </w:tr>
      <w:tr>
        <w:trPr>
          <w:trHeight w:val="20"/>
        </w:trPr>
        <w:tc>
          <w:tcPr>
            <w:tcW w:w="59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9"/>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2,555</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w:t>
            </w: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(1,705)</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5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701</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0.9%</w:t>
            </w: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(512)</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-0.6%</w:t>
            </w:r>
          </w:p>
        </w:tc>
      </w:tr>
      <w:tr>
        <w:trPr>
          <w:trHeight w:val="20"/>
        </w:trPr>
        <w:tc>
          <w:tcPr>
            <w:tcW w:w="594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10"/>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360" w:type="dxa"/>
            <w:vAlign w:val="bottom"/>
          </w:tcPr>
          <w:p>
            <w:pPr>
              <w:spacing w:after="0"/>
              <w:rPr>
                <w:sz w:val="18"/>
                <w:szCs w:val="18"/>
                <w:color w:val="auto"/>
              </w:rPr>
            </w:pPr>
          </w:p>
        </w:tc>
        <w:tc>
          <w:tcPr>
            <w:tcW w:w="12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1,854</w:t>
            </w:r>
          </w:p>
        </w:tc>
        <w:tc>
          <w:tcPr>
            <w:tcW w:w="1100" w:type="dxa"/>
            <w:vAlign w:val="bottom"/>
            <w:gridSpan w:val="2"/>
          </w:tcPr>
          <w:p>
            <w:pPr>
              <w:jc w:val="right"/>
              <w:ind w:right="120"/>
              <w:spacing w:after="0" w:line="210" w:lineRule="exact"/>
              <w:rPr>
                <w:sz w:val="20"/>
                <w:szCs w:val="20"/>
                <w:color w:val="auto"/>
              </w:rPr>
            </w:pPr>
            <w:r>
              <w:rPr>
                <w:rFonts w:ascii="Times New Roman" w:cs="Times New Roman" w:eastAsia="Times New Roman" w:hAnsi="Times New Roman"/>
                <w:sz w:val="14"/>
                <w:szCs w:val="14"/>
                <w:color w:val="auto"/>
              </w:rPr>
              <w:t>2.3</w:t>
            </w:r>
            <w:r>
              <w:rPr>
                <w:rFonts w:ascii="Times New Roman" w:cs="Times New Roman" w:eastAsia="Times New Roman" w:hAnsi="Times New Roman"/>
                <w:sz w:val="24"/>
                <w:szCs w:val="24"/>
                <w:color w:val="auto"/>
                <w:vertAlign w:val="subscript"/>
              </w:rPr>
              <w:t>%</w:t>
            </w:r>
          </w:p>
        </w:tc>
        <w:tc>
          <w:tcPr>
            <w:tcW w:w="360" w:type="dxa"/>
            <w:vAlign w:val="bottom"/>
          </w:tcPr>
          <w:p>
            <w:pPr>
              <w:spacing w:after="0"/>
              <w:rPr>
                <w:sz w:val="18"/>
                <w:szCs w:val="18"/>
                <w:color w:val="auto"/>
              </w:rPr>
            </w:pPr>
          </w:p>
        </w:tc>
        <w:tc>
          <w:tcPr>
            <w:tcW w:w="12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(1,193)</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w:t>
            </w:r>
          </w:p>
        </w:tc>
      </w:tr>
      <w:tr>
        <w:trPr>
          <w:trHeight w:val="20"/>
        </w:trPr>
        <w:tc>
          <w:tcPr>
            <w:tcW w:w="59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7"/>
        </w:trPr>
        <w:tc>
          <w:tcPr>
            <w:tcW w:w="59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5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5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earnings (loss) per share</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0.21</w:t>
            </w:r>
          </w:p>
        </w:tc>
        <w:tc>
          <w:tcPr>
            <w:tcW w:w="8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(0.14)</w:t>
            </w:r>
          </w:p>
        </w:tc>
        <w:tc>
          <w:tcPr>
            <w:tcW w:w="8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r>
      <w:tr>
        <w:trPr>
          <w:trHeight w:val="413"/>
        </w:trPr>
        <w:tc>
          <w:tcPr>
            <w:tcW w:w="59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*13 weeks in fiscal 2025 versus 14 weeks in fiscal 2024.</w:t>
            </w:r>
          </w:p>
        </w:tc>
        <w:tc>
          <w:tcPr>
            <w:tcW w:w="36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480" w:type="dxa"/>
            <w:vAlign w:val="bottom"/>
            <w:tcBorders>
              <w:top w:val="single" w:sz="8" w:color="CCEEFF"/>
            </w:tcBorders>
          </w:tcPr>
          <w:p>
            <w:pPr>
              <w:spacing w:after="0"/>
              <w:rPr>
                <w:sz w:val="24"/>
                <w:szCs w:val="24"/>
                <w:color w:val="auto"/>
              </w:rPr>
            </w:pPr>
          </w:p>
        </w:tc>
        <w:tc>
          <w:tcPr>
            <w:tcW w:w="84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480" w:type="dxa"/>
            <w:vAlign w:val="bottom"/>
            <w:tcBorders>
              <w:top w:val="single" w:sz="8" w:color="CCEEFF"/>
            </w:tcBorders>
          </w:tcPr>
          <w:p>
            <w:pPr>
              <w:spacing w:after="0"/>
              <w:rPr>
                <w:sz w:val="24"/>
                <w:szCs w:val="24"/>
                <w:color w:val="auto"/>
              </w:rPr>
            </w:pPr>
          </w:p>
        </w:tc>
        <w:tc>
          <w:tcPr>
            <w:tcW w:w="84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r>
      <w:tr>
        <w:trPr>
          <w:trHeight w:val="574"/>
        </w:trPr>
        <w:tc>
          <w:tcPr>
            <w:tcW w:w="59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6" w:right="339" w:bottom="1440" w:gutter="0" w:footer="0" w:header="0"/>
          <w:type w:val="continuous"/>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Table 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BASSETT FURNITURE INDUSTRIES, INC.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(Unaudited)</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4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5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March 1, 2025</w:t>
            </w:r>
          </w:p>
        </w:tc>
        <w:tc>
          <w:tcPr>
            <w:tcW w:w="100" w:type="dxa"/>
            <w:vAlign w:val="bottom"/>
          </w:tcPr>
          <w:p>
            <w:pPr>
              <w:spacing w:after="0"/>
              <w:rPr>
                <w:sz w:val="20"/>
                <w:szCs w:val="20"/>
                <w:color w:val="auto"/>
              </w:rPr>
            </w:pPr>
          </w:p>
        </w:tc>
        <w:tc>
          <w:tcPr>
            <w:tcW w:w="15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November 30, 2024</w:t>
            </w:r>
          </w:p>
        </w:tc>
      </w:tr>
      <w:tr>
        <w:trPr>
          <w:trHeight w:val="169"/>
        </w:trPr>
        <w:tc>
          <w:tcPr>
            <w:tcW w:w="8000" w:type="dxa"/>
            <w:vAlign w:val="bottom"/>
            <w:gridSpan w:val="3"/>
            <w:shd w:val="clear" w:color="auto" w:fill="CCEEFF"/>
          </w:tcPr>
          <w:p>
            <w:pPr>
              <w:spacing w:after="0" w:line="169" w:lineRule="exact"/>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tcBorders>
              <w:top w:val="single" w:sz="8" w:color="auto"/>
            </w:tcBorders>
            <w:shd w:val="clear" w:color="auto" w:fill="CCEEFF"/>
          </w:tcPr>
          <w:p>
            <w:pPr>
              <w:spacing w:after="0"/>
              <w:rPr>
                <w:sz w:val="14"/>
                <w:szCs w:val="14"/>
                <w:color w:val="auto"/>
              </w:rPr>
            </w:pPr>
          </w:p>
        </w:tc>
        <w:tc>
          <w:tcPr>
            <w:tcW w:w="134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21"/>
        </w:trPr>
        <w:tc>
          <w:tcPr>
            <w:tcW w:w="480" w:type="dxa"/>
            <w:vAlign w:val="bottom"/>
            <w:tcBorders>
              <w:top w:val="single" w:sz="8" w:color="auto"/>
            </w:tcBorders>
            <w:shd w:val="clear" w:color="auto" w:fill="CCEEFF"/>
          </w:tcPr>
          <w:p>
            <w:pPr>
              <w:spacing w:after="0" w:line="20" w:lineRule="exact"/>
              <w:rPr>
                <w:sz w:val="1"/>
                <w:szCs w:val="1"/>
                <w:color w:val="auto"/>
              </w:rPr>
            </w:pPr>
          </w:p>
        </w:tc>
        <w:tc>
          <w:tcPr>
            <w:tcW w:w="2300" w:type="dxa"/>
            <w:vAlign w:val="bottom"/>
            <w:tcBorders>
              <w:top w:val="single" w:sz="8" w:color="CCEEFF"/>
            </w:tcBorders>
            <w:shd w:val="clear" w:color="auto" w:fill="CCEEFF"/>
          </w:tcPr>
          <w:p>
            <w:pPr>
              <w:spacing w:after="0" w:line="20" w:lineRule="exact"/>
              <w:rPr>
                <w:sz w:val="1"/>
                <w:szCs w:val="1"/>
                <w:color w:val="auto"/>
              </w:rPr>
            </w:pPr>
          </w:p>
        </w:tc>
        <w:tc>
          <w:tcPr>
            <w:tcW w:w="5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36,062</w:t>
            </w:r>
          </w:p>
        </w:tc>
        <w:tc>
          <w:tcPr>
            <w:tcW w:w="5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39,551</w:t>
            </w:r>
          </w:p>
        </w:tc>
      </w:tr>
      <w:tr>
        <w:trPr>
          <w:trHeight w:val="216"/>
        </w:trPr>
        <w:tc>
          <w:tcPr>
            <w:tcW w:w="80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Short-term investments</w:t>
            </w: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20,360</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20,360</w:t>
            </w:r>
          </w:p>
        </w:tc>
      </w:tr>
      <w:tr>
        <w:trPr>
          <w:trHeight w:val="216"/>
        </w:trPr>
        <w:tc>
          <w:tcPr>
            <w:tcW w:w="80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14,218</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13,181</w:t>
            </w:r>
          </w:p>
        </w:tc>
      </w:tr>
      <w:tr>
        <w:trPr>
          <w:trHeight w:val="216"/>
        </w:trPr>
        <w:tc>
          <w:tcPr>
            <w:tcW w:w="80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Inventories, net</w:t>
            </w: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58,103</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54,965</w:t>
            </w:r>
          </w:p>
        </w:tc>
      </w:tr>
      <w:tr>
        <w:trPr>
          <w:trHeight w:val="216"/>
        </w:trPr>
        <w:tc>
          <w:tcPr>
            <w:tcW w:w="80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Recoverable income taxes</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4,240</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4,240</w:t>
            </w:r>
          </w:p>
        </w:tc>
      </w:tr>
      <w:tr>
        <w:trPr>
          <w:trHeight w:val="216"/>
        </w:trPr>
        <w:tc>
          <w:tcPr>
            <w:tcW w:w="80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Other current assets</w:t>
            </w: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9,857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9,242</w:t>
            </w:r>
          </w:p>
        </w:tc>
        <w:tc>
          <w:tcPr>
            <w:tcW w:w="100" w:type="dxa"/>
            <w:vAlign w:val="bottom"/>
          </w:tcPr>
          <w:p>
            <w:pPr>
              <w:spacing w:after="0"/>
              <w:rPr>
                <w:sz w:val="18"/>
                <w:szCs w:val="18"/>
                <w:color w:val="auto"/>
              </w:rPr>
            </w:pPr>
          </w:p>
        </w:tc>
      </w:tr>
      <w:tr>
        <w:trPr>
          <w:trHeight w:val="210"/>
        </w:trPr>
        <w:tc>
          <w:tcPr>
            <w:tcW w:w="8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142,840</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141,539</w:t>
            </w:r>
          </w:p>
        </w:tc>
      </w:tr>
      <w:tr>
        <w:trPr>
          <w:trHeight w:val="209"/>
        </w:trPr>
        <w:tc>
          <w:tcPr>
            <w:tcW w:w="480" w:type="dxa"/>
            <w:vAlign w:val="bottom"/>
            <w:tcBorders>
              <w:top w:val="single" w:sz="8" w:color="CCEEFF"/>
            </w:tcBorders>
          </w:tcPr>
          <w:p>
            <w:pPr>
              <w:spacing w:after="0"/>
              <w:rPr>
                <w:sz w:val="18"/>
                <w:szCs w:val="18"/>
                <w:color w:val="auto"/>
              </w:rPr>
            </w:pPr>
          </w:p>
        </w:tc>
        <w:tc>
          <w:tcPr>
            <w:tcW w:w="2300" w:type="dxa"/>
            <w:vAlign w:val="bottom"/>
            <w:tcBorders>
              <w:top w:val="single" w:sz="8" w:color="CCEEFF"/>
            </w:tcBorders>
          </w:tcPr>
          <w:p>
            <w:pPr>
              <w:spacing w:after="0"/>
              <w:rPr>
                <w:sz w:val="18"/>
                <w:szCs w:val="18"/>
                <w:color w:val="auto"/>
              </w:rPr>
            </w:pPr>
          </w:p>
        </w:tc>
        <w:tc>
          <w:tcPr>
            <w:tcW w:w="5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75,408</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77,047</w:t>
            </w:r>
          </w:p>
        </w:tc>
      </w:tr>
      <w:tr>
        <w:trPr>
          <w:trHeight w:val="216"/>
        </w:trPr>
        <w:tc>
          <w:tcPr>
            <w:tcW w:w="4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long-term assets</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Deferred income taxes, net</w:t>
            </w: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6,280</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6,867</w:t>
            </w:r>
          </w:p>
        </w:tc>
      </w:tr>
      <w:tr>
        <w:trPr>
          <w:trHeight w:val="216"/>
        </w:trPr>
        <w:tc>
          <w:tcPr>
            <w:tcW w:w="80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Goodwill and other intangible assets</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14,170</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14,185</w:t>
            </w:r>
          </w:p>
        </w:tc>
      </w:tr>
      <w:tr>
        <w:trPr>
          <w:trHeight w:val="216"/>
        </w:trPr>
        <w:tc>
          <w:tcPr>
            <w:tcW w:w="80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Right of use assets under operating leases</w:t>
            </w: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89,413</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93,624</w:t>
            </w:r>
          </w:p>
        </w:tc>
      </w:tr>
      <w:tr>
        <w:trPr>
          <w:trHeight w:val="216"/>
        </w:trPr>
        <w:tc>
          <w:tcPr>
            <w:tcW w:w="8000" w:type="dxa"/>
            <w:vAlign w:val="bottom"/>
            <w:tcBorders>
              <w:bottom w:val="single" w:sz="8" w:color="CCEEFF"/>
            </w:tcBorders>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7,675</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7,908</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long-term assets</w:t>
            </w: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117,538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122,584</w:t>
            </w:r>
          </w:p>
        </w:tc>
        <w:tc>
          <w:tcPr>
            <w:tcW w:w="100" w:type="dxa"/>
            <w:vAlign w:val="bottom"/>
          </w:tcPr>
          <w:p>
            <w:pPr>
              <w:spacing w:after="0"/>
              <w:rPr>
                <w:sz w:val="18"/>
                <w:szCs w:val="18"/>
                <w:color w:val="auto"/>
              </w:rPr>
            </w:pPr>
          </w:p>
        </w:tc>
      </w:tr>
      <w:tr>
        <w:trPr>
          <w:trHeight w:val="249"/>
        </w:trPr>
        <w:tc>
          <w:tcPr>
            <w:tcW w:w="8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335,786</w:t>
            </w:r>
          </w:p>
        </w:tc>
        <w:tc>
          <w:tcPr>
            <w:tcW w:w="5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341,170</w:t>
            </w:r>
          </w:p>
        </w:tc>
      </w:tr>
      <w:tr>
        <w:trPr>
          <w:trHeight w:val="197"/>
        </w:trPr>
        <w:tc>
          <w:tcPr>
            <w:tcW w:w="480" w:type="dxa"/>
            <w:vAlign w:val="bottom"/>
            <w:tcBorders>
              <w:top w:val="single" w:sz="8" w:color="CCEEFF"/>
            </w:tcBorders>
          </w:tcPr>
          <w:p>
            <w:pPr>
              <w:spacing w:after="0"/>
              <w:rPr>
                <w:sz w:val="17"/>
                <w:szCs w:val="17"/>
                <w:color w:val="auto"/>
              </w:rPr>
            </w:pPr>
          </w:p>
        </w:tc>
        <w:tc>
          <w:tcPr>
            <w:tcW w:w="2300" w:type="dxa"/>
            <w:vAlign w:val="bottom"/>
            <w:tcBorders>
              <w:top w:val="single" w:sz="8" w:color="CCEEFF"/>
            </w:tcBorders>
          </w:tcPr>
          <w:p>
            <w:pPr>
              <w:spacing w:after="0"/>
              <w:rPr>
                <w:sz w:val="17"/>
                <w:szCs w:val="17"/>
                <w:color w:val="auto"/>
              </w:rPr>
            </w:pPr>
          </w:p>
        </w:tc>
        <w:tc>
          <w:tcPr>
            <w:tcW w:w="52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196"/>
        </w:trPr>
        <w:tc>
          <w:tcPr>
            <w:tcW w:w="800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Liabilities and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7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52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14,682</w:t>
            </w:r>
          </w:p>
        </w:tc>
        <w:tc>
          <w:tcPr>
            <w:tcW w:w="5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13,303</w:t>
            </w:r>
          </w:p>
        </w:tc>
      </w:tr>
      <w:tr>
        <w:trPr>
          <w:trHeight w:val="216"/>
        </w:trPr>
        <w:tc>
          <w:tcPr>
            <w:tcW w:w="80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6,721</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6,898</w:t>
            </w:r>
          </w:p>
        </w:tc>
      </w:tr>
      <w:tr>
        <w:trPr>
          <w:trHeight w:val="216"/>
        </w:trPr>
        <w:tc>
          <w:tcPr>
            <w:tcW w:w="80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Customer deposits</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25,352</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25,742</w:t>
            </w:r>
          </w:p>
        </w:tc>
      </w:tr>
      <w:tr>
        <w:trPr>
          <w:trHeight w:val="216"/>
        </w:trPr>
        <w:tc>
          <w:tcPr>
            <w:tcW w:w="80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Current portion of operating lease obligations</w:t>
            </w: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18,141</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18,050</w:t>
            </w:r>
          </w:p>
        </w:tc>
      </w:tr>
      <w:tr>
        <w:trPr>
          <w:trHeight w:val="216"/>
        </w:trPr>
        <w:tc>
          <w:tcPr>
            <w:tcW w:w="8000" w:type="dxa"/>
            <w:vAlign w:val="bottom"/>
            <w:tcBorders>
              <w:bottom w:val="single" w:sz="8" w:color="CCEEFF"/>
            </w:tcBorders>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accrued expenses</w:t>
            </w: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8,841</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73,737</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73,403</w:t>
            </w:r>
          </w:p>
        </w:tc>
      </w:tr>
      <w:tr>
        <w:trPr>
          <w:trHeight w:val="210"/>
        </w:trPr>
        <w:tc>
          <w:tcPr>
            <w:tcW w:w="48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5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Long-term liabilities</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Post employment benefit obligations</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10,958</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10,882</w:t>
            </w:r>
          </w:p>
        </w:tc>
      </w:tr>
      <w:tr>
        <w:trPr>
          <w:trHeight w:val="216"/>
        </w:trPr>
        <w:tc>
          <w:tcPr>
            <w:tcW w:w="80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Long-term portion of operating lease obligations</w:t>
            </w: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83,371</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88,395</w:t>
            </w:r>
          </w:p>
        </w:tc>
      </w:tr>
      <w:tr>
        <w:trPr>
          <w:trHeight w:val="216"/>
        </w:trPr>
        <w:tc>
          <w:tcPr>
            <w:tcW w:w="8000" w:type="dxa"/>
            <w:vAlign w:val="bottom"/>
            <w:tcBorders>
              <w:bottom w:val="single" w:sz="8" w:color="CCEEFF"/>
            </w:tcBorders>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95,251</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100,440</w:t>
            </w:r>
          </w:p>
        </w:tc>
      </w:tr>
      <w:tr>
        <w:trPr>
          <w:trHeight w:val="209"/>
        </w:trPr>
        <w:tc>
          <w:tcPr>
            <w:tcW w:w="48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5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Common stock</w:t>
            </w: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43,462</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43,681</w:t>
            </w:r>
          </w:p>
        </w:tc>
      </w:tr>
      <w:tr>
        <w:trPr>
          <w:trHeight w:val="216"/>
        </w:trPr>
        <w:tc>
          <w:tcPr>
            <w:tcW w:w="80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Retained earnings</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122,555</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122,847</w:t>
            </w:r>
          </w:p>
        </w:tc>
      </w:tr>
      <w:tr>
        <w:trPr>
          <w:trHeight w:val="216"/>
        </w:trPr>
        <w:tc>
          <w:tcPr>
            <w:tcW w:w="80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Additional paid-in-capital</w:t>
            </w: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8000" w:type="dxa"/>
            <w:vAlign w:val="bottom"/>
            <w:tcBorders>
              <w:bottom w:val="single" w:sz="8" w:color="CCEEFF"/>
            </w:tcBorders>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166,798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167,327</w:t>
            </w:r>
          </w:p>
        </w:tc>
        <w:tc>
          <w:tcPr>
            <w:tcW w:w="100" w:type="dxa"/>
            <w:vAlign w:val="bottom"/>
          </w:tcPr>
          <w:p>
            <w:pPr>
              <w:spacing w:after="0"/>
              <w:rPr>
                <w:sz w:val="18"/>
                <w:szCs w:val="18"/>
                <w:color w:val="auto"/>
              </w:rPr>
            </w:pPr>
          </w:p>
        </w:tc>
      </w:tr>
      <w:tr>
        <w:trPr>
          <w:trHeight w:val="250"/>
        </w:trPr>
        <w:tc>
          <w:tcPr>
            <w:tcW w:w="8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335,786</w:t>
            </w:r>
          </w:p>
        </w:tc>
        <w:tc>
          <w:tcPr>
            <w:tcW w:w="5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341,170</w:t>
            </w:r>
          </w:p>
        </w:tc>
      </w:tr>
      <w:tr>
        <w:trPr>
          <w:trHeight w:val="555"/>
        </w:trPr>
        <w:tc>
          <w:tcPr>
            <w:tcW w:w="480" w:type="dxa"/>
            <w:vAlign w:val="bottom"/>
            <w:tcBorders>
              <w:top w:val="single" w:sz="8" w:color="CCEEFF"/>
              <w:bottom w:val="single" w:sz="8" w:color="auto"/>
            </w:tcBorders>
          </w:tcPr>
          <w:p>
            <w:pPr>
              <w:spacing w:after="0"/>
              <w:rPr>
                <w:sz w:val="24"/>
                <w:szCs w:val="24"/>
                <w:color w:val="auto"/>
              </w:rPr>
            </w:pPr>
          </w:p>
        </w:tc>
        <w:tc>
          <w:tcPr>
            <w:tcW w:w="2300" w:type="dxa"/>
            <w:vAlign w:val="bottom"/>
            <w:tcBorders>
              <w:top w:val="single" w:sz="8" w:color="CCEEFF"/>
              <w:bottom w:val="single" w:sz="8" w:color="auto"/>
            </w:tcBorders>
          </w:tcPr>
          <w:p>
            <w:pPr>
              <w:spacing w:after="0"/>
              <w:rPr>
                <w:sz w:val="24"/>
                <w:szCs w:val="24"/>
                <w:color w:val="auto"/>
              </w:rPr>
            </w:pPr>
          </w:p>
        </w:tc>
        <w:tc>
          <w:tcPr>
            <w:tcW w:w="5220" w:type="dxa"/>
            <w:vAlign w:val="bottom"/>
            <w:tcBorders>
              <w:top w:val="single" w:sz="8" w:color="CCEEFF"/>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134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48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576"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Table 3</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BASSETT FURNITURE INDUSTRIES, INC.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Statements of Cash Flows -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100" w:type="dxa"/>
            <w:vAlign w:val="bottom"/>
            <w:gridSpan w:val="6"/>
          </w:tcPr>
          <w:p>
            <w:pPr>
              <w:jc w:val="right"/>
              <w:ind w:right="860"/>
              <w:spacing w:after="0"/>
              <w:rPr>
                <w:sz w:val="20"/>
                <w:szCs w:val="20"/>
                <w:color w:val="auto"/>
              </w:rPr>
            </w:pPr>
            <w:r>
              <w:rPr>
                <w:rFonts w:ascii="Times New Roman" w:cs="Times New Roman" w:eastAsia="Times New Roman" w:hAnsi="Times New Roman"/>
                <w:sz w:val="18"/>
                <w:szCs w:val="18"/>
                <w:color w:val="auto"/>
              </w:rPr>
              <w:t>Three Months Ended*</w:t>
            </w:r>
          </w:p>
        </w:tc>
      </w:tr>
      <w:tr>
        <w:trPr>
          <w:trHeight w:val="210"/>
        </w:trPr>
        <w:tc>
          <w:tcPr>
            <w:tcW w:w="80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March 1, 2025</w:t>
            </w:r>
          </w:p>
        </w:tc>
        <w:tc>
          <w:tcPr>
            <w:tcW w:w="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March 2, 2024</w:t>
            </w:r>
          </w:p>
        </w:tc>
        <w:tc>
          <w:tcPr>
            <w:tcW w:w="100" w:type="dxa"/>
            <w:vAlign w:val="bottom"/>
          </w:tcPr>
          <w:p>
            <w:pPr>
              <w:spacing w:after="0"/>
              <w:rPr>
                <w:sz w:val="18"/>
                <w:szCs w:val="18"/>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1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1,854</w:t>
            </w:r>
          </w:p>
        </w:tc>
        <w:tc>
          <w:tcPr>
            <w:tcW w:w="120" w:type="dxa"/>
            <w:vAlign w:val="bottom"/>
          </w:tcPr>
          <w:p>
            <w:pPr>
              <w:spacing w:after="0"/>
              <w:rPr>
                <w:sz w:val="18"/>
                <w:szCs w:val="18"/>
                <w:color w:val="auto"/>
              </w:rPr>
            </w:pP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(1,193)</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income (loss) to net cash provided by (used in) operating activities:</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2,664</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 income taxes</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(922)</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net</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302</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Accounts receivable</w:t>
            </w:r>
          </w:p>
        </w:tc>
        <w:tc>
          <w:tcPr>
            <w:tcW w:w="14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(1,037)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(206)</w:t>
            </w:r>
          </w:p>
        </w:tc>
      </w:tr>
      <w:tr>
        <w:trPr>
          <w:trHeight w:val="216"/>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Inventories</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(3,138)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Other current and long-term assets</w:t>
            </w:r>
          </w:p>
        </w:tc>
        <w:tc>
          <w:tcPr>
            <w:tcW w:w="14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(615)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(3,167)</w:t>
            </w:r>
          </w:p>
        </w:tc>
      </w:tr>
      <w:tr>
        <w:trPr>
          <w:trHeight w:val="216"/>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Right of use assets under operating leases</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4,375</w:t>
            </w:r>
          </w:p>
        </w:tc>
      </w:tr>
      <w:tr>
        <w:trPr>
          <w:trHeight w:val="216"/>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Customer deposits</w:t>
            </w:r>
          </w:p>
        </w:tc>
        <w:tc>
          <w:tcPr>
            <w:tcW w:w="14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(390)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Accounts payable and other liabilities</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(3,374)</w:t>
            </w:r>
          </w:p>
        </w:tc>
      </w:tr>
      <w:tr>
        <w:trPr>
          <w:trHeight w:val="216"/>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Obligations under operating leases</w:t>
            </w:r>
          </w:p>
        </w:tc>
        <w:tc>
          <w:tcPr>
            <w:tcW w:w="14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(4,933)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(6,219)</w:t>
            </w:r>
          </w:p>
        </w:tc>
      </w:tr>
      <w:tr>
        <w:trPr>
          <w:trHeight w:val="20"/>
        </w:trPr>
        <w:tc>
          <w:tcPr>
            <w:tcW w:w="80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(7,739)</w:t>
            </w:r>
          </w:p>
        </w:tc>
      </w:tr>
      <w:tr>
        <w:trPr>
          <w:trHeight w:val="209"/>
        </w:trPr>
        <w:tc>
          <w:tcPr>
            <w:tcW w:w="80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4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(871)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(2,076)</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(270)</w:t>
            </w:r>
          </w:p>
        </w:tc>
      </w:tr>
      <w:tr>
        <w:trPr>
          <w:trHeight w:val="20"/>
        </w:trPr>
        <w:tc>
          <w:tcPr>
            <w:tcW w:w="80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14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(882)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(2,346)</w:t>
            </w:r>
          </w:p>
        </w:tc>
      </w:tr>
      <w:tr>
        <w:trPr>
          <w:trHeight w:val="210"/>
        </w:trPr>
        <w:tc>
          <w:tcPr>
            <w:tcW w:w="80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dividends</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(1,734)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(1,573)</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Other issuance of common stock</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86</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(721)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Taxes paid related to net share settlement of equity awards</w:t>
            </w:r>
          </w:p>
        </w:tc>
        <w:tc>
          <w:tcPr>
            <w:tcW w:w="14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(161)</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Repayments of finance lease obligations</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(74)</w:t>
            </w:r>
          </w:p>
        </w:tc>
      </w:tr>
      <w:tr>
        <w:trPr>
          <w:trHeight w:val="20"/>
        </w:trPr>
        <w:tc>
          <w:tcPr>
            <w:tcW w:w="80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14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(2,555)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(1,722)</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Effect of exchange rate changes on cash and cash equivalents</w:t>
            </w: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Change in cash and cash equivalents</w:t>
            </w:r>
          </w:p>
        </w:tc>
        <w:tc>
          <w:tcPr>
            <w:tcW w:w="14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(3,489)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(11,798)</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 beginning of period</w:t>
            </w: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39,551</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52,407</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 end of period</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36,062</w:t>
            </w:r>
          </w:p>
        </w:tc>
        <w:tc>
          <w:tcPr>
            <w:tcW w:w="120" w:type="dxa"/>
            <w:vAlign w:val="bottom"/>
          </w:tcPr>
          <w:p>
            <w:pPr>
              <w:spacing w:after="0"/>
              <w:rPr>
                <w:sz w:val="18"/>
                <w:szCs w:val="18"/>
                <w:color w:val="auto"/>
              </w:rPr>
            </w:pP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40,609</w:t>
            </w:r>
          </w:p>
        </w:tc>
      </w:tr>
      <w:tr>
        <w:trPr>
          <w:trHeight w:val="20"/>
        </w:trPr>
        <w:tc>
          <w:tcPr>
            <w:tcW w:w="80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 weeks in fiscal 2025 versus 14 weeks in fiscal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Table 4</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BASSETT FURNITURE INDUSTRIES, INC.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Segment Information -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100" w:type="dxa"/>
            <w:vAlign w:val="bottom"/>
            <w:gridSpan w:val="6"/>
          </w:tcPr>
          <w:p>
            <w:pPr>
              <w:jc w:val="right"/>
              <w:ind w:right="1100"/>
              <w:spacing w:after="0"/>
              <w:rPr>
                <w:sz w:val="20"/>
                <w:szCs w:val="20"/>
                <w:color w:val="auto"/>
              </w:rPr>
            </w:pPr>
            <w:r>
              <w:rPr>
                <w:rFonts w:ascii="Times New Roman" w:cs="Times New Roman" w:eastAsia="Times New Roman" w:hAnsi="Times New Roman"/>
                <w:sz w:val="18"/>
                <w:szCs w:val="18"/>
                <w:color w:val="auto"/>
              </w:rPr>
              <w:t>Quarter Ended*</w:t>
            </w:r>
          </w:p>
        </w:tc>
      </w:tr>
      <w:tr>
        <w:trPr>
          <w:trHeight w:val="210"/>
        </w:trPr>
        <w:tc>
          <w:tcPr>
            <w:tcW w:w="80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March 1, 2025</w:t>
            </w:r>
          </w:p>
        </w:tc>
        <w:tc>
          <w:tcPr>
            <w:tcW w:w="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March 2, 2024</w:t>
            </w:r>
          </w:p>
        </w:tc>
        <w:tc>
          <w:tcPr>
            <w:tcW w:w="100" w:type="dxa"/>
            <w:vAlign w:val="bottom"/>
          </w:tcPr>
          <w:p>
            <w:pPr>
              <w:spacing w:after="0"/>
              <w:rPr>
                <w:sz w:val="18"/>
                <w:szCs w:val="18"/>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Sales Revenue</w:t>
            </w:r>
          </w:p>
        </w:tc>
        <w:tc>
          <w:tcPr>
            <w:tcW w:w="1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Wholesale sales of furniture and accessories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52,927</w:t>
            </w:r>
          </w:p>
        </w:tc>
        <w:tc>
          <w:tcPr>
            <w:tcW w:w="12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54,700</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Sales to retail segment</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(24,059)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(23,762)</w:t>
            </w:r>
          </w:p>
        </w:tc>
      </w:tr>
      <w:tr>
        <w:trPr>
          <w:trHeight w:val="209"/>
        </w:trPr>
        <w:tc>
          <w:tcPr>
            <w:tcW w:w="8000" w:type="dxa"/>
            <w:vAlign w:val="bottom"/>
            <w:tcBorders>
              <w:top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Wholesale sales to external customers</w:t>
            </w: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28,868</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30,938</w:t>
            </w: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Retail sales of furniture and accessories</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53,294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53,754</w:t>
            </w:r>
          </w:p>
        </w:tc>
      </w:tr>
      <w:tr>
        <w:trPr>
          <w:trHeight w:val="216"/>
        </w:trPr>
        <w:tc>
          <w:tcPr>
            <w:tcW w:w="800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 xml:space="preserve">Corporate &amp; Other - Noa Home </w:t>
            </w:r>
            <w:r>
              <w:rPr>
                <w:rFonts w:ascii="Times New Roman" w:cs="Times New Roman" w:eastAsia="Times New Roman" w:hAnsi="Times New Roman"/>
                <w:sz w:val="25"/>
                <w:szCs w:val="25"/>
                <w:color w:val="auto"/>
                <w:vertAlign w:val="superscript"/>
              </w:rPr>
              <w:t>(1)</w:t>
            </w: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1,862</w:t>
            </w:r>
          </w:p>
        </w:tc>
        <w:tc>
          <w:tcPr>
            <w:tcW w:w="100" w:type="dxa"/>
            <w:vAlign w:val="bottom"/>
          </w:tcPr>
          <w:p>
            <w:pPr>
              <w:spacing w:after="0"/>
              <w:rPr>
                <w:sz w:val="18"/>
                <w:szCs w:val="18"/>
                <w:color w:val="auto"/>
              </w:rPr>
            </w:pPr>
          </w:p>
        </w:tc>
      </w:tr>
      <w:tr>
        <w:trPr>
          <w:trHeight w:val="25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 net sales of furniture and accessories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82,162</w:t>
            </w:r>
          </w:p>
        </w:tc>
        <w:tc>
          <w:tcPr>
            <w:tcW w:w="12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86,554</w:t>
            </w:r>
          </w:p>
        </w:tc>
      </w:tr>
      <w:tr>
        <w:trPr>
          <w:trHeight w:val="196"/>
        </w:trPr>
        <w:tc>
          <w:tcPr>
            <w:tcW w:w="800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8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Wholesale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8,685</w:t>
            </w:r>
          </w:p>
        </w:tc>
        <w:tc>
          <w:tcPr>
            <w:tcW w:w="12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6,760</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Retail</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(1,612)</w:t>
            </w:r>
          </w:p>
        </w:tc>
      </w:tr>
      <w:tr>
        <w:trPr>
          <w:trHeight w:val="216"/>
        </w:trPr>
        <w:tc>
          <w:tcPr>
            <w:tcW w:w="8000" w:type="dxa"/>
            <w:vAlign w:val="bottom"/>
          </w:tcPr>
          <w:p>
            <w:pPr>
              <w:ind w:left="180"/>
              <w:spacing w:after="0" w:line="216" w:lineRule="exact"/>
              <w:rPr>
                <w:sz w:val="20"/>
                <w:szCs w:val="20"/>
                <w:color w:val="auto"/>
              </w:rPr>
            </w:pPr>
            <w:r>
              <w:rPr>
                <w:rFonts w:ascii="Times New Roman" w:cs="Times New Roman" w:eastAsia="Times New Roman" w:hAnsi="Times New Roman"/>
                <w:sz w:val="16"/>
                <w:szCs w:val="16"/>
                <w:color w:val="auto"/>
              </w:rPr>
              <w:t xml:space="preserve">Net expenses - Corporate and other </w:t>
            </w:r>
            <w:r>
              <w:rPr>
                <w:rFonts w:ascii="Times New Roman" w:cs="Times New Roman" w:eastAsia="Times New Roman" w:hAnsi="Times New Roman"/>
                <w:sz w:val="25"/>
                <w:szCs w:val="25"/>
                <w:color w:val="auto"/>
                <w:vertAlign w:val="superscript"/>
              </w:rPr>
              <w:t>(1)</w:t>
            </w:r>
          </w:p>
        </w:tc>
        <w:tc>
          <w:tcPr>
            <w:tcW w:w="14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(6,226)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(7,595)</w:t>
            </w:r>
          </w:p>
        </w:tc>
      </w:tr>
      <w:tr>
        <w:trPr>
          <w:trHeight w:val="216"/>
        </w:trPr>
        <w:tc>
          <w:tcPr>
            <w:tcW w:w="8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Inter-company elimination</w:t>
            </w: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Consolidated income (loss) from operations</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(2,357)</w:t>
            </w:r>
          </w:p>
        </w:tc>
      </w:tr>
      <w:tr>
        <w:trPr>
          <w:trHeight w:val="216"/>
        </w:trPr>
        <w:tc>
          <w:tcPr>
            <w:tcW w:w="8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756</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loss, net</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(459)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(104)</w:t>
            </w:r>
          </w:p>
        </w:tc>
      </w:tr>
      <w:tr>
        <w:trPr>
          <w:trHeight w:val="20"/>
        </w:trPr>
        <w:tc>
          <w:tcPr>
            <w:tcW w:w="80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Consolidated income (loss) before income taxes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(1,705)</w:t>
            </w:r>
          </w:p>
        </w:tc>
      </w:tr>
      <w:tr>
        <w:trPr>
          <w:trHeight w:val="20"/>
        </w:trPr>
        <w:tc>
          <w:tcPr>
            <w:tcW w:w="80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 weeks in fiscal 2025 versus 14 weeks in fiscal 2024.</w:t>
      </w:r>
    </w:p>
    <w:p>
      <w:pPr>
        <w:spacing w:after="0" w:line="225" w:lineRule="exact"/>
        <w:rPr>
          <w:sz w:val="20"/>
          <w:szCs w:val="20"/>
          <w:color w:val="auto"/>
        </w:rPr>
      </w:pPr>
    </w:p>
    <w:p>
      <w:pPr>
        <w:ind w:firstLine="8"/>
        <w:spacing w:after="0" w:line="204" w:lineRule="auto"/>
        <w:tabs>
          <w:tab w:leader="none" w:pos="237" w:val="left"/>
        </w:tabs>
        <w:numPr>
          <w:ilvl w:val="0"/>
          <w:numId w:val="5"/>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7"/>
          <w:szCs w:val="17"/>
          <w:color w:val="auto"/>
        </w:rPr>
        <w:t>Corporate and Other includes the operations of Noa Home Inc. (fiscal 2024 only) along with the shared Corporate costs that are benefiting both the Wholesale and Retail segments.</w:t>
      </w:r>
    </w:p>
    <w:sectPr>
      <w:pgSz w:w="11900" w:h="16838" w:orient="portrait"/>
      <w:cols w:equalWidth="0" w:num="1">
        <w:col w:w="11240"/>
      </w:cols>
      <w:pgMar w:left="320" w:top="57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decimal"/>
      <w:start w:val="99"/>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2025-04-02T16:37:32Z</dcterms:created>
  <dcterms:modified xsi:type="dcterms:W3CDTF">2025-04-02T16:37:32Z</dcterms:modified>
</cp:coreProperties>
</file>