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167" w:lineRule="exact"/>
        <w:rPr>
          <w:sz w:val="24"/>
          <w:szCs w:val="24"/>
          <w:color w:val="auto"/>
        </w:rPr>
      </w:pPr>
    </w:p>
    <w:p>
      <w:pPr>
        <w:ind w:left="2460"/>
        <w:spacing w:after="0"/>
        <w:tabs>
          <w:tab w:leader="none" w:pos="41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6"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5780"/>
        <w:spacing w:after="0"/>
        <w:rPr>
          <w:sz w:val="20"/>
          <w:szCs w:val="20"/>
          <w:color w:val="auto"/>
        </w:rPr>
      </w:pPr>
      <w:r>
        <w:rPr>
          <w:rFonts w:ascii="Courier New" w:cs="Courier New" w:eastAsia="Courier New" w:hAnsi="Courier New"/>
          <w:sz w:val="14"/>
          <w:szCs w:val="14"/>
          <w:color w:val="auto"/>
        </w:rPr>
        <w:t>Page 1 of 24</w:t>
      </w:r>
    </w:p>
    <w:p>
      <w:pPr>
        <w:spacing w:after="0" w:line="178" w:lineRule="exact"/>
        <w:rPr>
          <w:sz w:val="24"/>
          <w:szCs w:val="24"/>
          <w:color w:val="auto"/>
        </w:rPr>
      </w:pPr>
    </w:p>
    <w:p>
      <w:pPr>
        <w:ind w:left="360" w:right="357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w:t>
      </w:r>
    </w:p>
    <w:p>
      <w:pPr>
        <w:sectPr>
          <w:pgSz w:w="11900" w:h="16838" w:orient="portrait"/>
          <w:cols w:equalWidth="0" w:num="1">
            <w:col w:w="10239"/>
          </w:cols>
          <w:pgMar w:left="220" w:top="225" w:right="1440" w:bottom="911"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November 30, 1994</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 0-209</w:t>
      </w:r>
    </w:p>
    <w:p>
      <w:pPr>
        <w:spacing w:after="0" w:line="171" w:lineRule="exact"/>
        <w:rPr>
          <w:sz w:val="24"/>
          <w:szCs w:val="24"/>
          <w:color w:val="auto"/>
        </w:rPr>
      </w:pPr>
    </w:p>
    <w:p>
      <w:pPr>
        <w:sectPr>
          <w:pgSz w:w="11900" w:h="16838" w:orient="portrait"/>
          <w:cols w:equalWidth="0" w:num="2">
            <w:col w:w="3840" w:space="720"/>
            <w:col w:w="5679"/>
          </w:cols>
          <w:pgMar w:left="220" w:top="225" w:right="1440" w:bottom="911"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911"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VIRGINIA</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54-0135270</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540" w:space="720"/>
            <w:col w:w="4979"/>
          </w:cols>
          <w:pgMar w:left="220" w:top="225" w:right="1440" w:bottom="911" w:gutter="0" w:footer="0" w:header="0"/>
          <w:type w:val="continuous"/>
        </w:sectPr>
      </w:pPr>
    </w:p>
    <w:p>
      <w:pPr>
        <w:ind w:left="880"/>
        <w:spacing w:after="0"/>
        <w:tabs>
          <w:tab w:leader="none" w:pos="576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ectPr>
          <w:pgSz w:w="11900" w:h="16838" w:orient="portrait"/>
          <w:cols w:equalWidth="0" w:num="1">
            <w:col w:w="10239"/>
          </w:cols>
          <w:pgMar w:left="220" w:top="225" w:right="1440" w:bottom="911" w:gutter="0" w:footer="0" w:header="0"/>
          <w:type w:val="continuous"/>
        </w:sectPr>
      </w:pP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4"/>
          <w:szCs w:val="24"/>
          <w:color w:val="auto"/>
        </w:rPr>
      </w:pPr>
    </w:p>
    <w:p>
      <w:pPr>
        <w:ind w:left="360"/>
        <w:spacing w:after="0"/>
        <w:tabs>
          <w:tab w:leader="none" w:pos="55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703/629-6000</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Securities registered pursuant to Section 12(g) of the Act:</w:t>
      </w:r>
    </w:p>
    <w:p>
      <w:pPr>
        <w:sectPr>
          <w:pgSz w:w="11900" w:h="16838" w:orient="portrait"/>
          <w:cols w:equalWidth="0" w:num="1">
            <w:col w:w="10239"/>
          </w:cols>
          <w:pgMar w:left="220" w:top="225" w:right="1440" w:bottom="911"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w:t>
      </w:r>
    </w:p>
    <w:p>
      <w:pPr>
        <w:ind w:left="100"/>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3660" w:space="720"/>
            <w:col w:w="5859"/>
          </w:cols>
          <w:pgMar w:left="220" w:top="225" w:right="1440" w:bottom="911" w:gutter="0" w:footer="0" w:header="0"/>
          <w:type w:val="continuous"/>
        </w:sectPr>
      </w:pPr>
    </w:p>
    <w:p>
      <w:pPr>
        <w:spacing w:after="0" w:line="7"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Common Stock ($5.00 par value)</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ind w:left="700"/>
        <w:spacing w:after="0"/>
        <w:rPr>
          <w:sz w:val="20"/>
          <w:szCs w:val="20"/>
          <w:color w:val="auto"/>
        </w:rPr>
      </w:pPr>
      <w:r>
        <w:rPr>
          <w:rFonts w:ascii="Courier New" w:cs="Courier New" w:eastAsia="Courier New" w:hAnsi="Courier New"/>
          <w:sz w:val="15"/>
          <w:szCs w:val="15"/>
          <w:color w:val="auto"/>
        </w:rPr>
        <w:t>NASDAQ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4"/>
          <w:szCs w:val="24"/>
          <w:color w:val="auto"/>
        </w:rPr>
      </w:pPr>
    </w:p>
    <w:p>
      <w:pPr>
        <w:sectPr>
          <w:pgSz w:w="11900" w:h="16838" w:orient="portrait"/>
          <w:cols w:equalWidth="0" w:num="2">
            <w:col w:w="3660" w:space="720"/>
            <w:col w:w="5859"/>
          </w:cols>
          <w:pgMar w:left="220" w:top="225" w:right="1440" w:bottom="911" w:gutter="0" w:footer="0" w:header="0"/>
          <w:type w:val="continuous"/>
        </w:sectPr>
      </w:pPr>
    </w:p>
    <w:p>
      <w:pPr>
        <w:spacing w:after="0" w:line="309"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169" w:lineRule="exact"/>
        <w:rPr>
          <w:sz w:val="24"/>
          <w:szCs w:val="24"/>
          <w:color w:val="auto"/>
        </w:rPr>
      </w:pPr>
    </w:p>
    <w:p>
      <w:pPr>
        <w:jc w:val="center"/>
        <w:ind w:right="3399"/>
        <w:spacing w:after="0"/>
        <w:tabs>
          <w:tab w:leader="none" w:pos="240" w:val="left"/>
        </w:tabs>
        <w:rPr>
          <w:sz w:val="20"/>
          <w:szCs w:val="20"/>
          <w:color w:val="auto"/>
        </w:rPr>
      </w:pPr>
      <w:r>
        <w:rPr>
          <w:rFonts w:ascii="Courier New" w:cs="Courier New" w:eastAsia="Courier New" w:hAnsi="Courier New"/>
          <w:sz w:val="15"/>
          <w:szCs w:val="15"/>
          <w:color w:val="auto"/>
        </w:rPr>
        <w:t>/X/ Yes</w:t>
      </w:r>
      <w:r>
        <w:rPr>
          <w:sz w:val="20"/>
          <w:szCs w:val="20"/>
          <w:color w:val="auto"/>
        </w:rPr>
        <w:tab/>
      </w:r>
      <w:r>
        <w:rPr>
          <w:rFonts w:ascii="Courier New" w:cs="Courier New" w:eastAsia="Courier New" w:hAnsi="Courier New"/>
          <w:sz w:val="14"/>
          <w:szCs w:val="14"/>
          <w:color w:val="auto"/>
        </w:rPr>
        <w:t>/ / No</w:t>
      </w:r>
    </w:p>
    <w:p>
      <w:pPr>
        <w:spacing w:after="0" w:line="173"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74"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State the aggregate market value of the voting stock held by non-affiliates of the registrant as of December 9, 1994.</w:t>
      </w:r>
    </w:p>
    <w:p>
      <w:pPr>
        <w:spacing w:after="0" w:line="167"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Common Stock, $5.00 par value -- $361,360,000</w:t>
      </w:r>
    </w:p>
    <w:p>
      <w:pPr>
        <w:ind w:left="1500"/>
        <w:spacing w:after="0" w:line="237" w:lineRule="auto"/>
        <w:tabs>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w:t>
      </w:r>
    </w:p>
    <w:p>
      <w:pPr>
        <w:spacing w:after="0" w:line="17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Common Stock, $5.00 par value -- 14,086,815 at the close of the period covered</w:t>
      </w:r>
    </w:p>
    <w:p>
      <w:pPr>
        <w:spacing w:after="0" w:line="3" w:lineRule="exact"/>
        <w:rPr>
          <w:sz w:val="24"/>
          <w:szCs w:val="24"/>
          <w:color w:val="auto"/>
        </w:rPr>
      </w:pPr>
    </w:p>
    <w:p>
      <w:pPr>
        <w:ind w:left="100"/>
        <w:spacing w:after="0"/>
        <w:tabs>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800"/>
        <w:spacing w:after="0" w:line="237" w:lineRule="auto"/>
        <w:rPr>
          <w:sz w:val="20"/>
          <w:szCs w:val="20"/>
          <w:color w:val="auto"/>
        </w:rPr>
      </w:pPr>
      <w:r>
        <w:rPr>
          <w:rFonts w:ascii="Courier New" w:cs="Courier New" w:eastAsia="Courier New" w:hAnsi="Courier New"/>
          <w:sz w:val="15"/>
          <w:szCs w:val="15"/>
          <w:color w:val="auto"/>
        </w:rPr>
        <w:t>by this report.</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left="800" w:right="3399" w:hanging="790"/>
        <w:spacing w:after="0" w:line="235"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Annual Report to Stockholders for the year ended November 30, 1994 (the "Annual Report") are incorporated by reference into Parts I and II of this Form 10-K.</w:t>
      </w:r>
    </w:p>
    <w:p>
      <w:pPr>
        <w:spacing w:after="0" w:line="175" w:lineRule="exact"/>
        <w:rPr>
          <w:rFonts w:ascii="Courier New" w:cs="Courier New" w:eastAsia="Courier New" w:hAnsi="Courier New"/>
          <w:sz w:val="15"/>
          <w:szCs w:val="15"/>
          <w:color w:val="auto"/>
        </w:rPr>
      </w:pPr>
    </w:p>
    <w:p>
      <w:pPr>
        <w:ind w:left="800" w:right="3319" w:hanging="790"/>
        <w:spacing w:after="0" w:line="236"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Bassett Furniture Industries, Incorporated definitive Proxy Statement for its 1995 Annual Meeting of Stockholders held February 15, 1995, filed with the Securities and Exchange Commission pursuant to Regulation 14A under the Securities Exchange Act of 1934 (the "Proxy Statement") are incorporated by reference into Part III of this Form 10-K.</w:t>
      </w:r>
    </w:p>
    <w:p>
      <w:pPr>
        <w:sectPr>
          <w:pgSz w:w="11900" w:h="16838" w:orient="portrait"/>
          <w:cols w:equalWidth="0" w:num="1">
            <w:col w:w="10239"/>
          </w:cols>
          <w:pgMar w:left="220" w:top="225" w:right="1440" w:bottom="911"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2 of 24</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335" w:lineRule="exact"/>
        <w:rPr>
          <w:sz w:val="20"/>
          <w:szCs w:val="20"/>
          <w:color w:val="auto"/>
        </w:rPr>
      </w:pPr>
    </w:p>
    <w:p>
      <w:pPr>
        <w:spacing w:after="0"/>
        <w:tabs>
          <w:tab w:leader="none" w:pos="520" w:val="left"/>
          <w:tab w:leader="none" w:pos="1480" w:val="left"/>
        </w:tabs>
        <w:rPr>
          <w:sz w:val="20"/>
          <w:szCs w:val="20"/>
          <w:color w:val="auto"/>
        </w:rPr>
      </w:pPr>
      <w:r>
        <w:rPr>
          <w:rFonts w:ascii="Courier New" w:cs="Courier New" w:eastAsia="Courier New" w:hAnsi="Courier New"/>
          <w:sz w:val="15"/>
          <w:szCs w:val="15"/>
          <w:color w:val="auto"/>
        </w:rPr>
        <w:t>ITEM</w:t>
        <w:tab/>
        <w:t>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GENERAL DEVELOPMENT OF BUSINESS</w:t>
      </w:r>
    </w:p>
    <w:p>
      <w:pPr>
        <w:ind w:left="1940"/>
        <w:spacing w:after="0" w:line="237" w:lineRule="auto"/>
        <w:rPr>
          <w:sz w:val="20"/>
          <w:szCs w:val="20"/>
          <w:color w:val="auto"/>
        </w:rPr>
      </w:pPr>
      <w:r>
        <w:rPr>
          <w:rFonts w:ascii="Courier New" w:cs="Courier New" w:eastAsia="Courier New" w:hAnsi="Courier New"/>
          <w:sz w:val="15"/>
          <w:szCs w:val="15"/>
          <w:color w:val="auto"/>
        </w:rPr>
        <w:t>Bassett Furniture Industries, Incorporated was</w:t>
      </w:r>
    </w:p>
    <w:p>
      <w:pPr>
        <w:ind w:left="1940"/>
        <w:spacing w:after="0" w:line="238" w:lineRule="auto"/>
        <w:rPr>
          <w:sz w:val="20"/>
          <w:szCs w:val="20"/>
          <w:color w:val="auto"/>
        </w:rPr>
      </w:pPr>
      <w:r>
        <w:rPr>
          <w:rFonts w:ascii="Courier New" w:cs="Courier New" w:eastAsia="Courier New" w:hAnsi="Courier New"/>
          <w:sz w:val="15"/>
          <w:szCs w:val="15"/>
          <w:color w:val="auto"/>
        </w:rPr>
        <w:t>incorporated under the laws of the Commonwealth of</w:t>
      </w:r>
    </w:p>
    <w:p>
      <w:pPr>
        <w:ind w:left="1940"/>
        <w:spacing w:after="0"/>
        <w:tabs>
          <w:tab w:leader="none" w:pos="3580" w:val="left"/>
        </w:tabs>
        <w:rPr>
          <w:sz w:val="20"/>
          <w:szCs w:val="20"/>
          <w:color w:val="auto"/>
        </w:rPr>
      </w:pPr>
      <w:r>
        <w:rPr>
          <w:rFonts w:ascii="Courier New" w:cs="Courier New" w:eastAsia="Courier New" w:hAnsi="Courier New"/>
          <w:sz w:val="15"/>
          <w:szCs w:val="15"/>
          <w:color w:val="auto"/>
        </w:rPr>
        <w:t>Virginia in 1930.</w:t>
      </w:r>
      <w:r>
        <w:rPr>
          <w:sz w:val="20"/>
          <w:szCs w:val="20"/>
          <w:color w:val="auto"/>
        </w:rPr>
        <w:tab/>
      </w:r>
      <w:r>
        <w:rPr>
          <w:rFonts w:ascii="Courier New" w:cs="Courier New" w:eastAsia="Courier New" w:hAnsi="Courier New"/>
          <w:sz w:val="14"/>
          <w:szCs w:val="14"/>
          <w:color w:val="auto"/>
        </w:rPr>
        <w:t>The executive offices are located in</w:t>
      </w:r>
    </w:p>
    <w:p>
      <w:pPr>
        <w:ind w:left="1940"/>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167" w:lineRule="exact"/>
        <w:rPr>
          <w:sz w:val="20"/>
          <w:szCs w:val="20"/>
          <w:color w:val="auto"/>
        </w:rPr>
      </w:pPr>
    </w:p>
    <w:p>
      <w:pPr>
        <w:ind w:left="1940"/>
        <w:spacing w:after="0"/>
        <w:tabs>
          <w:tab w:leader="none" w:pos="6380" w:val="left"/>
        </w:tabs>
        <w:rPr>
          <w:sz w:val="20"/>
          <w:szCs w:val="20"/>
          <w:color w:val="auto"/>
        </w:rPr>
      </w:pPr>
      <w:r>
        <w:rPr>
          <w:rFonts w:ascii="Courier New" w:cs="Courier New" w:eastAsia="Courier New" w:hAnsi="Courier New"/>
          <w:sz w:val="15"/>
          <w:szCs w:val="15"/>
          <w:color w:val="auto"/>
        </w:rPr>
        <w:t>Capital expenditures totaled $10 million in 1994.</w:t>
      </w:r>
      <w:r>
        <w:rPr>
          <w:sz w:val="20"/>
          <w:szCs w:val="20"/>
          <w:color w:val="auto"/>
        </w:rPr>
        <w:tab/>
      </w:r>
      <w:r>
        <w:rPr>
          <w:rFonts w:ascii="Courier New" w:cs="Courier New" w:eastAsia="Courier New" w:hAnsi="Courier New"/>
          <w:sz w:val="14"/>
          <w:szCs w:val="14"/>
          <w:color w:val="auto"/>
        </w:rPr>
        <w:t>Major</w:t>
      </w:r>
    </w:p>
    <w:p>
      <w:pPr>
        <w:ind w:left="1940"/>
        <w:spacing w:after="0" w:line="237" w:lineRule="auto"/>
        <w:rPr>
          <w:sz w:val="20"/>
          <w:szCs w:val="20"/>
          <w:color w:val="auto"/>
        </w:rPr>
      </w:pPr>
      <w:r>
        <w:rPr>
          <w:rFonts w:ascii="Courier New" w:cs="Courier New" w:eastAsia="Courier New" w:hAnsi="Courier New"/>
          <w:sz w:val="15"/>
          <w:szCs w:val="15"/>
          <w:color w:val="auto"/>
        </w:rPr>
        <w:t>projects included new material handling systems in two</w:t>
      </w:r>
    </w:p>
    <w:p>
      <w:pPr>
        <w:ind w:left="1940"/>
        <w:spacing w:after="0"/>
        <w:tabs>
          <w:tab w:leader="none" w:pos="3920" w:val="left"/>
        </w:tabs>
        <w:rPr>
          <w:sz w:val="20"/>
          <w:szCs w:val="20"/>
          <w:color w:val="auto"/>
        </w:rPr>
      </w:pPr>
      <w:r>
        <w:rPr>
          <w:rFonts w:ascii="Courier New" w:cs="Courier New" w:eastAsia="Courier New" w:hAnsi="Courier New"/>
          <w:sz w:val="15"/>
          <w:szCs w:val="15"/>
          <w:color w:val="auto"/>
        </w:rPr>
        <w:t>Wood Products plants.</w:t>
      </w:r>
      <w:r>
        <w:rPr>
          <w:sz w:val="20"/>
          <w:szCs w:val="20"/>
          <w:color w:val="auto"/>
        </w:rPr>
        <w:tab/>
      </w:r>
      <w:r>
        <w:rPr>
          <w:rFonts w:ascii="Courier New" w:cs="Courier New" w:eastAsia="Courier New" w:hAnsi="Courier New"/>
          <w:sz w:val="14"/>
          <w:szCs w:val="14"/>
          <w:color w:val="auto"/>
        </w:rPr>
        <w:t>These "rough-end" systems are</w:t>
      </w:r>
    </w:p>
    <w:p>
      <w:pPr>
        <w:ind w:left="1940"/>
        <w:spacing w:after="0" w:line="237" w:lineRule="auto"/>
        <w:rPr>
          <w:sz w:val="20"/>
          <w:szCs w:val="20"/>
          <w:color w:val="auto"/>
        </w:rPr>
      </w:pPr>
      <w:r>
        <w:rPr>
          <w:rFonts w:ascii="Courier New" w:cs="Courier New" w:eastAsia="Courier New" w:hAnsi="Courier New"/>
          <w:sz w:val="15"/>
          <w:szCs w:val="15"/>
          <w:color w:val="auto"/>
        </w:rPr>
        <w:t>designed to improve lumber yield and labor efficiency.</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There have been no material changes in the mode of</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conducting business in the fiscal year beginning December</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1, 1993.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INDUSTRY SEGMENT</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accordance with the instructions for this item,</w:t>
      </w:r>
    </w:p>
    <w:p>
      <w:pPr>
        <w:ind w:left="1940"/>
        <w:spacing w:after="0" w:line="237" w:lineRule="auto"/>
        <w:rPr>
          <w:sz w:val="20"/>
          <w:szCs w:val="20"/>
          <w:color w:val="auto"/>
        </w:rPr>
      </w:pPr>
      <w:r>
        <w:rPr>
          <w:rFonts w:ascii="Courier New" w:cs="Courier New" w:eastAsia="Courier New" w:hAnsi="Courier New"/>
          <w:sz w:val="15"/>
          <w:szCs w:val="15"/>
          <w:color w:val="auto"/>
        </w:rPr>
        <w:t>Bassett Furniture Industries, Incorporated and its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subsidiaries, all of which are wholly-owned (Company), is</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deemed to have been engaged in only one business segment,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manufacture and sale of furniture, for the three years</w:t>
      </w:r>
    </w:p>
    <w:p>
      <w:pPr>
        <w:ind w:left="1940"/>
        <w:spacing w:after="0" w:line="237" w:lineRule="auto"/>
        <w:rPr>
          <w:sz w:val="20"/>
          <w:szCs w:val="20"/>
          <w:color w:val="auto"/>
        </w:rPr>
      </w:pPr>
      <w:r>
        <w:rPr>
          <w:rFonts w:ascii="Courier New" w:cs="Courier New" w:eastAsia="Courier New" w:hAnsi="Courier New"/>
          <w:sz w:val="15"/>
          <w:szCs w:val="15"/>
          <w:color w:val="auto"/>
        </w:rPr>
        <w:t>ended November 30, 1994.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DESCRIPTION OF BUSINESS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Company manufactures and sells a full line of</w:t>
      </w:r>
    </w:p>
    <w:p>
      <w:pPr>
        <w:ind w:left="1940"/>
        <w:spacing w:after="0"/>
        <w:tabs>
          <w:tab w:leader="none" w:pos="4100" w:val="left"/>
        </w:tabs>
        <w:rPr>
          <w:sz w:val="20"/>
          <w:szCs w:val="20"/>
          <w:color w:val="auto"/>
        </w:rPr>
      </w:pPr>
      <w:r>
        <w:rPr>
          <w:rFonts w:ascii="Courier New" w:cs="Courier New" w:eastAsia="Courier New" w:hAnsi="Courier New"/>
          <w:sz w:val="15"/>
          <w:szCs w:val="15"/>
          <w:color w:val="auto"/>
        </w:rPr>
        <w:t>furniture for the home:</w:t>
      </w:r>
      <w:r>
        <w:rPr>
          <w:sz w:val="20"/>
          <w:szCs w:val="20"/>
          <w:color w:val="auto"/>
        </w:rPr>
        <w:tab/>
      </w:r>
      <w:r>
        <w:rPr>
          <w:rFonts w:ascii="Courier New" w:cs="Courier New" w:eastAsia="Courier New" w:hAnsi="Courier New"/>
          <w:sz w:val="14"/>
          <w:szCs w:val="14"/>
          <w:color w:val="auto"/>
        </w:rPr>
        <w:t>bedroom and dining suites and</w:t>
      </w:r>
    </w:p>
    <w:p>
      <w:pPr>
        <w:ind w:left="1940"/>
        <w:spacing w:after="0" w:line="238" w:lineRule="auto"/>
        <w:rPr>
          <w:sz w:val="20"/>
          <w:szCs w:val="20"/>
          <w:color w:val="auto"/>
        </w:rPr>
      </w:pPr>
      <w:r>
        <w:rPr>
          <w:rFonts w:ascii="Courier New" w:cs="Courier New" w:eastAsia="Courier New" w:hAnsi="Courier New"/>
          <w:sz w:val="15"/>
          <w:szCs w:val="15"/>
          <w:color w:val="auto"/>
        </w:rPr>
        <w:t>accent pieces; occasional tables, wall and entertainment</w:t>
      </w:r>
    </w:p>
    <w:p>
      <w:pPr>
        <w:ind w:left="1940"/>
        <w:spacing w:after="0" w:line="237" w:lineRule="auto"/>
        <w:rPr>
          <w:sz w:val="20"/>
          <w:szCs w:val="20"/>
          <w:color w:val="auto"/>
        </w:rPr>
      </w:pPr>
      <w:r>
        <w:rPr>
          <w:rFonts w:ascii="Courier New" w:cs="Courier New" w:eastAsia="Courier New" w:hAnsi="Courier New"/>
          <w:sz w:val="15"/>
          <w:szCs w:val="15"/>
          <w:color w:val="auto"/>
        </w:rPr>
        <w:t>units; upholstered sofas, chairs and love seats (motion</w:t>
      </w:r>
    </w:p>
    <w:p>
      <w:pPr>
        <w:ind w:left="1940"/>
        <w:spacing w:after="0" w:line="238" w:lineRule="auto"/>
        <w:rPr>
          <w:sz w:val="20"/>
          <w:szCs w:val="20"/>
          <w:color w:val="auto"/>
        </w:rPr>
      </w:pPr>
      <w:r>
        <w:rPr>
          <w:rFonts w:ascii="Courier New" w:cs="Courier New" w:eastAsia="Courier New" w:hAnsi="Courier New"/>
          <w:sz w:val="15"/>
          <w:szCs w:val="15"/>
          <w:color w:val="auto"/>
        </w:rPr>
        <w:t>and stationary); recliners; and mattresses and box</w:t>
      </w:r>
    </w:p>
    <w:p>
      <w:pPr>
        <w:ind w:left="1940"/>
        <w:spacing w:after="0"/>
        <w:tabs>
          <w:tab w:leader="none" w:pos="2780" w:val="left"/>
        </w:tabs>
        <w:rPr>
          <w:sz w:val="20"/>
          <w:szCs w:val="20"/>
          <w:color w:val="auto"/>
        </w:rPr>
      </w:pPr>
      <w:r>
        <w:rPr>
          <w:rFonts w:ascii="Courier New" w:cs="Courier New" w:eastAsia="Courier New" w:hAnsi="Courier New"/>
          <w:sz w:val="15"/>
          <w:szCs w:val="15"/>
          <w:color w:val="auto"/>
        </w:rPr>
        <w:t>springs.</w:t>
      </w:r>
      <w:r>
        <w:rPr>
          <w:sz w:val="20"/>
          <w:szCs w:val="20"/>
          <w:color w:val="auto"/>
        </w:rPr>
        <w:tab/>
      </w:r>
      <w:r>
        <w:rPr>
          <w:rFonts w:ascii="Courier New" w:cs="Courier New" w:eastAsia="Courier New" w:hAnsi="Courier New"/>
          <w:sz w:val="14"/>
          <w:szCs w:val="14"/>
          <w:color w:val="auto"/>
        </w:rPr>
        <w:t>The Company's products are distributed through</w:t>
      </w:r>
    </w:p>
    <w:p>
      <w:pPr>
        <w:ind w:left="1940"/>
        <w:spacing w:after="0" w:line="238" w:lineRule="auto"/>
        <w:rPr>
          <w:sz w:val="20"/>
          <w:szCs w:val="20"/>
          <w:color w:val="auto"/>
        </w:rPr>
      </w:pPr>
      <w:r>
        <w:rPr>
          <w:rFonts w:ascii="Courier New" w:cs="Courier New" w:eastAsia="Courier New" w:hAnsi="Courier New"/>
          <w:sz w:val="15"/>
          <w:szCs w:val="15"/>
          <w:color w:val="auto"/>
        </w:rPr>
        <w:t>a large number of retailers, principally in the United</w:t>
      </w:r>
    </w:p>
    <w:p>
      <w:pPr>
        <w:ind w:left="1940"/>
        <w:spacing w:after="0"/>
        <w:tabs>
          <w:tab w:leader="none" w:pos="2700" w:val="left"/>
        </w:tabs>
        <w:rPr>
          <w:sz w:val="20"/>
          <w:szCs w:val="20"/>
          <w:color w:val="auto"/>
        </w:rPr>
      </w:pPr>
      <w:r>
        <w:rPr>
          <w:rFonts w:ascii="Courier New" w:cs="Courier New" w:eastAsia="Courier New" w:hAnsi="Courier New"/>
          <w:sz w:val="15"/>
          <w:szCs w:val="15"/>
          <w:color w:val="auto"/>
        </w:rPr>
        <w:t>States.</w:t>
      </w:r>
      <w:r>
        <w:rPr>
          <w:sz w:val="20"/>
          <w:szCs w:val="20"/>
          <w:color w:val="auto"/>
        </w:rPr>
        <w:tab/>
      </w:r>
      <w:r>
        <w:rPr>
          <w:rFonts w:ascii="Courier New" w:cs="Courier New" w:eastAsia="Courier New" w:hAnsi="Courier New"/>
          <w:sz w:val="14"/>
          <w:szCs w:val="14"/>
          <w:color w:val="auto"/>
        </w:rPr>
        <w:t>The retailers selling the Company's products</w:t>
      </w:r>
    </w:p>
    <w:p>
      <w:pPr>
        <w:ind w:left="1940"/>
        <w:spacing w:after="0" w:line="238" w:lineRule="auto"/>
        <w:rPr>
          <w:sz w:val="20"/>
          <w:szCs w:val="20"/>
          <w:color w:val="auto"/>
        </w:rPr>
      </w:pPr>
      <w:r>
        <w:rPr>
          <w:rFonts w:ascii="Courier New" w:cs="Courier New" w:eastAsia="Courier New" w:hAnsi="Courier New"/>
          <w:sz w:val="15"/>
          <w:szCs w:val="15"/>
          <w:color w:val="auto"/>
        </w:rPr>
        <w:t>include mass merchandisers, department stores,</w:t>
      </w:r>
    </w:p>
    <w:p>
      <w:pPr>
        <w:ind w:left="1940"/>
        <w:spacing w:after="0" w:line="238" w:lineRule="auto"/>
        <w:rPr>
          <w:sz w:val="20"/>
          <w:szCs w:val="20"/>
          <w:color w:val="auto"/>
        </w:rPr>
      </w:pPr>
      <w:r>
        <w:rPr>
          <w:rFonts w:ascii="Courier New" w:cs="Courier New" w:eastAsia="Courier New" w:hAnsi="Courier New"/>
          <w:sz w:val="15"/>
          <w:szCs w:val="15"/>
          <w:color w:val="auto"/>
        </w:rPr>
        <w:t>independent furniture stores, chain furniture stores,</w:t>
      </w:r>
    </w:p>
    <w:p>
      <w:pPr>
        <w:ind w:left="1940"/>
        <w:spacing w:after="0" w:line="237" w:lineRule="auto"/>
        <w:rPr>
          <w:sz w:val="20"/>
          <w:szCs w:val="20"/>
          <w:color w:val="auto"/>
        </w:rPr>
      </w:pPr>
      <w:r>
        <w:rPr>
          <w:rFonts w:ascii="Courier New" w:cs="Courier New" w:eastAsia="Courier New" w:hAnsi="Courier New"/>
          <w:sz w:val="15"/>
          <w:szCs w:val="15"/>
          <w:color w:val="auto"/>
        </w:rPr>
        <w:t>decorator showrooms, warehouse showrooms, specialty</w:t>
      </w:r>
    </w:p>
    <w:p>
      <w:pPr>
        <w:ind w:left="1940"/>
        <w:spacing w:after="0" w:line="238" w:lineRule="auto"/>
        <w:rPr>
          <w:sz w:val="20"/>
          <w:szCs w:val="20"/>
          <w:color w:val="auto"/>
        </w:rPr>
      </w:pPr>
      <w:r>
        <w:rPr>
          <w:rFonts w:ascii="Courier New" w:cs="Courier New" w:eastAsia="Courier New" w:hAnsi="Courier New"/>
          <w:sz w:val="15"/>
          <w:szCs w:val="15"/>
          <w:color w:val="auto"/>
        </w:rPr>
        <w:t>stores and rent-to-own stores.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Because of the dramatic changes that have taken place in</w:t>
      </w:r>
    </w:p>
    <w:p>
      <w:pPr>
        <w:ind w:left="1940"/>
        <w:spacing w:after="0" w:line="237" w:lineRule="auto"/>
        <w:rPr>
          <w:sz w:val="20"/>
          <w:szCs w:val="20"/>
          <w:color w:val="auto"/>
        </w:rPr>
      </w:pPr>
      <w:r>
        <w:rPr>
          <w:rFonts w:ascii="Courier New" w:cs="Courier New" w:eastAsia="Courier New" w:hAnsi="Courier New"/>
          <w:sz w:val="15"/>
          <w:szCs w:val="15"/>
          <w:color w:val="auto"/>
        </w:rPr>
        <w:t>recent years in the retail home furnishings distribution</w:t>
      </w:r>
    </w:p>
    <w:p>
      <w:pPr>
        <w:ind w:left="1940"/>
        <w:spacing w:after="0" w:line="238" w:lineRule="auto"/>
        <w:rPr>
          <w:sz w:val="20"/>
          <w:szCs w:val="20"/>
          <w:color w:val="auto"/>
        </w:rPr>
      </w:pPr>
      <w:r>
        <w:rPr>
          <w:rFonts w:ascii="Courier New" w:cs="Courier New" w:eastAsia="Courier New" w:hAnsi="Courier New"/>
          <w:sz w:val="15"/>
          <w:szCs w:val="15"/>
          <w:color w:val="auto"/>
        </w:rPr>
        <w:t>network, including consolidation and elimination of many</w:t>
      </w:r>
    </w:p>
    <w:p>
      <w:pPr>
        <w:ind w:left="1940"/>
        <w:spacing w:after="0" w:line="237" w:lineRule="auto"/>
        <w:rPr>
          <w:sz w:val="20"/>
          <w:szCs w:val="20"/>
          <w:color w:val="auto"/>
        </w:rPr>
      </w:pPr>
      <w:r>
        <w:rPr>
          <w:rFonts w:ascii="Courier New" w:cs="Courier New" w:eastAsia="Courier New" w:hAnsi="Courier New"/>
          <w:sz w:val="15"/>
          <w:szCs w:val="15"/>
          <w:color w:val="auto"/>
        </w:rPr>
        <w:t>small retail stores, Bassett developed the Bassett</w:t>
      </w:r>
    </w:p>
    <w:p>
      <w:pPr>
        <w:ind w:left="1940"/>
        <w:spacing w:after="0"/>
        <w:tabs>
          <w:tab w:leader="none" w:pos="3480" w:val="left"/>
        </w:tabs>
        <w:rPr>
          <w:sz w:val="20"/>
          <w:szCs w:val="20"/>
          <w:color w:val="auto"/>
        </w:rPr>
      </w:pPr>
      <w:r>
        <w:rPr>
          <w:rFonts w:ascii="Courier New" w:cs="Courier New" w:eastAsia="Courier New" w:hAnsi="Courier New"/>
          <w:sz w:val="15"/>
          <w:szCs w:val="15"/>
          <w:color w:val="auto"/>
        </w:rPr>
        <w:t>Gallery Program.</w:t>
      </w:r>
      <w:r>
        <w:rPr>
          <w:sz w:val="20"/>
          <w:szCs w:val="20"/>
          <w:color w:val="auto"/>
        </w:rPr>
        <w:tab/>
      </w:r>
      <w:r>
        <w:rPr>
          <w:rFonts w:ascii="Courier New" w:cs="Courier New" w:eastAsia="Courier New" w:hAnsi="Courier New"/>
          <w:sz w:val="14"/>
          <w:szCs w:val="14"/>
          <w:color w:val="auto"/>
        </w:rPr>
        <w:t>At November 30, 1994, 256 galleries are</w:t>
      </w:r>
    </w:p>
    <w:p>
      <w:pPr>
        <w:ind w:left="1940"/>
        <w:spacing w:after="0" w:line="237" w:lineRule="auto"/>
        <w:rPr>
          <w:sz w:val="20"/>
          <w:szCs w:val="20"/>
          <w:color w:val="auto"/>
        </w:rPr>
      </w:pPr>
      <w:r>
        <w:rPr>
          <w:rFonts w:ascii="Courier New" w:cs="Courier New" w:eastAsia="Courier New" w:hAnsi="Courier New"/>
          <w:sz w:val="15"/>
          <w:szCs w:val="15"/>
          <w:color w:val="auto"/>
        </w:rPr>
        <w:t>operational with 33 more being added.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October of 1994, the Company announced a new program</w:t>
      </w:r>
    </w:p>
    <w:p>
      <w:pPr>
        <w:ind w:left="1940"/>
        <w:spacing w:after="0" w:line="237" w:lineRule="auto"/>
        <w:rPr>
          <w:sz w:val="20"/>
          <w:szCs w:val="20"/>
          <w:color w:val="auto"/>
        </w:rPr>
      </w:pPr>
      <w:r>
        <w:rPr>
          <w:rFonts w:ascii="Courier New" w:cs="Courier New" w:eastAsia="Courier New" w:hAnsi="Courier New"/>
          <w:sz w:val="15"/>
          <w:szCs w:val="15"/>
          <w:color w:val="auto"/>
        </w:rPr>
        <w:t>that was developed in conjunction with several of the</w:t>
      </w:r>
    </w:p>
    <w:p>
      <w:pPr>
        <w:ind w:left="1940"/>
        <w:spacing w:after="0"/>
        <w:tabs>
          <w:tab w:leader="none" w:pos="4800" w:val="left"/>
        </w:tabs>
        <w:rPr>
          <w:sz w:val="20"/>
          <w:szCs w:val="20"/>
          <w:color w:val="auto"/>
        </w:rPr>
      </w:pPr>
      <w:r>
        <w:rPr>
          <w:rFonts w:ascii="Courier New" w:cs="Courier New" w:eastAsia="Courier New" w:hAnsi="Courier New"/>
          <w:sz w:val="15"/>
          <w:szCs w:val="15"/>
          <w:color w:val="auto"/>
        </w:rPr>
        <w:t>Bassett Gallery retail dealers.</w:t>
      </w:r>
      <w:r>
        <w:rPr>
          <w:sz w:val="20"/>
          <w:szCs w:val="20"/>
          <w:color w:val="auto"/>
        </w:rPr>
        <w:tab/>
      </w:r>
      <w:r>
        <w:rPr>
          <w:rFonts w:ascii="Courier New" w:cs="Courier New" w:eastAsia="Courier New" w:hAnsi="Courier New"/>
          <w:sz w:val="14"/>
          <w:szCs w:val="14"/>
          <w:color w:val="auto"/>
        </w:rPr>
        <w:t>The new concept is</w:t>
      </w:r>
    </w:p>
    <w:p>
      <w:pPr>
        <w:ind w:left="1940"/>
        <w:spacing w:after="0"/>
        <w:tabs>
          <w:tab w:leader="none" w:pos="6460" w:val="left"/>
        </w:tabs>
        <w:rPr>
          <w:sz w:val="20"/>
          <w:szCs w:val="20"/>
          <w:color w:val="auto"/>
        </w:rPr>
      </w:pPr>
      <w:r>
        <w:rPr>
          <w:rFonts w:ascii="Courier New" w:cs="Courier New" w:eastAsia="Courier New" w:hAnsi="Courier New"/>
          <w:sz w:val="15"/>
          <w:szCs w:val="15"/>
          <w:color w:val="auto"/>
        </w:rPr>
        <w:t>called The Bassett Direct Plus Dealership Program.</w:t>
      </w:r>
      <w:r>
        <w:rPr>
          <w:sz w:val="20"/>
          <w:szCs w:val="20"/>
          <w:color w:val="auto"/>
        </w:rPr>
        <w:tab/>
      </w:r>
      <w:r>
        <w:rPr>
          <w:rFonts w:ascii="Courier New" w:cs="Courier New" w:eastAsia="Courier New" w:hAnsi="Courier New"/>
          <w:sz w:val="12"/>
          <w:szCs w:val="12"/>
          <w:color w:val="auto"/>
        </w:rPr>
        <w:t>A</w:t>
      </w:r>
    </w:p>
    <w:p>
      <w:pPr>
        <w:ind w:left="1940"/>
        <w:spacing w:after="0" w:line="238" w:lineRule="auto"/>
        <w:rPr>
          <w:sz w:val="20"/>
          <w:szCs w:val="20"/>
          <w:color w:val="auto"/>
        </w:rPr>
      </w:pPr>
      <w:r>
        <w:rPr>
          <w:rFonts w:ascii="Courier New" w:cs="Courier New" w:eastAsia="Courier New" w:hAnsi="Courier New"/>
          <w:sz w:val="15"/>
          <w:szCs w:val="15"/>
          <w:color w:val="auto"/>
        </w:rPr>
        <w:t>Bassett Direct Plus Dealership is a free standing</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exclusive Bassett store, between 15,000 and 20,000 square</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feet, which displays in gallerized settings all Bassett</w:t>
      </w:r>
    </w:p>
    <w:p>
      <w:pPr>
        <w:ind w:left="1940"/>
        <w:spacing w:after="0"/>
        <w:tabs>
          <w:tab w:leader="none" w:pos="3400" w:val="left"/>
        </w:tabs>
        <w:rPr>
          <w:sz w:val="20"/>
          <w:szCs w:val="20"/>
          <w:color w:val="auto"/>
        </w:rPr>
      </w:pPr>
      <w:r>
        <w:rPr>
          <w:rFonts w:ascii="Courier New" w:cs="Courier New" w:eastAsia="Courier New" w:hAnsi="Courier New"/>
          <w:sz w:val="15"/>
          <w:szCs w:val="15"/>
          <w:color w:val="auto"/>
        </w:rPr>
        <w:t>product groups.</w:t>
      </w:r>
      <w:r>
        <w:rPr>
          <w:sz w:val="20"/>
          <w:szCs w:val="20"/>
          <w:color w:val="auto"/>
        </w:rPr>
        <w:tab/>
      </w:r>
      <w:r>
        <w:rPr>
          <w:rFonts w:ascii="Courier New" w:cs="Courier New" w:eastAsia="Courier New" w:hAnsi="Courier New"/>
          <w:sz w:val="14"/>
          <w:szCs w:val="14"/>
          <w:color w:val="auto"/>
        </w:rPr>
        <w:t>The cornerstone of this program is the</w:t>
      </w:r>
    </w:p>
    <w:p>
      <w:pPr>
        <w:ind w:left="1940"/>
        <w:spacing w:after="0" w:line="238" w:lineRule="auto"/>
        <w:rPr>
          <w:sz w:val="20"/>
          <w:szCs w:val="20"/>
          <w:color w:val="auto"/>
        </w:rPr>
      </w:pPr>
      <w:r>
        <w:rPr>
          <w:rFonts w:ascii="Courier New" w:cs="Courier New" w:eastAsia="Courier New" w:hAnsi="Courier New"/>
          <w:sz w:val="15"/>
          <w:szCs w:val="15"/>
          <w:color w:val="auto"/>
        </w:rPr>
        <w:t>alliance between Bassett and the retail dealer designed</w:t>
      </w:r>
    </w:p>
    <w:p>
      <w:pPr>
        <w:ind w:left="1940"/>
        <w:spacing w:after="0" w:line="237" w:lineRule="auto"/>
        <w:rPr>
          <w:sz w:val="20"/>
          <w:szCs w:val="20"/>
          <w:color w:val="auto"/>
        </w:rPr>
      </w:pPr>
      <w:r>
        <w:rPr>
          <w:rFonts w:ascii="Courier New" w:cs="Courier New" w:eastAsia="Courier New" w:hAnsi="Courier New"/>
          <w:sz w:val="15"/>
          <w:szCs w:val="15"/>
          <w:color w:val="auto"/>
        </w:rPr>
        <w:t>to create the closest possible working relationship</w:t>
      </w:r>
    </w:p>
    <w:p>
      <w:pPr>
        <w:ind w:left="1940"/>
        <w:spacing w:after="0"/>
        <w:tabs>
          <w:tab w:leader="none" w:pos="3480" w:val="left"/>
        </w:tabs>
        <w:rPr>
          <w:sz w:val="20"/>
          <w:szCs w:val="20"/>
          <w:color w:val="auto"/>
        </w:rPr>
      </w:pPr>
      <w:r>
        <w:rPr>
          <w:rFonts w:ascii="Courier New" w:cs="Courier New" w:eastAsia="Courier New" w:hAnsi="Courier New"/>
          <w:sz w:val="15"/>
          <w:szCs w:val="15"/>
          <w:color w:val="auto"/>
        </w:rPr>
        <w:t>between the two.</w:t>
      </w:r>
      <w:r>
        <w:rPr>
          <w:sz w:val="20"/>
          <w:szCs w:val="20"/>
          <w:color w:val="auto"/>
        </w:rPr>
        <w:tab/>
      </w:r>
      <w:r>
        <w:rPr>
          <w:rFonts w:ascii="Courier New" w:cs="Courier New" w:eastAsia="Courier New" w:hAnsi="Courier New"/>
          <w:sz w:val="14"/>
          <w:szCs w:val="14"/>
          <w:color w:val="auto"/>
        </w:rPr>
        <w:t>This is accomplished by the use of the</w:t>
      </w:r>
    </w:p>
    <w:p>
      <w:pPr>
        <w:ind w:left="1940"/>
        <w:spacing w:after="0" w:line="237" w:lineRule="auto"/>
        <w:rPr>
          <w:sz w:val="20"/>
          <w:szCs w:val="20"/>
          <w:color w:val="auto"/>
        </w:rPr>
      </w:pPr>
      <w:r>
        <w:rPr>
          <w:rFonts w:ascii="Courier New" w:cs="Courier New" w:eastAsia="Courier New" w:hAnsi="Courier New"/>
          <w:sz w:val="15"/>
          <w:szCs w:val="15"/>
          <w:color w:val="auto"/>
        </w:rPr>
        <w:t>very latest computer technologies such as EDI and</w:t>
      </w:r>
    </w:p>
    <w:p>
      <w:pPr>
        <w:ind w:left="1940"/>
        <w:spacing w:after="0" w:line="238" w:lineRule="auto"/>
        <w:rPr>
          <w:sz w:val="20"/>
          <w:szCs w:val="20"/>
          <w:color w:val="auto"/>
        </w:rPr>
      </w:pPr>
      <w:r>
        <w:rPr>
          <w:rFonts w:ascii="Courier New" w:cs="Courier New" w:eastAsia="Courier New" w:hAnsi="Courier New"/>
          <w:sz w:val="15"/>
          <w:szCs w:val="15"/>
          <w:color w:val="auto"/>
        </w:rPr>
        <w:t>BassNet, which are part of a streamlined management</w:t>
      </w:r>
    </w:p>
    <w:p>
      <w:pPr>
        <w:ind w:left="1940"/>
        <w:spacing w:after="0" w:line="237" w:lineRule="auto"/>
        <w:rPr>
          <w:sz w:val="20"/>
          <w:szCs w:val="20"/>
          <w:color w:val="auto"/>
        </w:rPr>
      </w:pPr>
      <w:r>
        <w:rPr>
          <w:rFonts w:ascii="Courier New" w:cs="Courier New" w:eastAsia="Courier New" w:hAnsi="Courier New"/>
          <w:sz w:val="15"/>
          <w:szCs w:val="15"/>
          <w:color w:val="auto"/>
        </w:rPr>
        <w:t>system for the retail dealer.</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1994, the Company became the first furniture</w:t>
      </w:r>
    </w:p>
    <w:p>
      <w:pPr>
        <w:ind w:left="1940"/>
        <w:spacing w:after="0" w:line="237" w:lineRule="auto"/>
        <w:rPr>
          <w:sz w:val="20"/>
          <w:szCs w:val="20"/>
          <w:color w:val="auto"/>
        </w:rPr>
      </w:pPr>
      <w:r>
        <w:rPr>
          <w:rFonts w:ascii="Courier New" w:cs="Courier New" w:eastAsia="Courier New" w:hAnsi="Courier New"/>
          <w:sz w:val="15"/>
          <w:szCs w:val="15"/>
          <w:color w:val="auto"/>
        </w:rPr>
        <w:t>manufacturer to take advantage of the "Information</w:t>
      </w:r>
    </w:p>
    <w:p>
      <w:pPr>
        <w:ind w:left="1940"/>
        <w:spacing w:after="0" w:line="238" w:lineRule="auto"/>
        <w:rPr>
          <w:sz w:val="20"/>
          <w:szCs w:val="20"/>
          <w:color w:val="auto"/>
        </w:rPr>
      </w:pPr>
      <w:r>
        <w:rPr>
          <w:rFonts w:ascii="Courier New" w:cs="Courier New" w:eastAsia="Courier New" w:hAnsi="Courier New"/>
          <w:sz w:val="15"/>
          <w:szCs w:val="15"/>
          <w:color w:val="auto"/>
        </w:rPr>
        <w:t>Superhighway" through the Company's new Electronic</w:t>
      </w:r>
    </w:p>
    <w:p>
      <w:pPr>
        <w:ind w:left="1940"/>
        <w:spacing w:after="0" w:line="237" w:lineRule="auto"/>
        <w:rPr>
          <w:sz w:val="20"/>
          <w:szCs w:val="20"/>
          <w:color w:val="auto"/>
        </w:rPr>
      </w:pPr>
      <w:r>
        <w:rPr>
          <w:rFonts w:ascii="Courier New" w:cs="Courier New" w:eastAsia="Courier New" w:hAnsi="Courier New"/>
          <w:sz w:val="15"/>
          <w:szCs w:val="15"/>
          <w:color w:val="auto"/>
        </w:rPr>
        <w:t>Showroom on CompuServe (the nation's largest computer</w:t>
      </w:r>
    </w:p>
    <w:p>
      <w:pPr>
        <w:ind w:left="1940"/>
        <w:spacing w:after="0"/>
        <w:tabs>
          <w:tab w:leader="none" w:pos="3920" w:val="left"/>
        </w:tabs>
        <w:rPr>
          <w:sz w:val="20"/>
          <w:szCs w:val="20"/>
          <w:color w:val="auto"/>
        </w:rPr>
      </w:pPr>
      <w:r>
        <w:rPr>
          <w:rFonts w:ascii="Courier New" w:cs="Courier New" w:eastAsia="Courier New" w:hAnsi="Courier New"/>
          <w:sz w:val="15"/>
          <w:szCs w:val="15"/>
          <w:color w:val="auto"/>
        </w:rPr>
        <w:t>information service).</w:t>
      </w:r>
      <w:r>
        <w:rPr>
          <w:sz w:val="20"/>
          <w:szCs w:val="20"/>
          <w:color w:val="auto"/>
        </w:rPr>
        <w:tab/>
      </w:r>
      <w:r>
        <w:rPr>
          <w:rFonts w:ascii="Courier New" w:cs="Courier New" w:eastAsia="Courier New" w:hAnsi="Courier New"/>
          <w:sz w:val="14"/>
          <w:szCs w:val="14"/>
          <w:color w:val="auto"/>
        </w:rPr>
        <w:t>Consumers have the ability to tour</w:t>
      </w:r>
    </w:p>
    <w:p>
      <w:pPr>
        <w:ind w:left="1940"/>
        <w:spacing w:after="0" w:line="237" w:lineRule="auto"/>
        <w:rPr>
          <w:sz w:val="20"/>
          <w:szCs w:val="20"/>
          <w:color w:val="auto"/>
        </w:rPr>
      </w:pPr>
      <w:r>
        <w:rPr>
          <w:rFonts w:ascii="Courier New" w:cs="Courier New" w:eastAsia="Courier New" w:hAnsi="Courier New"/>
          <w:sz w:val="15"/>
          <w:szCs w:val="15"/>
          <w:color w:val="auto"/>
        </w:rPr>
        <w:t>the on-line showroom, learn about the</w:t>
      </w:r>
    </w:p>
    <w:p>
      <w:pPr>
        <w:sectPr>
          <w:pgSz w:w="11900" w:h="16838" w:orient="portrait"/>
          <w:cols w:equalWidth="0" w:num="1">
            <w:col w:w="10239"/>
          </w:cols>
          <w:pgMar w:left="220" w:top="28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3 of 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Company and its products and, at their request, be</w:t>
      </w:r>
    </w:p>
    <w:p>
      <w:pPr>
        <w:ind w:left="1660"/>
        <w:spacing w:after="0" w:line="237" w:lineRule="auto"/>
        <w:rPr>
          <w:sz w:val="20"/>
          <w:szCs w:val="20"/>
          <w:color w:val="auto"/>
        </w:rPr>
      </w:pPr>
      <w:r>
        <w:rPr>
          <w:rFonts w:ascii="Courier New" w:cs="Courier New" w:eastAsia="Courier New" w:hAnsi="Courier New"/>
          <w:sz w:val="15"/>
          <w:szCs w:val="15"/>
          <w:color w:val="auto"/>
        </w:rPr>
        <w:t>referred to the Bassett retail dealer nearest them.</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In addition, in 1994 the Company signed three licensing</w:t>
      </w:r>
    </w:p>
    <w:p>
      <w:pPr>
        <w:ind w:left="1660"/>
        <w:spacing w:after="0"/>
        <w:tabs>
          <w:tab w:leader="none" w:pos="2780" w:val="left"/>
        </w:tabs>
        <w:rPr>
          <w:sz w:val="20"/>
          <w:szCs w:val="20"/>
          <w:color w:val="auto"/>
        </w:rPr>
      </w:pPr>
      <w:r>
        <w:rPr>
          <w:rFonts w:ascii="Courier New" w:cs="Courier New" w:eastAsia="Courier New" w:hAnsi="Courier New"/>
          <w:sz w:val="15"/>
          <w:szCs w:val="15"/>
          <w:color w:val="auto"/>
        </w:rPr>
        <w:t>agreements:</w:t>
      </w:r>
      <w:r>
        <w:rPr>
          <w:sz w:val="20"/>
          <w:szCs w:val="20"/>
          <w:color w:val="auto"/>
        </w:rPr>
        <w:tab/>
      </w:r>
      <w:r>
        <w:rPr>
          <w:rFonts w:ascii="Courier New" w:cs="Courier New" w:eastAsia="Courier New" w:hAnsi="Courier New"/>
          <w:sz w:val="14"/>
          <w:szCs w:val="14"/>
          <w:color w:val="auto"/>
        </w:rPr>
        <w:t>Bassett Divisions for the "Bassett - J.G.</w:t>
      </w:r>
    </w:p>
    <w:p>
      <w:pPr>
        <w:ind w:left="1660"/>
        <w:spacing w:after="0" w:line="238" w:lineRule="auto"/>
        <w:rPr>
          <w:sz w:val="20"/>
          <w:szCs w:val="20"/>
          <w:color w:val="auto"/>
        </w:rPr>
      </w:pPr>
      <w:r>
        <w:rPr>
          <w:rFonts w:ascii="Courier New" w:cs="Courier New" w:eastAsia="Courier New" w:hAnsi="Courier New"/>
          <w:sz w:val="15"/>
          <w:szCs w:val="15"/>
          <w:color w:val="auto"/>
        </w:rPr>
        <w:t>Hook Home Fashions Collection"; National/Mt. Airy</w:t>
      </w:r>
    </w:p>
    <w:p>
      <w:pPr>
        <w:ind w:left="1660"/>
        <w:spacing w:after="0" w:line="237" w:lineRule="auto"/>
        <w:rPr>
          <w:sz w:val="20"/>
          <w:szCs w:val="20"/>
          <w:color w:val="auto"/>
        </w:rPr>
      </w:pPr>
      <w:r>
        <w:rPr>
          <w:rFonts w:ascii="Courier New" w:cs="Courier New" w:eastAsia="Courier New" w:hAnsi="Courier New"/>
          <w:sz w:val="15"/>
          <w:szCs w:val="15"/>
          <w:color w:val="auto"/>
        </w:rPr>
        <w:t>Division for the "Carson Prairie Collection"; and Weiman</w:t>
      </w:r>
    </w:p>
    <w:p>
      <w:pPr>
        <w:ind w:left="1660"/>
        <w:spacing w:after="0" w:line="238" w:lineRule="auto"/>
        <w:rPr>
          <w:sz w:val="20"/>
          <w:szCs w:val="20"/>
          <w:color w:val="auto"/>
        </w:rPr>
      </w:pPr>
      <w:r>
        <w:rPr>
          <w:rFonts w:ascii="Courier New" w:cs="Courier New" w:eastAsia="Courier New" w:hAnsi="Courier New"/>
          <w:sz w:val="15"/>
          <w:szCs w:val="15"/>
          <w:color w:val="auto"/>
        </w:rPr>
        <w:t>Division for designs by the Japanese designer, Yoshiharu</w:t>
      </w:r>
    </w:p>
    <w:p>
      <w:pPr>
        <w:ind w:left="1660"/>
        <w:spacing w:after="0" w:line="237" w:lineRule="auto"/>
        <w:rPr>
          <w:sz w:val="20"/>
          <w:szCs w:val="20"/>
          <w:color w:val="auto"/>
        </w:rPr>
      </w:pPr>
      <w:r>
        <w:rPr>
          <w:rFonts w:ascii="Courier New" w:cs="Courier New" w:eastAsia="Courier New" w:hAnsi="Courier New"/>
          <w:sz w:val="15"/>
          <w:szCs w:val="15"/>
          <w:color w:val="auto"/>
        </w:rPr>
        <w:t>Hatano.</w:t>
      </w:r>
    </w:p>
    <w:p>
      <w:pPr>
        <w:spacing w:after="0" w:line="174" w:lineRule="exact"/>
        <w:rPr>
          <w:sz w:val="20"/>
          <w:szCs w:val="20"/>
          <w:color w:val="auto"/>
        </w:rPr>
      </w:pPr>
    </w:p>
    <w:p>
      <w:pPr>
        <w:ind w:left="1660" w:right="3319"/>
        <w:spacing w:after="0" w:line="255" w:lineRule="auto"/>
        <w:rPr>
          <w:sz w:val="20"/>
          <w:szCs w:val="20"/>
          <w:color w:val="auto"/>
        </w:rPr>
      </w:pPr>
      <w:r>
        <w:rPr>
          <w:rFonts w:ascii="Courier New" w:cs="Courier New" w:eastAsia="Courier New" w:hAnsi="Courier New"/>
          <w:sz w:val="14"/>
          <w:szCs w:val="14"/>
          <w:color w:val="auto"/>
        </w:rPr>
        <w:t>Raw materials used by the Company are generally available from numerous sources and are obtained principally from domestic sources. The cost pressures on lumber and lumber related products (which increased significantly in 1993) eased off somewhat in 1994; however, cost increases in other raw materials were experienced in 1994. Further, it continued to be very difficult to pass through the incurred cost increases to retail dealers in the form of increased sales prices.</w:t>
      </w:r>
    </w:p>
    <w:p>
      <w:pPr>
        <w:spacing w:after="0" w:line="15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Company's trademark "Bassett" and the names of its</w:t>
      </w:r>
    </w:p>
    <w:p>
      <w:pPr>
        <w:ind w:left="1660"/>
        <w:spacing w:after="0" w:line="237" w:lineRule="auto"/>
        <w:rPr>
          <w:sz w:val="20"/>
          <w:szCs w:val="20"/>
          <w:color w:val="auto"/>
        </w:rPr>
      </w:pPr>
      <w:r>
        <w:rPr>
          <w:rFonts w:ascii="Courier New" w:cs="Courier New" w:eastAsia="Courier New" w:hAnsi="Courier New"/>
          <w:sz w:val="15"/>
          <w:szCs w:val="15"/>
          <w:color w:val="auto"/>
        </w:rPr>
        <w:t>marketing divisions and product collections are</w:t>
      </w:r>
    </w:p>
    <w:p>
      <w:pPr>
        <w:ind w:left="1660"/>
        <w:spacing w:after="0" w:line="238" w:lineRule="auto"/>
        <w:tabs>
          <w:tab w:leader="none" w:pos="5560" w:val="left"/>
        </w:tabs>
        <w:rPr>
          <w:sz w:val="20"/>
          <w:szCs w:val="20"/>
          <w:color w:val="auto"/>
        </w:rPr>
      </w:pPr>
      <w:r>
        <w:rPr>
          <w:rFonts w:ascii="Courier New" w:cs="Courier New" w:eastAsia="Courier New" w:hAnsi="Courier New"/>
          <w:sz w:val="15"/>
          <w:szCs w:val="15"/>
          <w:color w:val="auto"/>
        </w:rPr>
        <w:t>significant to the conduct of its business.</w:t>
        <w:tab/>
        <w:t>This</w:t>
      </w:r>
    </w:p>
    <w:p>
      <w:pPr>
        <w:ind w:left="1660"/>
        <w:spacing w:after="0" w:line="237" w:lineRule="auto"/>
        <w:rPr>
          <w:sz w:val="20"/>
          <w:szCs w:val="20"/>
          <w:color w:val="auto"/>
        </w:rPr>
      </w:pPr>
      <w:r>
        <w:rPr>
          <w:rFonts w:ascii="Courier New" w:cs="Courier New" w:eastAsia="Courier New" w:hAnsi="Courier New"/>
          <w:sz w:val="15"/>
          <w:szCs w:val="15"/>
          <w:color w:val="auto"/>
        </w:rPr>
        <w:t>importance is due to consumer recognition of the names</w:t>
      </w:r>
    </w:p>
    <w:p>
      <w:pPr>
        <w:ind w:left="1660"/>
        <w:spacing w:after="0" w:line="238" w:lineRule="auto"/>
        <w:rPr>
          <w:sz w:val="20"/>
          <w:szCs w:val="20"/>
          <w:color w:val="auto"/>
        </w:rPr>
      </w:pPr>
      <w:r>
        <w:rPr>
          <w:rFonts w:ascii="Courier New" w:cs="Courier New" w:eastAsia="Courier New" w:hAnsi="Courier New"/>
          <w:sz w:val="15"/>
          <w:szCs w:val="15"/>
          <w:color w:val="auto"/>
        </w:rPr>
        <w:t>and identification with the Company's broad range of</w:t>
      </w:r>
    </w:p>
    <w:p>
      <w:pPr>
        <w:ind w:left="1660"/>
        <w:spacing w:after="0" w:line="237" w:lineRule="auto"/>
        <w:tabs>
          <w:tab w:leader="none" w:pos="2600" w:val="left"/>
        </w:tabs>
        <w:rPr>
          <w:sz w:val="20"/>
          <w:szCs w:val="20"/>
          <w:color w:val="auto"/>
        </w:rPr>
      </w:pPr>
      <w:r>
        <w:rPr>
          <w:rFonts w:ascii="Courier New" w:cs="Courier New" w:eastAsia="Courier New" w:hAnsi="Courier New"/>
          <w:sz w:val="15"/>
          <w:szCs w:val="15"/>
          <w:color w:val="auto"/>
        </w:rPr>
        <w:t>products.</w:t>
        <w:tab/>
        <w:t>The Company owns certain patents and licenses</w:t>
      </w:r>
    </w:p>
    <w:p>
      <w:pPr>
        <w:ind w:left="1660"/>
        <w:spacing w:after="0" w:line="238" w:lineRule="auto"/>
        <w:rPr>
          <w:sz w:val="20"/>
          <w:szCs w:val="20"/>
          <w:color w:val="auto"/>
        </w:rPr>
      </w:pPr>
      <w:r>
        <w:rPr>
          <w:rFonts w:ascii="Courier New" w:cs="Courier New" w:eastAsia="Courier New" w:hAnsi="Courier New"/>
          <w:sz w:val="15"/>
          <w:szCs w:val="15"/>
          <w:color w:val="auto"/>
        </w:rPr>
        <w:t>that are important in the conduct of the Company's</w:t>
      </w:r>
    </w:p>
    <w:p>
      <w:pPr>
        <w:ind w:left="1660"/>
        <w:spacing w:after="0" w:line="237" w:lineRule="auto"/>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left="1660" w:right="3319"/>
        <w:spacing w:after="0" w:line="234" w:lineRule="auto"/>
        <w:rPr>
          <w:sz w:val="20"/>
          <w:szCs w:val="20"/>
          <w:color w:val="auto"/>
        </w:rPr>
      </w:pPr>
      <w:r>
        <w:rPr>
          <w:rFonts w:ascii="Courier New" w:cs="Courier New" w:eastAsia="Courier New" w:hAnsi="Courier New"/>
          <w:sz w:val="15"/>
          <w:szCs w:val="15"/>
          <w:color w:val="auto"/>
        </w:rPr>
        <w:t>The furniture industry is not considered to be a seasonal industry.</w:t>
      </w:r>
    </w:p>
    <w:p>
      <w:pPr>
        <w:spacing w:after="0" w:line="173" w:lineRule="exact"/>
        <w:rPr>
          <w:sz w:val="20"/>
          <w:szCs w:val="20"/>
          <w:color w:val="auto"/>
        </w:rPr>
      </w:pPr>
    </w:p>
    <w:p>
      <w:pPr>
        <w:ind w:left="1660" w:right="3319"/>
        <w:spacing w:after="0" w:line="235" w:lineRule="auto"/>
        <w:rPr>
          <w:sz w:val="20"/>
          <w:szCs w:val="20"/>
          <w:color w:val="auto"/>
        </w:rPr>
      </w:pPr>
      <w:r>
        <w:rPr>
          <w:rFonts w:ascii="Courier New" w:cs="Courier New" w:eastAsia="Courier New" w:hAnsi="Courier New"/>
          <w:sz w:val="15"/>
          <w:szCs w:val="15"/>
          <w:color w:val="auto"/>
        </w:rPr>
        <w:t>There are no special practices in the furniture industry, or applicable to the Company, that would have a significant effect on working capital items.</w:t>
      </w:r>
    </w:p>
    <w:p>
      <w:pPr>
        <w:spacing w:after="0" w:line="174" w:lineRule="exact"/>
        <w:rPr>
          <w:sz w:val="20"/>
          <w:szCs w:val="20"/>
          <w:color w:val="auto"/>
        </w:rPr>
      </w:pPr>
    </w:p>
    <w:p>
      <w:pPr>
        <w:ind w:left="1660" w:right="3319"/>
        <w:spacing w:after="0" w:line="236" w:lineRule="auto"/>
        <w:rPr>
          <w:sz w:val="20"/>
          <w:szCs w:val="20"/>
          <w:color w:val="auto"/>
        </w:rPr>
      </w:pPr>
      <w:r>
        <w:rPr>
          <w:rFonts w:ascii="Courier New" w:cs="Courier New" w:eastAsia="Courier New" w:hAnsi="Courier New"/>
          <w:sz w:val="15"/>
          <w:szCs w:val="15"/>
          <w:color w:val="auto"/>
        </w:rPr>
        <w:t>The Company is not dependent upon a single customer, the loss of which would have a material adverse effect on the Company. Sales to one customer (J. C. Penney Company) amounted to approximately 13% of gross sales in 1994, 12% in 1993 and 13% in 1992.</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Company's backlog of orders believed to be firm was</w:t>
      </w:r>
    </w:p>
    <w:p>
      <w:pPr>
        <w:ind w:left="1660"/>
        <w:spacing w:after="0" w:line="237" w:lineRule="auto"/>
        <w:rPr>
          <w:sz w:val="20"/>
          <w:szCs w:val="20"/>
          <w:color w:val="auto"/>
        </w:rPr>
      </w:pPr>
      <w:r>
        <w:rPr>
          <w:rFonts w:ascii="Courier New" w:cs="Courier New" w:eastAsia="Courier New" w:hAnsi="Courier New"/>
          <w:sz w:val="15"/>
          <w:szCs w:val="15"/>
          <w:color w:val="auto"/>
        </w:rPr>
        <w:t>$66,500,000 at November 30, 1994 and $67,400,000 at</w:t>
      </w:r>
    </w:p>
    <w:p>
      <w:pPr>
        <w:ind w:left="1660"/>
        <w:spacing w:after="0"/>
        <w:tabs>
          <w:tab w:leader="none" w:pos="3380" w:val="left"/>
        </w:tabs>
        <w:rPr>
          <w:sz w:val="20"/>
          <w:szCs w:val="20"/>
          <w:color w:val="auto"/>
        </w:rPr>
      </w:pPr>
      <w:r>
        <w:rPr>
          <w:rFonts w:ascii="Courier New" w:cs="Courier New" w:eastAsia="Courier New" w:hAnsi="Courier New"/>
          <w:sz w:val="15"/>
          <w:szCs w:val="15"/>
          <w:color w:val="auto"/>
        </w:rPr>
        <w:t>November 30, 1993.</w:t>
      </w:r>
      <w:r>
        <w:rPr>
          <w:sz w:val="20"/>
          <w:szCs w:val="20"/>
          <w:color w:val="auto"/>
        </w:rPr>
        <w:tab/>
      </w:r>
      <w:r>
        <w:rPr>
          <w:rFonts w:ascii="Courier New" w:cs="Courier New" w:eastAsia="Courier New" w:hAnsi="Courier New"/>
          <w:sz w:val="14"/>
          <w:szCs w:val="14"/>
          <w:color w:val="auto"/>
        </w:rPr>
        <w:t>It is expected that the November 30,</w:t>
      </w:r>
    </w:p>
    <w:p>
      <w:pPr>
        <w:ind w:left="1660"/>
        <w:spacing w:after="0" w:line="237" w:lineRule="auto"/>
        <w:rPr>
          <w:sz w:val="20"/>
          <w:szCs w:val="20"/>
          <w:color w:val="auto"/>
        </w:rPr>
      </w:pPr>
      <w:r>
        <w:rPr>
          <w:rFonts w:ascii="Courier New" w:cs="Courier New" w:eastAsia="Courier New" w:hAnsi="Courier New"/>
          <w:sz w:val="15"/>
          <w:szCs w:val="15"/>
          <w:color w:val="auto"/>
        </w:rPr>
        <w:t>1994 backlog will be filled within the 1995 fiscal year.</w:t>
      </w:r>
    </w:p>
    <w:p>
      <w:pPr>
        <w:spacing w:after="0" w:line="167"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None of the Company's business involves government</w:t>
      </w:r>
    </w:p>
    <w:p>
      <w:pPr>
        <w:ind w:left="1660"/>
        <w:spacing w:after="0" w:line="237" w:lineRule="auto"/>
        <w:rPr>
          <w:sz w:val="20"/>
          <w:szCs w:val="20"/>
          <w:color w:val="auto"/>
        </w:rPr>
      </w:pPr>
      <w:r>
        <w:rPr>
          <w:rFonts w:ascii="Courier New" w:cs="Courier New" w:eastAsia="Courier New" w:hAnsi="Courier New"/>
          <w:sz w:val="15"/>
          <w:szCs w:val="15"/>
          <w:color w:val="auto"/>
        </w:rPr>
        <w:t>contracts.</w:t>
      </w:r>
    </w:p>
    <w:p>
      <w:pPr>
        <w:spacing w:after="0" w:line="173" w:lineRule="exact"/>
        <w:rPr>
          <w:sz w:val="20"/>
          <w:szCs w:val="20"/>
          <w:color w:val="auto"/>
        </w:rPr>
      </w:pPr>
    </w:p>
    <w:p>
      <w:pPr>
        <w:ind w:left="1660" w:right="3319"/>
        <w:spacing w:after="0" w:line="237" w:lineRule="auto"/>
        <w:rPr>
          <w:sz w:val="20"/>
          <w:szCs w:val="20"/>
          <w:color w:val="auto"/>
        </w:rPr>
      </w:pPr>
      <w:r>
        <w:rPr>
          <w:rFonts w:ascii="Courier New" w:cs="Courier New" w:eastAsia="Courier New" w:hAnsi="Courier New"/>
          <w:sz w:val="15"/>
          <w:szCs w:val="15"/>
          <w:color w:val="auto"/>
        </w:rPr>
        <w:t>The furniture industry is very competitive as there are a large number of manufacturers both within the United States and offshore who compete in the marketplace on the basis of quality of the product, price, delivery and service. Based on annual sales revenue, the Company is one of the largest furniture manufacturers in the United States. The Company has been successful in this competitive environment because its products represent excellent values combining price and superior quality and styling; prompt delivery; and quality, courteous service. Competition from foreign manufacturers is not any more significant in the marketplace today than competition from domestic manufacturers.</w:t>
      </w:r>
    </w:p>
    <w:p>
      <w:pPr>
        <w:spacing w:after="0" w:line="173" w:lineRule="exact"/>
        <w:rPr>
          <w:sz w:val="20"/>
          <w:szCs w:val="20"/>
          <w:color w:val="auto"/>
        </w:rPr>
      </w:pPr>
    </w:p>
    <w:p>
      <w:pPr>
        <w:ind w:left="1660" w:right="3319"/>
        <w:spacing w:after="0" w:line="236" w:lineRule="auto"/>
        <w:rPr>
          <w:sz w:val="20"/>
          <w:szCs w:val="20"/>
          <w:color w:val="auto"/>
        </w:rPr>
      </w:pPr>
      <w:r>
        <w:rPr>
          <w:rFonts w:ascii="Courier New" w:cs="Courier New" w:eastAsia="Courier New" w:hAnsi="Courier New"/>
          <w:sz w:val="15"/>
          <w:szCs w:val="15"/>
          <w:color w:val="auto"/>
        </w:rPr>
        <w:t>The furniture industry is considered to be a "fashion" industry subject to constant change to meet the changing consumer preferences and tastes. As such, the Company is continuously involved in the development of new products and designs. Due to the nature of these efforts and the close relationship to the manufacturing operations, the costs thereof are considered normal operating costs and are not segregated.</w:t>
      </w:r>
    </w:p>
    <w:p>
      <w:pPr>
        <w:spacing w:after="0" w:line="177" w:lineRule="exact"/>
        <w:rPr>
          <w:sz w:val="20"/>
          <w:szCs w:val="20"/>
          <w:color w:val="auto"/>
        </w:rPr>
      </w:pPr>
    </w:p>
    <w:p>
      <w:pPr>
        <w:ind w:left="1660" w:right="3319"/>
        <w:spacing w:after="0" w:line="235" w:lineRule="auto"/>
        <w:rPr>
          <w:sz w:val="20"/>
          <w:szCs w:val="20"/>
          <w:color w:val="auto"/>
        </w:rPr>
      </w:pPr>
      <w:r>
        <w:rPr>
          <w:rFonts w:ascii="Courier New" w:cs="Courier New" w:eastAsia="Courier New" w:hAnsi="Courier New"/>
          <w:sz w:val="15"/>
          <w:szCs w:val="15"/>
          <w:color w:val="auto"/>
        </w:rPr>
        <w:t>The Company is not involved in "traditional" research and development activities. Neither are there any customer - sponsored research and development activities involving the Company.</w:t>
      </w:r>
    </w:p>
    <w:p>
      <w:pPr>
        <w:sectPr>
          <w:pgSz w:w="11900" w:h="16838" w:orient="portrait"/>
          <w:cols w:equalWidth="0" w:num="1">
            <w:col w:w="9959"/>
          </w:cols>
          <w:pgMar w:left="50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ind w:left="5960"/>
        <w:spacing w:after="0" w:line="237" w:lineRule="auto"/>
        <w:rPr>
          <w:sz w:val="20"/>
          <w:szCs w:val="20"/>
          <w:color w:val="auto"/>
        </w:rPr>
      </w:pPr>
      <w:r>
        <w:rPr>
          <w:rFonts w:ascii="Courier New" w:cs="Courier New" w:eastAsia="Courier New" w:hAnsi="Courier New"/>
          <w:sz w:val="15"/>
          <w:szCs w:val="15"/>
          <w:color w:val="auto"/>
        </w:rPr>
        <w:t>Page 4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management's view, the Company has complied with all</w:t>
      </w:r>
    </w:p>
    <w:p>
      <w:pPr>
        <w:ind w:left="1940"/>
        <w:spacing w:after="0" w:line="237" w:lineRule="auto"/>
        <w:rPr>
          <w:sz w:val="20"/>
          <w:szCs w:val="20"/>
          <w:color w:val="auto"/>
        </w:rPr>
      </w:pPr>
      <w:r>
        <w:rPr>
          <w:rFonts w:ascii="Courier New" w:cs="Courier New" w:eastAsia="Courier New" w:hAnsi="Courier New"/>
          <w:sz w:val="15"/>
          <w:szCs w:val="15"/>
          <w:color w:val="auto"/>
        </w:rPr>
        <w:t>federal, state and local standards in the area of safety,</w:t>
      </w:r>
    </w:p>
    <w:p>
      <w:pPr>
        <w:ind w:left="1940"/>
        <w:spacing w:after="0" w:line="238" w:lineRule="auto"/>
        <w:rPr>
          <w:sz w:val="20"/>
          <w:szCs w:val="20"/>
          <w:color w:val="auto"/>
        </w:rPr>
      </w:pPr>
      <w:r>
        <w:rPr>
          <w:rFonts w:ascii="Courier New" w:cs="Courier New" w:eastAsia="Courier New" w:hAnsi="Courier New"/>
          <w:sz w:val="15"/>
          <w:szCs w:val="15"/>
          <w:color w:val="auto"/>
        </w:rPr>
        <w:t>health and pollution and environmental controls.</w:t>
      </w:r>
    </w:p>
    <w:p>
      <w:pPr>
        <w:ind w:left="1940"/>
        <w:spacing w:after="0" w:line="237" w:lineRule="auto"/>
        <w:rPr>
          <w:sz w:val="20"/>
          <w:szCs w:val="20"/>
          <w:color w:val="auto"/>
        </w:rPr>
      </w:pPr>
      <w:r>
        <w:rPr>
          <w:rFonts w:ascii="Courier New" w:cs="Courier New" w:eastAsia="Courier New" w:hAnsi="Courier New"/>
          <w:sz w:val="15"/>
          <w:szCs w:val="15"/>
          <w:color w:val="auto"/>
        </w:rPr>
        <w:t>Compliance with these standards has not had a material</w:t>
      </w:r>
    </w:p>
    <w:p>
      <w:pPr>
        <w:ind w:left="1940"/>
        <w:spacing w:after="0" w:line="238" w:lineRule="auto"/>
        <w:rPr>
          <w:sz w:val="20"/>
          <w:szCs w:val="20"/>
          <w:color w:val="auto"/>
        </w:rPr>
      </w:pPr>
      <w:r>
        <w:rPr>
          <w:rFonts w:ascii="Courier New" w:cs="Courier New" w:eastAsia="Courier New" w:hAnsi="Courier New"/>
          <w:sz w:val="15"/>
          <w:szCs w:val="15"/>
          <w:color w:val="auto"/>
        </w:rPr>
        <w:t>adverse effect on past earnings, capital expenditures or</w:t>
      </w:r>
    </w:p>
    <w:p>
      <w:pPr>
        <w:ind w:left="1940"/>
        <w:spacing w:after="0" w:line="237" w:lineRule="auto"/>
        <w:rPr>
          <w:sz w:val="20"/>
          <w:szCs w:val="20"/>
          <w:color w:val="auto"/>
        </w:rPr>
      </w:pPr>
      <w:r>
        <w:rPr>
          <w:rFonts w:ascii="Courier New" w:cs="Courier New" w:eastAsia="Courier New" w:hAnsi="Courier New"/>
          <w:sz w:val="15"/>
          <w:szCs w:val="15"/>
          <w:color w:val="auto"/>
        </w:rPr>
        <w:t>competitive position.</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Company anticipates increased regulation on the</w:t>
      </w:r>
    </w:p>
    <w:p>
      <w:pPr>
        <w:ind w:left="1940"/>
        <w:spacing w:after="0" w:line="237" w:lineRule="auto"/>
        <w:rPr>
          <w:sz w:val="20"/>
          <w:szCs w:val="20"/>
          <w:color w:val="auto"/>
        </w:rPr>
      </w:pPr>
      <w:r>
        <w:rPr>
          <w:rFonts w:ascii="Courier New" w:cs="Courier New" w:eastAsia="Courier New" w:hAnsi="Courier New"/>
          <w:sz w:val="15"/>
          <w:szCs w:val="15"/>
          <w:color w:val="auto"/>
        </w:rPr>
        <w:t>furniture industry from federal and state agencies</w:t>
      </w:r>
    </w:p>
    <w:p>
      <w:pPr>
        <w:ind w:left="1940"/>
        <w:spacing w:after="0" w:line="238" w:lineRule="auto"/>
        <w:rPr>
          <w:sz w:val="20"/>
          <w:szCs w:val="20"/>
          <w:color w:val="auto"/>
        </w:rPr>
      </w:pPr>
      <w:r>
        <w:rPr>
          <w:rFonts w:ascii="Courier New" w:cs="Courier New" w:eastAsia="Courier New" w:hAnsi="Courier New"/>
          <w:sz w:val="15"/>
          <w:szCs w:val="15"/>
          <w:color w:val="auto"/>
        </w:rPr>
        <w:t>particularly in the areas of emission of fumes from the</w:t>
      </w:r>
    </w:p>
    <w:p>
      <w:pPr>
        <w:ind w:left="1940"/>
        <w:spacing w:after="0" w:line="237" w:lineRule="auto"/>
        <w:rPr>
          <w:sz w:val="20"/>
          <w:szCs w:val="20"/>
          <w:color w:val="auto"/>
        </w:rPr>
      </w:pPr>
      <w:r>
        <w:rPr>
          <w:rFonts w:ascii="Courier New" w:cs="Courier New" w:eastAsia="Courier New" w:hAnsi="Courier New"/>
          <w:sz w:val="15"/>
          <w:szCs w:val="15"/>
          <w:color w:val="auto"/>
        </w:rPr>
        <w:t>furniture finishing processes and emission of</w:t>
      </w:r>
    </w:p>
    <w:p>
      <w:pPr>
        <w:ind w:left="1940"/>
        <w:spacing w:after="0" w:line="238" w:lineRule="auto"/>
        <w:rPr>
          <w:sz w:val="20"/>
          <w:szCs w:val="20"/>
          <w:color w:val="auto"/>
        </w:rPr>
      </w:pPr>
      <w:r>
        <w:rPr>
          <w:rFonts w:ascii="Courier New" w:cs="Courier New" w:eastAsia="Courier New" w:hAnsi="Courier New"/>
          <w:sz w:val="15"/>
          <w:szCs w:val="15"/>
          <w:color w:val="auto"/>
        </w:rPr>
        <w:t>particulates into the atmosphere (saw dust and boiler</w:t>
      </w:r>
    </w:p>
    <w:p>
      <w:pPr>
        <w:ind w:left="1940"/>
        <w:spacing w:after="0"/>
        <w:tabs>
          <w:tab w:leader="none" w:pos="2520" w:val="left"/>
        </w:tabs>
        <w:rPr>
          <w:sz w:val="20"/>
          <w:szCs w:val="20"/>
          <w:color w:val="auto"/>
        </w:rPr>
      </w:pPr>
      <w:r>
        <w:rPr>
          <w:rFonts w:ascii="Courier New" w:cs="Courier New" w:eastAsia="Courier New" w:hAnsi="Courier New"/>
          <w:sz w:val="15"/>
          <w:szCs w:val="15"/>
          <w:color w:val="auto"/>
        </w:rPr>
        <w:t>ash).</w:t>
      </w:r>
      <w:r>
        <w:rPr>
          <w:sz w:val="20"/>
          <w:szCs w:val="20"/>
          <w:color w:val="auto"/>
        </w:rPr>
        <w:tab/>
      </w:r>
      <w:r>
        <w:rPr>
          <w:rFonts w:ascii="Courier New" w:cs="Courier New" w:eastAsia="Courier New" w:hAnsi="Courier New"/>
          <w:sz w:val="14"/>
          <w:szCs w:val="14"/>
          <w:color w:val="auto"/>
        </w:rPr>
        <w:t>The Company cannot at this time estimate the</w:t>
      </w:r>
    </w:p>
    <w:p>
      <w:pPr>
        <w:ind w:left="1940"/>
        <w:spacing w:after="0" w:line="238" w:lineRule="auto"/>
        <w:rPr>
          <w:sz w:val="20"/>
          <w:szCs w:val="20"/>
          <w:color w:val="auto"/>
        </w:rPr>
      </w:pPr>
      <w:r>
        <w:rPr>
          <w:rFonts w:ascii="Courier New" w:cs="Courier New" w:eastAsia="Courier New" w:hAnsi="Courier New"/>
          <w:sz w:val="15"/>
          <w:szCs w:val="15"/>
          <w:color w:val="auto"/>
        </w:rPr>
        <w:t>impact of compliance with these new, more stringent</w:t>
      </w:r>
    </w:p>
    <w:p>
      <w:pPr>
        <w:ind w:left="1940"/>
        <w:spacing w:after="0" w:line="237" w:lineRule="auto"/>
        <w:rPr>
          <w:sz w:val="20"/>
          <w:szCs w:val="20"/>
          <w:color w:val="auto"/>
        </w:rPr>
      </w:pPr>
      <w:r>
        <w:rPr>
          <w:rFonts w:ascii="Courier New" w:cs="Courier New" w:eastAsia="Courier New" w:hAnsi="Courier New"/>
          <w:sz w:val="15"/>
          <w:szCs w:val="15"/>
          <w:color w:val="auto"/>
        </w:rPr>
        <w:t>standards on the Company's operations or costs of</w:t>
      </w:r>
    </w:p>
    <w:p>
      <w:pPr>
        <w:ind w:left="1940"/>
        <w:spacing w:after="0" w:line="238" w:lineRule="auto"/>
        <w:rPr>
          <w:sz w:val="20"/>
          <w:szCs w:val="20"/>
          <w:color w:val="auto"/>
        </w:rPr>
      </w:pPr>
      <w:r>
        <w:rPr>
          <w:rFonts w:ascii="Courier New" w:cs="Courier New" w:eastAsia="Courier New" w:hAnsi="Courier New"/>
          <w:sz w:val="15"/>
          <w:szCs w:val="15"/>
          <w:color w:val="auto"/>
        </w:rPr>
        <w:t>compliance.</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Company had approximately 7,800 employees at November</w:t>
      </w:r>
    </w:p>
    <w:p>
      <w:pPr>
        <w:ind w:left="1940"/>
        <w:spacing w:after="0" w:line="237" w:lineRule="auto"/>
        <w:rPr>
          <w:sz w:val="20"/>
          <w:szCs w:val="20"/>
          <w:color w:val="auto"/>
        </w:rPr>
      </w:pPr>
      <w:r>
        <w:rPr>
          <w:rFonts w:ascii="Courier New" w:cs="Courier New" w:eastAsia="Courier New" w:hAnsi="Courier New"/>
          <w:sz w:val="15"/>
          <w:szCs w:val="15"/>
          <w:color w:val="auto"/>
        </w:rPr>
        <w:t>30, 1994.</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FOREIGN AND DOMESTIC OPERATIONS AND EXPORT SALES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Company has no foreign operations, and its export</w:t>
      </w:r>
    </w:p>
    <w:p>
      <w:pPr>
        <w:ind w:left="1940"/>
        <w:spacing w:after="0" w:line="237" w:lineRule="auto"/>
        <w:rPr>
          <w:sz w:val="20"/>
          <w:szCs w:val="20"/>
          <w:color w:val="auto"/>
        </w:rPr>
      </w:pPr>
      <w:r>
        <w:rPr>
          <w:rFonts w:ascii="Courier New" w:cs="Courier New" w:eastAsia="Courier New" w:hAnsi="Courier New"/>
          <w:sz w:val="15"/>
          <w:szCs w:val="15"/>
          <w:color w:val="auto"/>
        </w:rPr>
        <w:t>sales are insignificant.</w:t>
      </w:r>
    </w:p>
    <w:p>
      <w:pPr>
        <w:spacing w:after="0" w:line="167" w:lineRule="exact"/>
        <w:rPr>
          <w:sz w:val="20"/>
          <w:szCs w:val="20"/>
          <w:color w:val="auto"/>
        </w:rPr>
      </w:pPr>
    </w:p>
    <w:p>
      <w:pPr>
        <w:spacing w:after="0"/>
        <w:tabs>
          <w:tab w:leader="none" w:pos="520" w:val="left"/>
          <w:tab w:leader="none" w:pos="1480" w:val="left"/>
        </w:tabs>
        <w:rPr>
          <w:sz w:val="20"/>
          <w:szCs w:val="20"/>
          <w:color w:val="auto"/>
        </w:rPr>
      </w:pPr>
      <w:r>
        <w:rPr>
          <w:rFonts w:ascii="Courier New" w:cs="Courier New" w:eastAsia="Courier New" w:hAnsi="Courier New"/>
          <w:sz w:val="15"/>
          <w:szCs w:val="15"/>
          <w:color w:val="auto"/>
        </w:rPr>
        <w:t>ITEM</w:t>
        <w:tab/>
        <w:t>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Company owns the following facilities:</w:t>
      </w:r>
    </w:p>
    <w:p>
      <w:pPr>
        <w:spacing w:after="0" w:line="200" w:lineRule="exact"/>
        <w:rPr>
          <w:sz w:val="20"/>
          <w:szCs w:val="20"/>
          <w:color w:val="auto"/>
        </w:rPr>
      </w:pPr>
    </w:p>
    <w:p>
      <w:pPr>
        <w:spacing w:after="0" w:line="30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Plant Name</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rPr>
              <w:t>Location</w:t>
            </w:r>
          </w:p>
        </w:tc>
        <w:tc>
          <w:tcPr>
            <w:tcW w:w="3100" w:type="dxa"/>
            <w:vAlign w:val="bottom"/>
          </w:tcPr>
          <w:p>
            <w:pPr>
              <w:ind w:left="560"/>
              <w:spacing w:after="0"/>
              <w:rPr>
                <w:sz w:val="20"/>
                <w:szCs w:val="20"/>
                <w:color w:val="auto"/>
              </w:rPr>
            </w:pPr>
            <w:r>
              <w:rPr>
                <w:rFonts w:ascii="Courier New" w:cs="Courier New" w:eastAsia="Courier New" w:hAnsi="Courier New"/>
                <w:sz w:val="15"/>
                <w:szCs w:val="15"/>
                <w:color w:val="auto"/>
              </w:rPr>
              <w:t>Construction</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Bassett Furniture</w:t>
            </w:r>
          </w:p>
        </w:tc>
        <w:tc>
          <w:tcPr>
            <w:tcW w:w="2280" w:type="dxa"/>
            <w:vAlign w:val="bottom"/>
          </w:tcPr>
          <w:p>
            <w:pPr>
              <w:ind w:left="220"/>
              <w:spacing w:after="0"/>
              <w:rPr>
                <w:sz w:val="20"/>
                <w:szCs w:val="20"/>
                <w:color w:val="auto"/>
              </w:rPr>
            </w:pPr>
            <w:r>
              <w:rPr>
                <w:rFonts w:ascii="Courier New" w:cs="Courier New" w:eastAsia="Courier New" w:hAnsi="Courier New"/>
                <w:sz w:val="15"/>
                <w:szCs w:val="15"/>
                <w:color w:val="auto"/>
              </w:rPr>
              <w:t>Bassett, VA</w:t>
            </w:r>
          </w:p>
        </w:tc>
        <w:tc>
          <w:tcPr>
            <w:tcW w:w="3100" w:type="dxa"/>
            <w:vAlign w:val="bottom"/>
          </w:tcPr>
          <w:p>
            <w:pPr>
              <w:ind w:left="300"/>
              <w:spacing w:after="0"/>
              <w:rPr>
                <w:sz w:val="20"/>
                <w:szCs w:val="20"/>
                <w:color w:val="auto"/>
              </w:rPr>
            </w:pPr>
            <w:r>
              <w:rPr>
                <w:rFonts w:ascii="Courier New" w:cs="Courier New" w:eastAsia="Courier New" w:hAnsi="Courier New"/>
                <w:sz w:val="15"/>
                <w:szCs w:val="15"/>
                <w:color w:val="auto"/>
              </w:rPr>
              <w:t>Brick, frame and concrete</w:t>
            </w: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Company (*)</w:t>
            </w:r>
          </w:p>
        </w:tc>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J. D. Bassett</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Bassett, VA (2</w:t>
            </w:r>
          </w:p>
        </w:tc>
        <w:tc>
          <w:tcPr>
            <w:tcW w:w="3100" w:type="dxa"/>
            <w:vAlign w:val="bottom"/>
          </w:tcPr>
          <w:p>
            <w:pPr>
              <w:spacing w:after="0"/>
              <w:rPr>
                <w:sz w:val="14"/>
                <w:szCs w:val="14"/>
                <w:color w:val="auto"/>
              </w:rPr>
            </w:pPr>
          </w:p>
        </w:tc>
      </w:tr>
      <w:tr>
        <w:trPr>
          <w:trHeight w:val="168"/>
        </w:trPr>
        <w:tc>
          <w:tcPr>
            <w:tcW w:w="2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Manufacturing Company</w:t>
            </w: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plants)</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frame and concrete</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Superior Lines</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Bassett,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Chair Company</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Bassett,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Table Company</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Bassett,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 M. Bassett Furniture</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Martinsville,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Company</w:t>
            </w:r>
          </w:p>
        </w:tc>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Fiberboard</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Bassett,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Upholstery</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Newton, NC (4</w:t>
            </w:r>
          </w:p>
        </w:tc>
        <w:tc>
          <w:tcPr>
            <w:tcW w:w="3100" w:type="dxa"/>
            <w:vAlign w:val="bottom"/>
          </w:tcPr>
          <w:p>
            <w:pPr>
              <w:spacing w:after="0"/>
              <w:rPr>
                <w:sz w:val="14"/>
                <w:szCs w:val="14"/>
                <w:color w:val="auto"/>
              </w:rPr>
            </w:pP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Division</w:t>
            </w:r>
          </w:p>
        </w:tc>
        <w:tc>
          <w:tcPr>
            <w:tcW w:w="2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plants)</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rPr>
                <w:sz w:val="14"/>
                <w:szCs w:val="14"/>
                <w:color w:val="auto"/>
              </w:rPr>
            </w:pP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Taylorsville, NC</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rPr>
                <w:sz w:val="14"/>
                <w:szCs w:val="14"/>
                <w:color w:val="auto"/>
              </w:rPr>
            </w:pP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Dumas, AR</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Furniture Industries</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Statesville, NC</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Brick, frame, concrete and steel</w:t>
            </w:r>
          </w:p>
        </w:tc>
      </w:tr>
      <w:tr>
        <w:trPr>
          <w:trHeight w:val="168"/>
        </w:trPr>
        <w:tc>
          <w:tcPr>
            <w:tcW w:w="2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North Carolina, Inc.</w:t>
            </w:r>
          </w:p>
        </w:tc>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of NC - Dublin</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Dublin, GA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of NC - Macon</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Macon, GA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Wood Products</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Dumas, AR</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Burkeville Veneer</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Burkeville,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National/Mt. Airy</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Mt. Airy, NC</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920" w:type="dxa"/>
            <w:vAlign w:val="bottom"/>
          </w:tcPr>
          <w:p>
            <w:pPr>
              <w:spacing w:after="0" w:line="168" w:lineRule="exact"/>
              <w:rPr>
                <w:sz w:val="20"/>
                <w:szCs w:val="20"/>
                <w:color w:val="auto"/>
              </w:rPr>
            </w:pPr>
            <w:r>
              <w:rPr>
                <w:rFonts w:ascii="Courier New" w:cs="Courier New" w:eastAsia="Courier New" w:hAnsi="Courier New"/>
                <w:sz w:val="15"/>
                <w:szCs w:val="15"/>
                <w:color w:val="auto"/>
              </w:rPr>
              <w:t>Weiman Division</w:t>
            </w: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Ramseur, NC</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920" w:type="dxa"/>
            <w:vAlign w:val="bottom"/>
          </w:tcPr>
          <w:p>
            <w:pPr>
              <w:spacing w:after="0"/>
              <w:rPr>
                <w:sz w:val="14"/>
                <w:szCs w:val="14"/>
                <w:color w:val="auto"/>
              </w:rPr>
            </w:pPr>
          </w:p>
        </w:tc>
        <w:tc>
          <w:tcPr>
            <w:tcW w:w="2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Christiansburg, VA</w:t>
            </w:r>
          </w:p>
        </w:tc>
        <w:tc>
          <w:tcPr>
            <w:tcW w:w="3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Metal frame</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5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E. B. Malone Corporation</w:t>
            </w:r>
          </w:p>
        </w:tc>
        <w:tc>
          <w:tcPr>
            <w:tcW w:w="2540" w:type="dxa"/>
            <w:vAlign w:val="bottom"/>
          </w:tcPr>
          <w:p>
            <w:pPr>
              <w:ind w:left="520"/>
              <w:spacing w:after="0"/>
              <w:rPr>
                <w:sz w:val="20"/>
                <w:szCs w:val="20"/>
                <w:color w:val="auto"/>
              </w:rPr>
            </w:pPr>
            <w:r>
              <w:rPr>
                <w:rFonts w:ascii="Courier New" w:cs="Courier New" w:eastAsia="Courier New" w:hAnsi="Courier New"/>
                <w:sz w:val="15"/>
                <w:szCs w:val="15"/>
                <w:color w:val="auto"/>
              </w:rPr>
              <w:t>Lake Wales, FL</w:t>
            </w:r>
          </w:p>
        </w:tc>
        <w:tc>
          <w:tcPr>
            <w:tcW w:w="298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 plants)</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Concrete block and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Jacksonville, FL</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Concrete block and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Pottstown, PA</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Metal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West Palm Beach, FL</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Walworth, WI</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Fredricksburg, VA</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Brick and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Chehalis, WA</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Concrete block and metal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Los Angeles, CA</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Concrete block and metal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Los Angeles, CA</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Tipton, MO</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Concrete block and steel</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Impact Furniture</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Hickory, NC (2</w:t>
            </w:r>
          </w:p>
        </w:tc>
        <w:tc>
          <w:tcPr>
            <w:tcW w:w="298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plants and</w:t>
            </w:r>
          </w:p>
        </w:tc>
        <w:tc>
          <w:tcPr>
            <w:tcW w:w="298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2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warehouse)</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Brick, concrete and steel</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Motion Division</w:t>
            </w: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Saltillo, MS</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Metal frame</w:t>
            </w:r>
          </w:p>
        </w:tc>
      </w:tr>
      <w:tr>
        <w:trPr>
          <w:trHeight w:val="168"/>
        </w:trPr>
        <w:tc>
          <w:tcPr>
            <w:tcW w:w="2620" w:type="dxa"/>
            <w:vAlign w:val="bottom"/>
          </w:tcPr>
          <w:p>
            <w:pPr>
              <w:spacing w:after="0"/>
              <w:rPr>
                <w:sz w:val="14"/>
                <w:szCs w:val="14"/>
                <w:color w:val="auto"/>
              </w:rPr>
            </w:pPr>
          </w:p>
        </w:tc>
        <w:tc>
          <w:tcPr>
            <w:tcW w:w="25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Booneville, MS (2</w:t>
            </w:r>
          </w:p>
        </w:tc>
        <w:tc>
          <w:tcPr>
            <w:tcW w:w="298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2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plants)</w:t>
            </w:r>
          </w:p>
        </w:tc>
        <w:tc>
          <w:tcPr>
            <w:tcW w:w="29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Metal frame</w:t>
            </w:r>
          </w:p>
        </w:tc>
      </w:tr>
    </w:tbl>
    <w:p>
      <w:pPr>
        <w:spacing w:after="0" w:line="341" w:lineRule="exact"/>
        <w:rPr>
          <w:sz w:val="20"/>
          <w:szCs w:val="20"/>
          <w:color w:val="auto"/>
        </w:rPr>
      </w:pPr>
    </w:p>
    <w:p>
      <w:pPr>
        <w:ind w:left="1320" w:right="3319"/>
        <w:spacing w:after="0" w:line="235" w:lineRule="auto"/>
        <w:rPr>
          <w:sz w:val="20"/>
          <w:szCs w:val="20"/>
          <w:color w:val="auto"/>
        </w:rPr>
      </w:pPr>
      <w:r>
        <w:rPr>
          <w:rFonts w:ascii="Courier New" w:cs="Courier New" w:eastAsia="Courier New" w:hAnsi="Courier New"/>
          <w:sz w:val="15"/>
          <w:szCs w:val="15"/>
          <w:color w:val="auto"/>
        </w:rPr>
        <w:t>The Company also owns its general office building in Bassett, Virginia (brick, concrete and steel), two warehouses in Bassett, Virginia (brick and concrete) and a showroom in High Point, North Carolina (brick, concrete and steel).</w:t>
      </w:r>
    </w:p>
    <w:p>
      <w:pPr>
        <w:spacing w:after="0" w:line="175" w:lineRule="exact"/>
        <w:rPr>
          <w:sz w:val="20"/>
          <w:szCs w:val="20"/>
          <w:color w:val="auto"/>
        </w:rPr>
      </w:pPr>
    </w:p>
    <w:p>
      <w:pPr>
        <w:ind w:left="1400" w:right="3319"/>
        <w:spacing w:after="0" w:line="235" w:lineRule="auto"/>
        <w:rPr>
          <w:sz w:val="20"/>
          <w:szCs w:val="20"/>
          <w:color w:val="auto"/>
        </w:rPr>
      </w:pPr>
      <w:r>
        <w:rPr>
          <w:rFonts w:ascii="Courier New" w:cs="Courier New" w:eastAsia="Courier New" w:hAnsi="Courier New"/>
          <w:sz w:val="15"/>
          <w:szCs w:val="15"/>
          <w:color w:val="auto"/>
        </w:rPr>
        <w:t>In general, these facilities are suitable and are considered to be adequate for the continuing operations involved. All facilities are in regular use, except the plant noted below.</w:t>
      </w:r>
    </w:p>
    <w:p>
      <w:pPr>
        <w:spacing w:after="0" w:line="174" w:lineRule="exact"/>
        <w:rPr>
          <w:sz w:val="20"/>
          <w:szCs w:val="20"/>
          <w:color w:val="auto"/>
        </w:rPr>
      </w:pPr>
    </w:p>
    <w:p>
      <w:pPr>
        <w:ind w:left="1760" w:right="3319" w:hanging="438"/>
        <w:spacing w:after="0" w:line="234" w:lineRule="auto"/>
        <w:tabs>
          <w:tab w:leader="none" w:pos="17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Plant closed as part of the restructuring program announced in 1990.</w:t>
      </w:r>
    </w:p>
    <w:p>
      <w:pPr>
        <w:spacing w:after="0" w:line="335" w:lineRule="exact"/>
        <w:rPr>
          <w:sz w:val="20"/>
          <w:szCs w:val="20"/>
          <w:color w:val="auto"/>
        </w:rPr>
      </w:pPr>
    </w:p>
    <w:p>
      <w:pPr>
        <w:spacing w:after="0"/>
        <w:tabs>
          <w:tab w:leader="none" w:pos="520" w:val="left"/>
          <w:tab w:leader="none" w:pos="1300" w:val="left"/>
        </w:tabs>
        <w:rPr>
          <w:sz w:val="20"/>
          <w:szCs w:val="20"/>
          <w:color w:val="auto"/>
        </w:rPr>
      </w:pPr>
      <w:r>
        <w:rPr>
          <w:rFonts w:ascii="Courier New" w:cs="Courier New" w:eastAsia="Courier New" w:hAnsi="Courier New"/>
          <w:sz w:val="15"/>
          <w:szCs w:val="15"/>
          <w:color w:val="auto"/>
        </w:rPr>
        <w:t>ITEM</w:t>
        <w:tab/>
        <w:t>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520" w:val="left"/>
          <w:tab w:leader="none" w:pos="1300" w:val="left"/>
        </w:tabs>
        <w:rPr>
          <w:sz w:val="20"/>
          <w:szCs w:val="20"/>
          <w:color w:val="auto"/>
        </w:rPr>
      </w:pPr>
      <w:r>
        <w:rPr>
          <w:rFonts w:ascii="Courier New" w:cs="Courier New" w:eastAsia="Courier New" w:hAnsi="Courier New"/>
          <w:sz w:val="15"/>
          <w:szCs w:val="15"/>
          <w:color w:val="auto"/>
        </w:rPr>
        <w:t>ITEM</w:t>
        <w:tab/>
        <w:t>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spacing w:after="0"/>
        <w:tabs>
          <w:tab w:leader="none" w:pos="520" w:val="left"/>
          <w:tab w:leader="none" w:pos="1300" w:val="left"/>
        </w:tabs>
        <w:rPr>
          <w:sz w:val="20"/>
          <w:szCs w:val="20"/>
          <w:color w:val="auto"/>
        </w:rPr>
      </w:pPr>
      <w:r>
        <w:rPr>
          <w:rFonts w:ascii="Courier New" w:cs="Courier New" w:eastAsia="Courier New" w:hAnsi="Courier New"/>
          <w:sz w:val="15"/>
          <w:szCs w:val="15"/>
          <w:color w:val="auto"/>
        </w:rPr>
        <w:t>ITEM</w:t>
        <w:tab/>
        <w:t>5.</w:t>
      </w:r>
      <w:r>
        <w:rPr>
          <w:sz w:val="20"/>
          <w:szCs w:val="20"/>
          <w:color w:val="auto"/>
        </w:rPr>
        <w:tab/>
      </w:r>
      <w:r>
        <w:rPr>
          <w:rFonts w:ascii="Courier New" w:cs="Courier New" w:eastAsia="Courier New" w:hAnsi="Courier New"/>
          <w:sz w:val="14"/>
          <w:szCs w:val="14"/>
          <w:color w:val="auto"/>
        </w:rPr>
        <w:t>MARKET FOR THE REGISTRANT'S COMMON STOCK AND RELATED STOCKHOLDER</w:t>
      </w:r>
    </w:p>
    <w:p>
      <w:pPr>
        <w:ind w:left="132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ind w:left="1320" w:right="3319"/>
        <w:spacing w:after="0" w:line="256" w:lineRule="auto"/>
        <w:rPr>
          <w:sz w:val="20"/>
          <w:szCs w:val="20"/>
          <w:color w:val="auto"/>
        </w:rPr>
      </w:pPr>
      <w:r>
        <w:rPr>
          <w:rFonts w:ascii="Courier New" w:cs="Courier New" w:eastAsia="Courier New" w:hAnsi="Courier New"/>
          <w:sz w:val="14"/>
          <w:szCs w:val="14"/>
          <w:color w:val="auto"/>
        </w:rPr>
        <w:t>The information contained in the Annual Report under the caption "Other Business Data" - "Market and Dividend Information" with respect to number of stockholders, market prices and dividends paid is incorporated herein by reference thereto.</w:t>
      </w:r>
    </w:p>
    <w:p>
      <w:pPr>
        <w:spacing w:after="0" w:line="158" w:lineRule="exact"/>
        <w:rPr>
          <w:sz w:val="20"/>
          <w:szCs w:val="20"/>
          <w:color w:val="auto"/>
        </w:rPr>
      </w:pPr>
    </w:p>
    <w:p>
      <w:pPr>
        <w:ind w:left="100"/>
        <w:spacing w:after="0"/>
        <w:tabs>
          <w:tab w:leader="none" w:pos="600" w:val="left"/>
          <w:tab w:leader="none" w:pos="1300" w:val="left"/>
        </w:tabs>
        <w:rPr>
          <w:sz w:val="20"/>
          <w:szCs w:val="20"/>
          <w:color w:val="auto"/>
        </w:rPr>
      </w:pPr>
      <w:r>
        <w:rPr>
          <w:rFonts w:ascii="Courier New" w:cs="Courier New" w:eastAsia="Courier New" w:hAnsi="Courier New"/>
          <w:sz w:val="15"/>
          <w:szCs w:val="15"/>
          <w:color w:val="auto"/>
        </w:rPr>
        <w:t>ITEM</w:t>
        <w:tab/>
        <w:t>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1320" w:right="3499"/>
        <w:spacing w:after="0" w:line="235" w:lineRule="auto"/>
        <w:rPr>
          <w:sz w:val="20"/>
          <w:szCs w:val="20"/>
          <w:color w:val="auto"/>
        </w:rPr>
      </w:pPr>
      <w:r>
        <w:rPr>
          <w:rFonts w:ascii="Courier New" w:cs="Courier New" w:eastAsia="Courier New" w:hAnsi="Courier New"/>
          <w:sz w:val="15"/>
          <w:szCs w:val="15"/>
          <w:color w:val="auto"/>
        </w:rPr>
        <w:t>The information for the five years ended November 30, 1994, contained in the "Other Business Data" in the Annual Report is incorporated herein by reference thereto.</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6 of 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right="3399" w:hanging="1311"/>
        <w:spacing w:after="0" w:line="234" w:lineRule="auto"/>
        <w:tabs>
          <w:tab w:leader="none" w:pos="520" w:val="left"/>
        </w:tabs>
        <w:rPr>
          <w:sz w:val="20"/>
          <w:szCs w:val="20"/>
          <w:color w:val="auto"/>
        </w:rPr>
      </w:pPr>
      <w:r>
        <w:rPr>
          <w:rFonts w:ascii="Courier New" w:cs="Courier New" w:eastAsia="Courier New" w:hAnsi="Courier New"/>
          <w:sz w:val="15"/>
          <w:szCs w:val="15"/>
          <w:color w:val="auto"/>
        </w:rPr>
        <w:t>ITEM</w:t>
        <w:tab/>
        <w:t>7. MANAGEMENT'S DISCUSSION AND ANALYSIS OF FINANCIAL CONDITION AND RESULTS OF OPERATIONS</w:t>
      </w:r>
    </w:p>
    <w:p>
      <w:pPr>
        <w:spacing w:after="0" w:line="173" w:lineRule="exact"/>
        <w:rPr>
          <w:sz w:val="20"/>
          <w:szCs w:val="20"/>
          <w:color w:val="auto"/>
        </w:rPr>
      </w:pPr>
    </w:p>
    <w:p>
      <w:pPr>
        <w:ind w:left="1320" w:right="3319"/>
        <w:spacing w:after="0" w:line="234" w:lineRule="auto"/>
        <w:rPr>
          <w:sz w:val="20"/>
          <w:szCs w:val="20"/>
          <w:color w:val="auto"/>
        </w:rPr>
      </w:pPr>
      <w:r>
        <w:rPr>
          <w:rFonts w:ascii="Courier New" w:cs="Courier New" w:eastAsia="Courier New" w:hAnsi="Courier New"/>
          <w:sz w:val="15"/>
          <w:szCs w:val="15"/>
          <w:color w:val="auto"/>
        </w:rPr>
        <w:t>The information contained in "Other Business Data" in the Annual Report is incorporated herein by reference thereto.</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The change in the level of the Company's net sales has historically been principally due to the change in the volume of units sold, as contrasted to changes in unit prices. The level of the Company's net sales has fluctuated with the level of consumer confidence and housing starts.</w:t>
      </w:r>
    </w:p>
    <w:p>
      <w:pPr>
        <w:spacing w:after="0" w:line="167" w:lineRule="exact"/>
        <w:rPr>
          <w:sz w:val="20"/>
          <w:szCs w:val="20"/>
          <w:color w:val="auto"/>
        </w:rPr>
      </w:pPr>
    </w:p>
    <w:p>
      <w:pPr>
        <w:spacing w:after="0"/>
        <w:tabs>
          <w:tab w:leader="none" w:pos="520" w:val="left"/>
          <w:tab w:leader="none" w:pos="1300" w:val="left"/>
        </w:tabs>
        <w:rPr>
          <w:sz w:val="20"/>
          <w:szCs w:val="20"/>
          <w:color w:val="auto"/>
        </w:rPr>
      </w:pPr>
      <w:r>
        <w:rPr>
          <w:rFonts w:ascii="Courier New" w:cs="Courier New" w:eastAsia="Courier New" w:hAnsi="Courier New"/>
          <w:sz w:val="15"/>
          <w:szCs w:val="15"/>
          <w:color w:val="auto"/>
        </w:rPr>
        <w:t>ITEM</w:t>
        <w:tab/>
        <w:t>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left="1320" w:right="3319"/>
        <w:spacing w:after="0" w:line="236" w:lineRule="auto"/>
        <w:rPr>
          <w:sz w:val="20"/>
          <w:szCs w:val="20"/>
          <w:color w:val="auto"/>
        </w:rPr>
      </w:pPr>
      <w:r>
        <w:rPr>
          <w:rFonts w:ascii="Courier New" w:cs="Courier New" w:eastAsia="Courier New" w:hAnsi="Courier New"/>
          <w:sz w:val="15"/>
          <w:szCs w:val="15"/>
          <w:color w:val="auto"/>
        </w:rPr>
        <w:t>The following consolidated financial statements of the registrant and its subsidiaries, together with the independent auditors' report thereon of KPMG Peat Marwick LLP dated December 17, 1994, included in the annual report of the registrant to its stockholders for the year ended November 30, 1994 are incorporated herein by reference thereto:</w:t>
      </w:r>
    </w:p>
    <w:p>
      <w:pPr>
        <w:spacing w:after="0" w:line="16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Balance Sheet--November 30, 1994 and 1993</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 of Income--Years Ended November 30,</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1994, 1993 and 1992</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 of Stockholders' Equity - Years</w:t>
      </w:r>
    </w:p>
    <w:p>
      <w:pPr>
        <w:ind w:left="1840"/>
        <w:spacing w:after="0" w:line="237" w:lineRule="auto"/>
        <w:rPr>
          <w:sz w:val="20"/>
          <w:szCs w:val="20"/>
          <w:color w:val="auto"/>
        </w:rPr>
      </w:pPr>
      <w:r>
        <w:rPr>
          <w:rFonts w:ascii="Courier New" w:cs="Courier New" w:eastAsia="Courier New" w:hAnsi="Courier New"/>
          <w:sz w:val="15"/>
          <w:szCs w:val="15"/>
          <w:color w:val="auto"/>
        </w:rPr>
        <w:t>Ended November 30, 1994, 1993 and 1992</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 of Cash Flows--Years Ended November</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30, 1994, 1993 and 1992</w:t>
      </w:r>
    </w:p>
    <w:p>
      <w:pPr>
        <w:spacing w:after="0" w:line="16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information contained in "Other Business Data" for</w:t>
      </w:r>
    </w:p>
    <w:p>
      <w:pPr>
        <w:ind w:left="1320"/>
        <w:spacing w:after="0" w:line="237" w:lineRule="auto"/>
        <w:rPr>
          <w:sz w:val="20"/>
          <w:szCs w:val="20"/>
          <w:color w:val="auto"/>
        </w:rPr>
      </w:pPr>
      <w:r>
        <w:rPr>
          <w:rFonts w:ascii="Courier New" w:cs="Courier New" w:eastAsia="Courier New" w:hAnsi="Courier New"/>
          <w:sz w:val="15"/>
          <w:szCs w:val="15"/>
          <w:color w:val="auto"/>
        </w:rPr>
        <w:t>"Quarterly Results of Operations" in the Annual Report is</w:t>
      </w:r>
    </w:p>
    <w:p>
      <w:pPr>
        <w:ind w:left="1320"/>
        <w:spacing w:after="0" w:line="238" w:lineRule="auto"/>
        <w:rPr>
          <w:sz w:val="20"/>
          <w:szCs w:val="20"/>
          <w:color w:val="auto"/>
        </w:rPr>
      </w:pPr>
      <w:r>
        <w:rPr>
          <w:rFonts w:ascii="Courier New" w:cs="Courier New" w:eastAsia="Courier New" w:hAnsi="Courier New"/>
          <w:sz w:val="15"/>
          <w:szCs w:val="15"/>
          <w:color w:val="auto"/>
        </w:rPr>
        <w:t>incorporated herein by reference thereto.</w:t>
      </w:r>
    </w:p>
    <w:p>
      <w:pPr>
        <w:spacing w:after="0" w:line="167" w:lineRule="exact"/>
        <w:rPr>
          <w:sz w:val="20"/>
          <w:szCs w:val="20"/>
          <w:color w:val="auto"/>
        </w:rPr>
      </w:pPr>
    </w:p>
    <w:p>
      <w:pPr>
        <w:spacing w:after="0"/>
        <w:tabs>
          <w:tab w:leader="none" w:pos="520" w:val="left"/>
          <w:tab w:leader="none" w:pos="1300" w:val="left"/>
        </w:tabs>
        <w:rPr>
          <w:sz w:val="20"/>
          <w:szCs w:val="20"/>
          <w:color w:val="auto"/>
        </w:rPr>
      </w:pPr>
      <w:r>
        <w:rPr>
          <w:rFonts w:ascii="Courier New" w:cs="Courier New" w:eastAsia="Courier New" w:hAnsi="Courier New"/>
          <w:sz w:val="15"/>
          <w:szCs w:val="15"/>
          <w:color w:val="auto"/>
        </w:rPr>
        <w:t>ITEM</w:t>
        <w:tab/>
        <w:t>9.</w:t>
      </w:r>
      <w:r>
        <w:rPr>
          <w:sz w:val="20"/>
          <w:szCs w:val="20"/>
          <w:color w:val="auto"/>
        </w:rPr>
        <w:tab/>
      </w:r>
      <w:r>
        <w:rPr>
          <w:rFonts w:ascii="Courier New" w:cs="Courier New" w:eastAsia="Courier New" w:hAnsi="Courier New"/>
          <w:sz w:val="14"/>
          <w:szCs w:val="14"/>
          <w:color w:val="auto"/>
        </w:rPr>
        <w:t>CHANGES IN AND DISAGREEMENTS WITH ACCOUNTANTS ON</w:t>
      </w:r>
    </w:p>
    <w:p>
      <w:pPr>
        <w:ind w:left="1320"/>
        <w:spacing w:after="0" w:line="237" w:lineRule="auto"/>
        <w:rPr>
          <w:sz w:val="20"/>
          <w:szCs w:val="20"/>
          <w:color w:val="auto"/>
        </w:rPr>
      </w:pPr>
      <w:r>
        <w:rPr>
          <w:rFonts w:ascii="Courier New" w:cs="Courier New" w:eastAsia="Courier New" w:hAnsi="Courier New"/>
          <w:sz w:val="15"/>
          <w:szCs w:val="15"/>
          <w:color w:val="auto"/>
        </w:rPr>
        <w:t>ACCOUNTING AND FINANCIAL DISCLOSURE</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ind w:left="1320" w:right="339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EXECUTIVE OFFICERS, PROMOTERS AND CONTROL PERSONS OF THE REGISTRANT</w:t>
      </w:r>
    </w:p>
    <w:p>
      <w:pPr>
        <w:spacing w:after="0" w:line="173" w:lineRule="exact"/>
        <w:rPr>
          <w:sz w:val="20"/>
          <w:szCs w:val="20"/>
          <w:color w:val="auto"/>
        </w:rPr>
      </w:pPr>
    </w:p>
    <w:p>
      <w:pPr>
        <w:ind w:left="1320" w:right="3759"/>
        <w:spacing w:after="0" w:line="235" w:lineRule="auto"/>
        <w:rPr>
          <w:sz w:val="20"/>
          <w:szCs w:val="20"/>
          <w:color w:val="auto"/>
        </w:rPr>
      </w:pPr>
      <w:r>
        <w:rPr>
          <w:rFonts w:ascii="Courier New" w:cs="Courier New" w:eastAsia="Courier New" w:hAnsi="Courier New"/>
          <w:sz w:val="15"/>
          <w:szCs w:val="15"/>
          <w:color w:val="auto"/>
        </w:rPr>
        <w:t>The information contained on pages 2 through 5 of the Proxy Statement under the captions "Principal Stockholders and Holdings of Management" and "Election of Directors" is incorporated herein by reference thereto.</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left="1320" w:right="3579"/>
        <w:spacing w:after="0" w:line="236" w:lineRule="auto"/>
        <w:rPr>
          <w:sz w:val="20"/>
          <w:szCs w:val="20"/>
          <w:color w:val="auto"/>
        </w:rPr>
      </w:pPr>
      <w:r>
        <w:rPr>
          <w:rFonts w:ascii="Courier New" w:cs="Courier New" w:eastAsia="Courier New" w:hAnsi="Courier New"/>
          <w:sz w:val="15"/>
          <w:szCs w:val="15"/>
          <w:color w:val="auto"/>
        </w:rPr>
        <w:t>The information contained on page 6 through 12 of the Proxy Statement under the captions "Organization and Compensation Committee Report", "Stockholder Return Performance Graph", "Executive Compensation", and "Supplemental Retirement Income Plan" is incorporated herein by reference thereto.</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7 of 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445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jc w:val="both"/>
        <w:ind w:left="1320" w:right="3319"/>
        <w:spacing w:after="0" w:line="235" w:lineRule="auto"/>
        <w:rPr>
          <w:sz w:val="20"/>
          <w:szCs w:val="20"/>
          <w:color w:val="auto"/>
        </w:rPr>
      </w:pPr>
      <w:r>
        <w:rPr>
          <w:rFonts w:ascii="Courier New" w:cs="Courier New" w:eastAsia="Courier New" w:hAnsi="Courier New"/>
          <w:sz w:val="15"/>
          <w:szCs w:val="15"/>
          <w:color w:val="auto"/>
        </w:rPr>
        <w:t>The information contained on page 2 of the Proxy Statement under the heading "Principal Stockholders and Holdings of Management" is incorporated herein by reference thereto.</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left="1320" w:right="3319"/>
        <w:spacing w:after="0" w:line="235" w:lineRule="auto"/>
        <w:rPr>
          <w:sz w:val="20"/>
          <w:szCs w:val="20"/>
          <w:color w:val="auto"/>
        </w:rPr>
      </w:pPr>
      <w:r>
        <w:rPr>
          <w:rFonts w:ascii="Courier New" w:cs="Courier New" w:eastAsia="Courier New" w:hAnsi="Courier New"/>
          <w:sz w:val="15"/>
          <w:szCs w:val="15"/>
          <w:color w:val="auto"/>
        </w:rPr>
        <w:t>The information contained on page 6 of the Proxy statement under the heading "Organization and Compensation Committee Interlocks and Insider Participation" is incorporated herein by reference thereto.</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 AND REPORTS ON FORM 8-K</w:t>
      </w:r>
    </w:p>
    <w:p>
      <w:pPr>
        <w:spacing w:after="0" w:line="173" w:lineRule="exact"/>
        <w:rPr>
          <w:sz w:val="20"/>
          <w:szCs w:val="20"/>
          <w:color w:val="auto"/>
        </w:rPr>
      </w:pPr>
    </w:p>
    <w:p>
      <w:pPr>
        <w:ind w:left="2280" w:right="3399" w:hanging="958"/>
        <w:spacing w:after="0" w:line="234" w:lineRule="auto"/>
        <w:tabs>
          <w:tab w:leader="none" w:pos="184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response to this portion of Item 14 is submitted as a separate section of this report.</w:t>
      </w:r>
    </w:p>
    <w:p>
      <w:pPr>
        <w:spacing w:after="0" w:line="173" w:lineRule="exact"/>
        <w:rPr>
          <w:rFonts w:ascii="Courier New" w:cs="Courier New" w:eastAsia="Courier New" w:hAnsi="Courier New"/>
          <w:sz w:val="15"/>
          <w:szCs w:val="15"/>
          <w:color w:val="auto"/>
        </w:rPr>
      </w:pPr>
    </w:p>
    <w:p>
      <w:pPr>
        <w:ind w:left="2280" w:right="3319" w:hanging="434"/>
        <w:spacing w:after="0" w:line="256" w:lineRule="auto"/>
        <w:tabs>
          <w:tab w:leader="none" w:pos="22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financial statement schedules for which provision is made in the applicable accounting regulations of the Securities and Exchange Commission are not required under the related instructions or are inapplicable and, therefore, have been omitted.</w:t>
      </w:r>
    </w:p>
    <w:p>
      <w:pPr>
        <w:spacing w:after="0" w:line="156" w:lineRule="exact"/>
        <w:rPr>
          <w:rFonts w:ascii="Courier New" w:cs="Courier New" w:eastAsia="Courier New" w:hAnsi="Courier New"/>
          <w:sz w:val="14"/>
          <w:szCs w:val="14"/>
          <w:color w:val="auto"/>
        </w:rPr>
      </w:pPr>
    </w:p>
    <w:p>
      <w:pPr>
        <w:ind w:left="2280" w:hanging="434"/>
        <w:spacing w:after="0"/>
        <w:tabs>
          <w:tab w:leader="none" w:pos="22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Exhibits</w:t>
      </w:r>
    </w:p>
    <w:p>
      <w:pPr>
        <w:spacing w:after="0" w:line="172" w:lineRule="exact"/>
        <w:rPr>
          <w:rFonts w:ascii="Courier New" w:cs="Courier New" w:eastAsia="Courier New" w:hAnsi="Courier New"/>
          <w:sz w:val="15"/>
          <w:szCs w:val="15"/>
          <w:color w:val="auto"/>
        </w:rPr>
      </w:pPr>
    </w:p>
    <w:p>
      <w:pPr>
        <w:ind w:left="2720" w:right="3679" w:hanging="349"/>
        <w:spacing w:after="0" w:line="235" w:lineRule="auto"/>
        <w:tabs>
          <w:tab w:leader="none" w:pos="2720"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as amended and By Laws are incorporated herein by reference to Form 10-Q for the fiscal quarter ended February 28, 1994.</w:t>
      </w:r>
    </w:p>
    <w:p>
      <w:pPr>
        <w:spacing w:after="0" w:line="175" w:lineRule="exact"/>
        <w:rPr>
          <w:sz w:val="20"/>
          <w:szCs w:val="20"/>
          <w:color w:val="auto"/>
        </w:rPr>
      </w:pPr>
    </w:p>
    <w:p>
      <w:pPr>
        <w:ind w:left="2720" w:right="3499" w:hanging="436"/>
        <w:spacing w:after="0" w:line="261" w:lineRule="auto"/>
        <w:tabs>
          <w:tab w:leader="none" w:pos="27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Annual Report to Stockholders for the year ended November 30, 1994.*</w:t>
      </w:r>
    </w:p>
    <w:p>
      <w:pPr>
        <w:spacing w:after="0" w:line="153" w:lineRule="exact"/>
        <w:rPr>
          <w:sz w:val="20"/>
          <w:szCs w:val="20"/>
          <w:color w:val="auto"/>
        </w:rPr>
      </w:pPr>
    </w:p>
    <w:p>
      <w:pPr>
        <w:ind w:left="2720" w:hanging="436"/>
        <w:spacing w:after="0"/>
        <w:tabs>
          <w:tab w:leader="none" w:pos="2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66" w:lineRule="exact"/>
        <w:rPr>
          <w:sz w:val="20"/>
          <w:szCs w:val="20"/>
          <w:color w:val="auto"/>
        </w:rPr>
      </w:pPr>
    </w:p>
    <w:p>
      <w:pPr>
        <w:ind w:left="2720" w:hanging="436"/>
        <w:spacing w:after="0"/>
        <w:tabs>
          <w:tab w:leader="none" w:pos="2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experts and counsel</w:t>
      </w:r>
    </w:p>
    <w:p>
      <w:pPr>
        <w:spacing w:after="0" w:line="166" w:lineRule="exact"/>
        <w:rPr>
          <w:sz w:val="20"/>
          <w:szCs w:val="20"/>
          <w:color w:val="auto"/>
        </w:rPr>
      </w:pPr>
    </w:p>
    <w:p>
      <w:pPr>
        <w:ind w:left="2720" w:hanging="436"/>
        <w:spacing w:after="0"/>
        <w:tabs>
          <w:tab w:leader="none" w:pos="27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(EDGAR filing only)</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*With the exception of the information incorporated in</w:t>
      </w:r>
    </w:p>
    <w:p>
      <w:pPr>
        <w:ind w:left="1840"/>
        <w:spacing w:after="0" w:line="237" w:lineRule="auto"/>
        <w:rPr>
          <w:sz w:val="20"/>
          <w:szCs w:val="20"/>
          <w:color w:val="auto"/>
        </w:rPr>
      </w:pPr>
      <w:r>
        <w:rPr>
          <w:rFonts w:ascii="Courier New" w:cs="Courier New" w:eastAsia="Courier New" w:hAnsi="Courier New"/>
          <w:sz w:val="15"/>
          <w:szCs w:val="15"/>
          <w:color w:val="auto"/>
        </w:rPr>
        <w:t>this Form 10-K by reference thereto, the Annual Report</w:t>
      </w:r>
    </w:p>
    <w:p>
      <w:pPr>
        <w:ind w:left="1840"/>
        <w:spacing w:after="0" w:line="238" w:lineRule="auto"/>
        <w:rPr>
          <w:sz w:val="20"/>
          <w:szCs w:val="20"/>
          <w:color w:val="auto"/>
        </w:rPr>
      </w:pPr>
      <w:r>
        <w:rPr>
          <w:rFonts w:ascii="Courier New" w:cs="Courier New" w:eastAsia="Courier New" w:hAnsi="Courier New"/>
          <w:sz w:val="15"/>
          <w:szCs w:val="15"/>
          <w:color w:val="auto"/>
        </w:rPr>
        <w:t>shall not be deemed "filed" as a part of this Form 10-K.</w:t>
      </w:r>
    </w:p>
    <w:p>
      <w:pPr>
        <w:spacing w:after="0" w:line="173" w:lineRule="exact"/>
        <w:rPr>
          <w:sz w:val="20"/>
          <w:szCs w:val="20"/>
          <w:color w:val="auto"/>
        </w:rPr>
      </w:pPr>
    </w:p>
    <w:p>
      <w:pPr>
        <w:ind w:left="1840" w:right="3679" w:hanging="518"/>
        <w:spacing w:after="0" w:line="234" w:lineRule="auto"/>
        <w:tabs>
          <w:tab w:leader="none" w:pos="18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registrant's 1994 fiscal year.</w:t>
      </w:r>
    </w:p>
    <w:p>
      <w:pPr>
        <w:spacing w:after="0" w:line="173" w:lineRule="exact"/>
        <w:rPr>
          <w:rFonts w:ascii="Courier New" w:cs="Courier New" w:eastAsia="Courier New" w:hAnsi="Courier New"/>
          <w:sz w:val="15"/>
          <w:szCs w:val="15"/>
          <w:color w:val="auto"/>
        </w:rPr>
      </w:pPr>
    </w:p>
    <w:p>
      <w:pPr>
        <w:ind w:left="1840" w:right="3579" w:hanging="518"/>
        <w:spacing w:after="0" w:line="234" w:lineRule="auto"/>
        <w:tabs>
          <w:tab w:leader="none" w:pos="18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response to this portion of Item 14. is submitted as a separate section of this report.</w:t>
      </w:r>
    </w:p>
    <w:p>
      <w:pPr>
        <w:spacing w:after="0" w:line="173" w:lineRule="exact"/>
        <w:rPr>
          <w:rFonts w:ascii="Courier New" w:cs="Courier New" w:eastAsia="Courier New" w:hAnsi="Courier New"/>
          <w:sz w:val="15"/>
          <w:szCs w:val="15"/>
          <w:color w:val="auto"/>
        </w:rPr>
      </w:pPr>
    </w:p>
    <w:p>
      <w:pPr>
        <w:ind w:left="1840" w:right="3319" w:hanging="518"/>
        <w:spacing w:after="0" w:line="256" w:lineRule="auto"/>
        <w:tabs>
          <w:tab w:leader="none" w:pos="18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All financial statement schedules for which provision is made in the applicable accounting regulations of the Securities and Exchange Commission are not required under the related instructions or are inapplicable and, therefore, have been omitted.</w:t>
      </w:r>
    </w:p>
    <w:p>
      <w:pPr>
        <w:sectPr>
          <w:pgSz w:w="11900" w:h="16838" w:orient="portrait"/>
          <w:cols w:equalWidth="0" w:num="1">
            <w:col w:w="10239"/>
          </w:cols>
          <w:pgMar w:left="220" w:top="28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8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ANNUAL REPORT ON FORM 10-K</w:t>
      </w:r>
    </w:p>
    <w:p>
      <w:pPr>
        <w:ind w:left="2260"/>
        <w:spacing w:after="0" w:line="237" w:lineRule="auto"/>
        <w:rPr>
          <w:sz w:val="20"/>
          <w:szCs w:val="20"/>
          <w:color w:val="auto"/>
        </w:rPr>
      </w:pPr>
      <w:r>
        <w:rPr>
          <w:rFonts w:ascii="Courier New" w:cs="Courier New" w:eastAsia="Courier New" w:hAnsi="Courier New"/>
          <w:sz w:val="15"/>
          <w:szCs w:val="15"/>
          <w:color w:val="auto"/>
        </w:rPr>
        <w:t>ITEM 14(a)(1) AND (c)</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LIST OF FINANCIAL STATEMENTS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CERTAIN EXHIBITS</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YEAR ENDED NOVEMBER 30, 1994</w:t>
      </w:r>
    </w:p>
    <w:p>
      <w:pPr>
        <w:spacing w:after="0" w:line="33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BASSETT, VIRGINIA</w:t>
      </w:r>
    </w:p>
    <w:p>
      <w:pPr>
        <w:sectPr>
          <w:pgSz w:w="11900" w:h="16838" w:orient="portrait"/>
          <w:cols w:equalWidth="0" w:num="1">
            <w:col w:w="9959"/>
          </w:cols>
          <w:pgMar w:left="50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9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 14(a)(1)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LIST OF FINANCIAL STATEMENTS AND FINANCIAL STATEMENT SCHEDULE</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of the registrant and its subsidiaries, included in the annual report of the registrant to its stockholders for the year ended November 30, 1994 are incorporated herein by reference:</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Sheet--November 30, 1994 and 1993</w:t>
      </w:r>
    </w:p>
    <w:p>
      <w:pPr>
        <w:spacing w:after="0" w:line="173"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Consolidated Statement of Income--Years Ended November 30, 1994, 1993 and 1992</w:t>
      </w:r>
    </w:p>
    <w:p>
      <w:pPr>
        <w:spacing w:after="0" w:line="173" w:lineRule="exact"/>
        <w:rPr>
          <w:sz w:val="20"/>
          <w:szCs w:val="20"/>
          <w:color w:val="auto"/>
        </w:rPr>
      </w:pPr>
    </w:p>
    <w:p>
      <w:pPr>
        <w:ind w:left="800" w:right="3399"/>
        <w:spacing w:after="0" w:line="234" w:lineRule="auto"/>
        <w:rPr>
          <w:sz w:val="20"/>
          <w:szCs w:val="20"/>
          <w:color w:val="auto"/>
        </w:rPr>
      </w:pPr>
      <w:r>
        <w:rPr>
          <w:rFonts w:ascii="Courier New" w:cs="Courier New" w:eastAsia="Courier New" w:hAnsi="Courier New"/>
          <w:sz w:val="15"/>
          <w:szCs w:val="15"/>
          <w:color w:val="auto"/>
        </w:rPr>
        <w:t>Consolidated Statement of Stockholders' Equity - Years Ended November 30, 1994, 1993 and 1992</w:t>
      </w:r>
    </w:p>
    <w:p>
      <w:pPr>
        <w:spacing w:after="0" w:line="173" w:lineRule="exact"/>
        <w:rPr>
          <w:sz w:val="20"/>
          <w:szCs w:val="20"/>
          <w:color w:val="auto"/>
        </w:rPr>
      </w:pPr>
    </w:p>
    <w:p>
      <w:pPr>
        <w:ind w:left="800" w:right="3499"/>
        <w:spacing w:after="0" w:line="234" w:lineRule="auto"/>
        <w:rPr>
          <w:sz w:val="20"/>
          <w:szCs w:val="20"/>
          <w:color w:val="auto"/>
        </w:rPr>
      </w:pPr>
      <w:r>
        <w:rPr>
          <w:rFonts w:ascii="Courier New" w:cs="Courier New" w:eastAsia="Courier New" w:hAnsi="Courier New"/>
          <w:sz w:val="15"/>
          <w:szCs w:val="15"/>
          <w:color w:val="auto"/>
        </w:rPr>
        <w:t>Consolidated Statement of Cash Flows--Years Ended November 30, 1994, 1993 and 1992</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Page 10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/s/Robert H. Spilman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both"/>
        <w:ind w:right="959"/>
        <w:spacing w:after="0" w:line="254" w:lineRule="auto"/>
        <w:rPr>
          <w:sz w:val="20"/>
          <w:szCs w:val="20"/>
          <w:color w:val="auto"/>
        </w:rPr>
      </w:pPr>
      <w:r>
        <w:rPr>
          <w:rFonts w:ascii="Courier New" w:cs="Courier New" w:eastAsia="Courier New" w:hAnsi="Courier New"/>
          <w:sz w:val="14"/>
          <w:szCs w:val="14"/>
          <w:color w:val="auto"/>
        </w:rPr>
        <w:t>February 15, 1995 -----------------</w:t>
      </w:r>
    </w:p>
    <w:p>
      <w:pPr>
        <w:spacing w:after="0" w:line="1" w:lineRule="exact"/>
        <w:rPr>
          <w:sz w:val="20"/>
          <w:szCs w:val="20"/>
          <w:color w:val="auto"/>
        </w:rPr>
      </w:pPr>
    </w:p>
    <w:p>
      <w:pPr>
        <w:sectPr>
          <w:pgSz w:w="11900" w:h="16838" w:orient="portrait"/>
          <w:cols w:equalWidth="0" w:num="4">
            <w:col w:w="1760" w:space="340"/>
            <w:col w:w="4280" w:space="720"/>
            <w:col w:w="440" w:space="260"/>
            <w:col w:w="2439"/>
          </w:cols>
          <w:pgMar w:left="220" w:top="281" w:right="1440" w:bottom="1440" w:gutter="0" w:footer="0" w:header="0"/>
          <w:type w:val="continuous"/>
        </w:sectPr>
      </w:pPr>
    </w:p>
    <w:p>
      <w:pPr>
        <w:ind w:left="2020"/>
        <w:spacing w:after="0" w:line="231" w:lineRule="auto"/>
        <w:rPr>
          <w:sz w:val="20"/>
          <w:szCs w:val="20"/>
          <w:color w:val="auto"/>
        </w:rPr>
      </w:pPr>
      <w:r>
        <w:rPr>
          <w:rFonts w:ascii="Courier New" w:cs="Courier New" w:eastAsia="Courier New" w:hAnsi="Courier New"/>
          <w:sz w:val="15"/>
          <w:szCs w:val="15"/>
          <w:color w:val="auto"/>
        </w:rPr>
        <w:t>Robert H. Spilman</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39"/>
          </w:cols>
          <w:pgMar w:left="220" w:top="281" w:right="1440" w:bottom="1440" w:gutter="0" w:footer="0" w:header="0"/>
          <w:type w:val="continuous"/>
        </w:sectPr>
      </w:pP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ind w:left="200"/>
              <w:spacing w:after="0"/>
              <w:rPr>
                <w:sz w:val="20"/>
                <w:szCs w:val="20"/>
                <w:color w:val="auto"/>
              </w:rPr>
            </w:pPr>
            <w:r>
              <w:rPr>
                <w:rFonts w:ascii="Courier New" w:cs="Courier New" w:eastAsia="Courier New" w:hAnsi="Courier New"/>
                <w:sz w:val="15"/>
                <w:szCs w:val="15"/>
                <w:color w:val="auto"/>
              </w:rPr>
              <w:t>/s/Peter W. Brown</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Peter W. Brown</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ind w:left="200"/>
              <w:spacing w:after="0"/>
              <w:rPr>
                <w:sz w:val="20"/>
                <w:szCs w:val="20"/>
                <w:color w:val="auto"/>
              </w:rPr>
            </w:pPr>
            <w:r>
              <w:rPr>
                <w:rFonts w:ascii="Courier New" w:cs="Courier New" w:eastAsia="Courier New" w:hAnsi="Courier New"/>
                <w:sz w:val="15"/>
                <w:szCs w:val="15"/>
                <w:color w:val="auto"/>
              </w:rPr>
              <w:t>/s/Thomas E. Capps</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Thomas E. Capps</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Alan T. Dickson</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Paul Fulton</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ind w:left="200"/>
              <w:spacing w:after="0"/>
              <w:rPr>
                <w:sz w:val="20"/>
                <w:szCs w:val="20"/>
                <w:color w:val="auto"/>
              </w:rPr>
            </w:pPr>
            <w:r>
              <w:rPr>
                <w:rFonts w:ascii="Courier New" w:cs="Courier New" w:eastAsia="Courier New" w:hAnsi="Courier New"/>
                <w:sz w:val="15"/>
                <w:szCs w:val="15"/>
                <w:color w:val="auto"/>
              </w:rPr>
              <w:t>/s/William H. Goodwin, Jr.</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William H. Goodwin, Jr.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ind w:left="200"/>
              <w:spacing w:after="0"/>
              <w:rPr>
                <w:sz w:val="20"/>
                <w:szCs w:val="20"/>
                <w:color w:val="auto"/>
              </w:rPr>
            </w:pPr>
            <w:r>
              <w:rPr>
                <w:rFonts w:ascii="Courier New" w:cs="Courier New" w:eastAsia="Courier New" w:hAnsi="Courier New"/>
                <w:sz w:val="15"/>
                <w:szCs w:val="15"/>
                <w:color w:val="auto"/>
              </w:rPr>
              <w:t>/s/Glenn A. Hunsucker</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Glenn A. Hunsucker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Operating Officer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and 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ind w:left="200"/>
              <w:spacing w:after="0"/>
              <w:rPr>
                <w:sz w:val="20"/>
                <w:szCs w:val="20"/>
                <w:color w:val="auto"/>
              </w:rPr>
            </w:pPr>
            <w:r>
              <w:rPr>
                <w:rFonts w:ascii="Courier New" w:cs="Courier New" w:eastAsia="Courier New" w:hAnsi="Courier New"/>
                <w:sz w:val="15"/>
                <w:szCs w:val="15"/>
                <w:color w:val="auto"/>
              </w:rPr>
              <w:t>/s/George W. Lyles, Jr.</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George W. Lyles, Jr.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620" w:type="dxa"/>
            <w:vAlign w:val="bottom"/>
          </w:tcPr>
          <w:p>
            <w:pPr>
              <w:spacing w:after="0"/>
              <w:rPr>
                <w:sz w:val="24"/>
                <w:szCs w:val="24"/>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c>
          <w:tcPr>
            <w:tcW w:w="1620" w:type="dxa"/>
            <w:vAlign w:val="bottom"/>
          </w:tcPr>
          <w:p>
            <w:pPr>
              <w:ind w:left="140"/>
              <w:spacing w:after="0"/>
              <w:rPr>
                <w:sz w:val="20"/>
                <w:szCs w:val="20"/>
                <w:color w:val="auto"/>
              </w:rPr>
            </w:pPr>
            <w:r>
              <w:rPr>
                <w:rFonts w:ascii="Courier New" w:cs="Courier New" w:eastAsia="Courier New" w:hAnsi="Courier New"/>
                <w:sz w:val="15"/>
                <w:szCs w:val="15"/>
                <w:color w:val="auto"/>
                <w:w w:val="95"/>
              </w:rPr>
              <w:t>February 15, 1995</w:t>
            </w:r>
          </w:p>
        </w:tc>
      </w:tr>
      <w:tr>
        <w:trPr>
          <w:trHeight w:val="168"/>
        </w:trPr>
        <w:tc>
          <w:tcPr>
            <w:tcW w:w="400" w:type="dxa"/>
            <w:vAlign w:val="bottom"/>
          </w:tcPr>
          <w:p>
            <w:pPr>
              <w:spacing w:after="0"/>
              <w:rPr>
                <w:sz w:val="14"/>
                <w:szCs w:val="14"/>
                <w:color w:val="auto"/>
              </w:rPr>
            </w:pPr>
          </w:p>
        </w:tc>
        <w:tc>
          <w:tcPr>
            <w:tcW w:w="46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James W. McGlothlin</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Page 11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SIGNATURES -- CONTINUED</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Albert F. Sloan</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959"/>
        <w:spacing w:after="0" w:line="261" w:lineRule="auto"/>
        <w:rPr>
          <w:sz w:val="20"/>
          <w:szCs w:val="20"/>
          <w:color w:val="auto"/>
        </w:rPr>
      </w:pPr>
      <w:r>
        <w:rPr>
          <w:rFonts w:ascii="Courier New" w:cs="Courier New" w:eastAsia="Courier New" w:hAnsi="Courier New"/>
          <w:sz w:val="14"/>
          <w:szCs w:val="14"/>
          <w:color w:val="auto"/>
        </w:rPr>
        <w:t>February 15, 1995 -----------------</w:t>
      </w:r>
    </w:p>
    <w:p>
      <w:pPr>
        <w:spacing w:after="0" w:line="522" w:lineRule="exact"/>
        <w:rPr>
          <w:sz w:val="20"/>
          <w:szCs w:val="20"/>
          <w:color w:val="auto"/>
        </w:rPr>
      </w:pPr>
    </w:p>
    <w:p>
      <w:pPr>
        <w:sectPr>
          <w:pgSz w:w="11900" w:h="16838" w:orient="portrait"/>
          <w:cols w:equalWidth="0" w:num="4">
            <w:col w:w="1480" w:space="260"/>
            <w:col w:w="4360" w:space="720"/>
            <w:col w:w="440" w:space="260"/>
            <w:col w:w="2439"/>
          </w:cols>
          <w:pgMar w:left="500" w:top="281" w:right="1440" w:bottom="1440" w:gutter="0" w:footer="0" w:header="0"/>
          <w:type w:val="continuous"/>
        </w:sectPr>
      </w:pPr>
    </w:p>
    <w:p>
      <w:pPr>
        <w:spacing w:after="0" w:line="14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/s/John W. Snow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959"/>
        <w:spacing w:after="0" w:line="254" w:lineRule="auto"/>
        <w:rPr>
          <w:sz w:val="20"/>
          <w:szCs w:val="20"/>
          <w:color w:val="auto"/>
        </w:rPr>
      </w:pPr>
      <w:r>
        <w:rPr>
          <w:rFonts w:ascii="Courier New" w:cs="Courier New" w:eastAsia="Courier New" w:hAnsi="Courier New"/>
          <w:sz w:val="14"/>
          <w:szCs w:val="14"/>
          <w:color w:val="auto"/>
        </w:rPr>
        <w:t>February 15, 1995 -----------------</w:t>
      </w:r>
    </w:p>
    <w:p>
      <w:pPr>
        <w:spacing w:after="0" w:line="1" w:lineRule="exact"/>
        <w:rPr>
          <w:sz w:val="20"/>
          <w:szCs w:val="20"/>
          <w:color w:val="auto"/>
        </w:rPr>
      </w:pPr>
    </w:p>
    <w:p>
      <w:pPr>
        <w:sectPr>
          <w:pgSz w:w="11900" w:h="16838" w:orient="portrait"/>
          <w:cols w:equalWidth="0" w:num="4">
            <w:col w:w="1480" w:space="340"/>
            <w:col w:w="4280" w:space="720"/>
            <w:col w:w="440" w:space="260"/>
            <w:col w:w="2439"/>
          </w:cols>
          <w:pgMar w:left="500" w:top="281"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John W. Snow</w:t>
      </w:r>
    </w:p>
    <w:p>
      <w:pPr>
        <w:spacing w:after="0" w:line="3"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1">
            <w:col w:w="9959"/>
          </w:cols>
          <w:pgMar w:left="500" w:top="281" w:right="1440" w:bottom="1440" w:gutter="0" w:footer="0" w:header="0"/>
          <w:type w:val="continuous"/>
        </w:sectPr>
      </w:pPr>
    </w:p>
    <w:p>
      <w:pPr>
        <w:spacing w:after="0" w:line="34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/s/Philip E. Booker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both"/>
        <w:ind w:right="959"/>
        <w:spacing w:after="0" w:line="254" w:lineRule="auto"/>
        <w:rPr>
          <w:sz w:val="20"/>
          <w:szCs w:val="20"/>
          <w:color w:val="auto"/>
        </w:rPr>
      </w:pPr>
      <w:r>
        <w:rPr>
          <w:rFonts w:ascii="Courier New" w:cs="Courier New" w:eastAsia="Courier New" w:hAnsi="Courier New"/>
          <w:sz w:val="14"/>
          <w:szCs w:val="14"/>
          <w:color w:val="auto"/>
        </w:rPr>
        <w:t>February 15, 1995 -----------------</w:t>
      </w:r>
    </w:p>
    <w:p>
      <w:pPr>
        <w:spacing w:after="0" w:line="1" w:lineRule="exact"/>
        <w:rPr>
          <w:sz w:val="20"/>
          <w:szCs w:val="20"/>
          <w:color w:val="auto"/>
        </w:rPr>
      </w:pPr>
    </w:p>
    <w:p>
      <w:pPr>
        <w:sectPr>
          <w:pgSz w:w="11900" w:h="16838" w:orient="portrait"/>
          <w:cols w:equalWidth="0" w:num="4">
            <w:col w:w="1480" w:space="340"/>
            <w:col w:w="4280" w:space="720"/>
            <w:col w:w="440" w:space="260"/>
            <w:col w:w="2439"/>
          </w:cols>
          <w:pgMar w:left="500" w:top="281" w:right="1440" w:bottom="1440" w:gutter="0" w:footer="0" w:header="0"/>
          <w:type w:val="continuous"/>
        </w:sectPr>
      </w:pPr>
    </w:p>
    <w:p>
      <w:pPr>
        <w:ind w:left="1740"/>
        <w:spacing w:after="0" w:line="231" w:lineRule="auto"/>
        <w:rPr>
          <w:sz w:val="20"/>
          <w:szCs w:val="20"/>
          <w:color w:val="auto"/>
        </w:rPr>
      </w:pPr>
      <w:r>
        <w:rPr>
          <w:rFonts w:ascii="Courier New" w:cs="Courier New" w:eastAsia="Courier New" w:hAnsi="Courier New"/>
          <w:sz w:val="15"/>
          <w:szCs w:val="15"/>
          <w:color w:val="auto"/>
        </w:rPr>
        <w:t>Philip E. Booker</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Vice President and Controller</w:t>
      </w:r>
    </w:p>
    <w:p>
      <w:pPr>
        <w:sectPr>
          <w:pgSz w:w="11900" w:h="16838" w:orient="portrait"/>
          <w:cols w:equalWidth="0" w:num="1">
            <w:col w:w="9959"/>
          </w:cols>
          <w:pgMar w:left="500" w:top="281"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5580"/>
        <w:spacing w:after="0"/>
        <w:rPr>
          <w:sz w:val="20"/>
          <w:szCs w:val="20"/>
          <w:color w:val="auto"/>
        </w:rPr>
      </w:pPr>
      <w:r>
        <w:rPr>
          <w:rFonts w:ascii="Courier New" w:cs="Courier New" w:eastAsia="Courier New" w:hAnsi="Courier New"/>
          <w:sz w:val="14"/>
          <w:szCs w:val="14"/>
          <w:color w:val="auto"/>
        </w:rPr>
        <w:t>Page 12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70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center"/>
        <w:ind w:right="700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7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7940" w:space="720"/>
            <w:col w:w="1299"/>
          </w:cols>
          <w:pgMar w:left="500" w:top="281"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ind w:right="1900"/>
        <w:spacing w:after="0" w:line="235" w:lineRule="auto"/>
        <w:rPr>
          <w:sz w:val="20"/>
          <w:szCs w:val="20"/>
          <w:color w:val="auto"/>
        </w:rPr>
      </w:pPr>
      <w:r>
        <w:rPr>
          <w:rFonts w:ascii="Courier New" w:cs="Courier New" w:eastAsia="Courier New" w:hAnsi="Courier New"/>
          <w:sz w:val="15"/>
          <w:szCs w:val="15"/>
          <w:color w:val="auto"/>
        </w:rPr>
        <w:t>Articles of Incorporation as amended and Bylaws - incorporated by reference to Form 10-Q for the fiscal quarter ended February 28, 1994</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1" w:lineRule="exact"/>
        <w:rPr>
          <w:sz w:val="20"/>
          <w:szCs w:val="20"/>
          <w:color w:val="auto"/>
        </w:rPr>
      </w:pPr>
    </w:p>
    <w:p>
      <w:pPr>
        <w:sectPr>
          <w:pgSz w:w="11900" w:h="16838" w:orient="portrait"/>
          <w:cols w:equalWidth="0" w:num="3">
            <w:col w:w="840" w:space="720"/>
            <w:col w:w="6540" w:space="720"/>
            <w:col w:w="1139"/>
          </w:cols>
          <w:pgMar w:left="500" w:top="281" w:right="1440" w:bottom="1440" w:gutter="0" w:footer="0" w:header="0"/>
          <w:type w:val="continuous"/>
        </w:sectPr>
      </w:pPr>
    </w:p>
    <w:p>
      <w:pPr>
        <w:ind w:left="1560" w:hanging="1218"/>
        <w:spacing w:after="0"/>
        <w:tabs>
          <w:tab w:leader="none" w:pos="15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Inc. Annual Report to</w:t>
      </w:r>
    </w:p>
    <w:tbl>
      <w:tblPr>
        <w:tblLayout w:type="fixed"/>
        <w:tblInd w:w="340" w:type="dxa"/>
        <w:tblCellMar>
          <w:top w:w="0" w:type="dxa"/>
          <w:left w:w="0" w:type="dxa"/>
          <w:bottom w:w="0" w:type="dxa"/>
          <w:right w:w="0" w:type="dxa"/>
        </w:tblCellMar>
      </w:tblPr>
      <w:tr>
        <w:trPr>
          <w:trHeight w:val="168"/>
        </w:trPr>
        <w:tc>
          <w:tcPr>
            <w:tcW w:w="740" w:type="dxa"/>
            <w:vAlign w:val="bottom"/>
          </w:tcPr>
          <w:p>
            <w:pPr>
              <w:spacing w:after="0"/>
              <w:rPr>
                <w:sz w:val="14"/>
                <w:szCs w:val="14"/>
                <w:color w:val="auto"/>
              </w:rPr>
            </w:pPr>
          </w:p>
        </w:tc>
        <w:tc>
          <w:tcPr>
            <w:tcW w:w="22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Stockholders for the</w:t>
            </w:r>
          </w:p>
        </w:tc>
        <w:tc>
          <w:tcPr>
            <w:tcW w:w="3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 ended November 30, 1994</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13 - 21</w:t>
            </w:r>
          </w:p>
        </w:tc>
      </w:tr>
      <w:tr>
        <w:trPr>
          <w:trHeight w:val="336"/>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21.</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List of</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subsidiaries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336"/>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23.</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Consent</w:t>
            </w:r>
          </w:p>
        </w:tc>
        <w:tc>
          <w:tcPr>
            <w:tcW w:w="5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Independent Auditors</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r>
      <w:tr>
        <w:trPr>
          <w:trHeight w:val="336"/>
        </w:trPr>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27.</w:t>
            </w:r>
          </w:p>
        </w:tc>
        <w:tc>
          <w:tcPr>
            <w:tcW w:w="254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Financial Data Schedule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(EDGAR filing only)</w:t>
            </w:r>
          </w:p>
        </w:tc>
        <w:tc>
          <w:tcPr>
            <w:tcW w:w="2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9959"/>
          </w:cols>
          <w:pgMar w:left="50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13 of 24</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Furniture Industries, Incorporated and Subsidiaries</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787"/>
              <w:spacing w:after="0" w:line="168" w:lineRule="exact"/>
              <w:rPr>
                <w:sz w:val="20"/>
                <w:szCs w:val="20"/>
                <w:color w:val="auto"/>
              </w:rPr>
            </w:pPr>
            <w:r>
              <w:rPr>
                <w:rFonts w:ascii="Courier New" w:cs="Courier New" w:eastAsia="Courier New" w:hAnsi="Courier New"/>
                <w:sz w:val="15"/>
                <w:szCs w:val="15"/>
                <w:color w:val="auto"/>
              </w:rPr>
              <w:t>November 30,</w:t>
            </w:r>
          </w:p>
        </w:tc>
      </w:tr>
      <w:tr>
        <w:trPr>
          <w:trHeight w:val="168"/>
        </w:trPr>
        <w:tc>
          <w:tcPr>
            <w:tcW w:w="6080" w:type="dxa"/>
            <w:vAlign w:val="bottom"/>
          </w:tcPr>
          <w:p>
            <w:pPr>
              <w:spacing w:after="0"/>
              <w:rPr>
                <w:sz w:val="14"/>
                <w:szCs w:val="14"/>
                <w:color w:val="auto"/>
              </w:rPr>
            </w:pPr>
          </w:p>
        </w:tc>
        <w:tc>
          <w:tcPr>
            <w:tcW w:w="3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Cash and cash equivalents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 .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42,314,957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52,957,556</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 less allowances for doubtful</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60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accounts (1994 - $1,115,000; 1993 - $1,200,000) and discounts</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71,936,750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74,965,301</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Inventories  .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80,074,811</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69,793,369</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Prepaid expenses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2,206,736</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2,656,073</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Prepaid income taxes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274,675</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 income taxes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1,823,000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1,213,000</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198,630,929</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201,585,299</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Buildings  . .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71,859,549</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70,342,990</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Machinery and equipment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130,218,793</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127,043,322</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Other  . . . .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745,477</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745,477</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202,823,819</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198,131,789</w:t>
            </w:r>
          </w:p>
        </w:tc>
      </w:tr>
      <w:tr>
        <w:trPr>
          <w:trHeight w:val="336"/>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w w:val="97"/>
              </w:rPr>
              <w:t>Less allowances for depreciation   . . . . . . . . . . . . . . .</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152,673,335</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148,993,327</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50,150,484</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49,138,462</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Land   . . . .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4,403,422</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4,310,931</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54,553,906</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53,449,393</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Investment in securities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43,638,983</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36,291,645</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Investment in affiliated companies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35,080,525</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31,706,347</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 income taxes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1,701,200</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Other  . . . .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8,593,887</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5,943,995</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87,313,395</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75,643,187</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$340,498,230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$330,677,879</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Accounts payable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3"/>
              </w:rPr>
              <w:t>. .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29,786,395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26,405,963</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Accrued compensation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5,215,159</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5,722,837</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Income taxes   . .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1,061,036</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35,001,554</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33,189,836</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 liabilities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9,529,784</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8,612,578</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 income taxes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774,000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10,303,784</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8,612,578</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Common stock, par value $5 a share, 50,000,000 shares authorized</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70,434,075</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72,241,005</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Additional capital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422,784</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Retained earnings  . . . . . . . . . .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221,949,817</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216,211,676</w:t>
            </w:r>
          </w:p>
        </w:tc>
      </w:tr>
      <w:tr>
        <w:trPr>
          <w:trHeight w:val="168"/>
        </w:trPr>
        <w:tc>
          <w:tcPr>
            <w:tcW w:w="6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Unrealized holding gains, net of tax   . . . . . . . . . . . . .</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2,809,000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295,192,892</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288,875,465</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$340,498,230</w:t>
            </w:r>
          </w:p>
        </w:tc>
        <w:tc>
          <w:tcPr>
            <w:tcW w:w="4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$330,677,879</w:t>
            </w:r>
          </w:p>
        </w:tc>
      </w:tr>
      <w:tr>
        <w:trPr>
          <w:trHeight w:val="168"/>
        </w:trPr>
        <w:tc>
          <w:tcPr>
            <w:tcW w:w="6080" w:type="dxa"/>
            <w:vAlign w:val="bottom"/>
          </w:tcPr>
          <w:p>
            <w:pPr>
              <w:spacing w:after="0"/>
              <w:rPr>
                <w:sz w:val="14"/>
                <w:szCs w:val="14"/>
                <w:color w:val="auto"/>
              </w:rPr>
            </w:pPr>
          </w:p>
        </w:tc>
        <w:tc>
          <w:tcPr>
            <w:tcW w:w="22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135" w:right="1440"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0239"/>
          </w:cols>
          <w:pgMar w:left="220" w:top="135"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2</w:t>
      </w:r>
    </w:p>
    <w:tbl>
      <w:tblPr>
        <w:tblLayout w:type="fixed"/>
        <w:tblInd w:w="0" w:type="dxa"/>
        <w:tblCellMar>
          <w:top w:w="0" w:type="dxa"/>
          <w:left w:w="0" w:type="dxa"/>
          <w:bottom w:w="0" w:type="dxa"/>
          <w:right w:w="0" w:type="dxa"/>
        </w:tblCellMar>
      </w:tblPr>
      <w:tr>
        <w:trPr>
          <w:trHeight w:val="168"/>
        </w:trPr>
        <w:tc>
          <w:tcPr>
            <w:tcW w:w="8180" w:type="dxa"/>
            <w:vAlign w:val="bottom"/>
            <w:gridSpan w:val="2"/>
          </w:tcPr>
          <w:p>
            <w:pPr>
              <w:jc w:val="right"/>
              <w:ind w:right="1107"/>
              <w:spacing w:after="0" w:line="168" w:lineRule="exact"/>
              <w:rPr>
                <w:sz w:val="20"/>
                <w:szCs w:val="20"/>
                <w:color w:val="auto"/>
              </w:rPr>
            </w:pPr>
            <w:r>
              <w:rPr>
                <w:rFonts w:ascii="Courier New" w:cs="Courier New" w:eastAsia="Courier New" w:hAnsi="Courier New"/>
                <w:sz w:val="15"/>
                <w:szCs w:val="15"/>
                <w:color w:val="auto"/>
              </w:rPr>
              <w:t>14 of 24</w:t>
            </w: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5"/>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3"/>
        </w:trPr>
        <w:tc>
          <w:tcPr>
            <w:tcW w:w="6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YEAR ENDED NOVEMBER 30,</w:t>
            </w:r>
          </w:p>
        </w:tc>
        <w:tc>
          <w:tcPr>
            <w:tcW w:w="1160" w:type="dxa"/>
            <w:vAlign w:val="bottom"/>
          </w:tcPr>
          <w:p>
            <w:pPr>
              <w:spacing w:after="0"/>
              <w:rPr>
                <w:sz w:val="24"/>
                <w:szCs w:val="24"/>
                <w:color w:val="auto"/>
              </w:rPr>
            </w:pPr>
          </w:p>
        </w:tc>
      </w:tr>
      <w:tr>
        <w:trPr>
          <w:trHeight w:val="168"/>
        </w:trPr>
        <w:tc>
          <w:tcPr>
            <w:tcW w:w="6740" w:type="dxa"/>
            <w:vAlign w:val="bottom"/>
          </w:tcPr>
          <w:p>
            <w:pPr>
              <w:spacing w:after="0"/>
              <w:rPr>
                <w:sz w:val="14"/>
                <w:szCs w:val="14"/>
                <w:color w:val="auto"/>
              </w:rPr>
            </w:pPr>
          </w:p>
        </w:tc>
        <w:tc>
          <w:tcPr>
            <w:tcW w:w="4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22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1993</w:t>
            </w:r>
          </w:p>
        </w:tc>
        <w:tc>
          <w:tcPr>
            <w:tcW w:w="11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74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 . . . . . . . . . . . . . . . . .</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$ 510,560,858</w:t>
            </w:r>
          </w:p>
        </w:tc>
        <w:tc>
          <w:tcPr>
            <w:tcW w:w="2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$ 503,770,060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$ 473,401,341</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COST OF SALES  . . . . . . . . . . . . .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419,393,531</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413,055,371</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385,294,583</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SELLING, GENERAL AND ADMINISTRATIVE  . .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66,044,399</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63,472,078</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59,852,470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485,437,930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476,527,449</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445,147,053</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25,122,928</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27,242,611</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28,254,288</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INCOME, NET . . . . . . . . . . . . . .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9,657,476</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9,270,219</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9,787,614</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UNREALIZED GAIN ON INVESTMENT SECURITIES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1,224,796</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before income taxes and cumulative</w:t>
            </w: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Effect of a change in accounting principle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34,780,404</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36,512,830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39,266,698</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FEDERAL  . . . . . . . . . . . . . . . .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8,521,000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9,223,000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10,187,000</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STATE  . . . . . . . . . . . . . . . . . . . . . . . . . . . . . . .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1,361,000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1,077,000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1,449,000</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 . . . . . . . . . . . . . . . . . . . . . . . . . . . . .</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(78,000)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344,000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138,000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9,804,000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10,644,000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11,774,000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 before cumulative effect of a change in accounting principle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24,976,404</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25,868,830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27,492,698</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  . . . . . . .</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(510,200)</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24,466,204</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25,868,830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  27,492,698</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4567"/>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before cumulative effect of a change in accounting principle  .</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$1.79</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6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effect of a change in accounting principle  . . . . . . .</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$1.79</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674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5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TREASURY STOCK AT COST</w:t>
            </w:r>
          </w:p>
        </w:tc>
      </w:tr>
      <w:tr>
        <w:trPr>
          <w:trHeight w:val="168"/>
        </w:trPr>
        <w:tc>
          <w:tcPr>
            <w:tcW w:w="3860" w:type="dxa"/>
            <w:vAlign w:val="bottom"/>
          </w:tcPr>
          <w:p>
            <w:pPr>
              <w:spacing w:after="0"/>
              <w:rPr>
                <w:sz w:val="14"/>
                <w:szCs w:val="14"/>
                <w:color w:val="auto"/>
              </w:rPr>
            </w:pPr>
          </w:p>
        </w:tc>
        <w:tc>
          <w:tcPr>
            <w:tcW w:w="2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ADDITIONAL</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RETAINED</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86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EARNINGS</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1, 1991 . . . . . . . . .</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9,572,968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$47,864,840</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$7,993,618</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$250,798,846</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1,894,944</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$51,551,707</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 .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27,492,698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(9,205,978)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 of common stock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Contribution of treasury stock to</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Employee Savings/Retirement Plan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232,780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(10,929)</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(148,369)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of stock options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38,837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(1,642)</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(9,233)</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Retire treasury stock  . . . . . . . .</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(1,882,376)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(9,411,880)</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(8,265,235)</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(33,717,082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(1,882,376)</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(51,394,197)</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 for 2 stock split distributed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April, 1992  .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3,844,750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19,223,750</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(19,223,750)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NOVEMBER 30, 1992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11,535,342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57,676,710</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216,144,734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 .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25,868,830</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(11,358,213)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 of stock options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24,124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120,620</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422,784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 for 4 stock split distributed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May, 1993  . .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2,888,735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14,443,675</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(14,443,675)</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NOVEMBER 30, 1993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14,448,201</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72,241,005</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422,784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216,211,676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 .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24,466,204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 . .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(11,411,357)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and retirement of common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 . . . . . . . . . . . . . .</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(361,386)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(1,806,930)</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(422,784)</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(7,316,706)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_</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NOVEMBER 30, 1994  . . . . . . . .</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14,086,815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$70,434,075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$221,949,817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ectPr>
          <w:pgSz w:w="11900" w:h="16838" w:orient="portrait"/>
          <w:cols w:equalWidth="0" w:num="1">
            <w:col w:w="11540"/>
          </w:cols>
          <w:pgMar w:left="220" w:top="281" w:right="139"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3</w:t>
      </w:r>
    </w:p>
    <w:tbl>
      <w:tblPr>
        <w:tblLayout w:type="fixed"/>
        <w:tblInd w:w="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15 of 24</w:t>
            </w: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5"/>
        </w:trPr>
        <w:tc>
          <w:tcPr>
            <w:tcW w:w="538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Bassett Furniture Industries, Incorporated and Subsidiaries</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NOVEMBER 30,</w:t>
            </w:r>
          </w:p>
        </w:tc>
        <w:tc>
          <w:tcPr>
            <w:tcW w:w="1180" w:type="dxa"/>
            <w:vAlign w:val="bottom"/>
          </w:tcPr>
          <w:p>
            <w:pPr>
              <w:spacing w:after="0"/>
              <w:rPr>
                <w:sz w:val="24"/>
                <w:szCs w:val="24"/>
                <w:color w:val="auto"/>
              </w:rPr>
            </w:pP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228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Net income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$24,466,204</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$25,868,830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$27,492,698</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ind w:right="1629"/>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Depreciation and amortization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8,799,199</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8,984,279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8,482,547</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Equity in unremitted income of affiliated companies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(4,463,683)</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(3,945,899)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(3,642,938)</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Contribution of treasury stock to Employee</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Savings/Retirement Plan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381,149</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losses on trade accounts receivable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844,483</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434,450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1,635,517</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realized gain from sales of investment securities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(518,851)</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(695,247)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(1,111,623)</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unrealized gain on investment securities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(1,224,796)</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gain from sales of property,</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plant and equipment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(25,683)</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(317,964)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(483,991)</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432,200</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344,000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138,000</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Changes in deferred liabilities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917,206</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744,216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703,023</w:t>
            </w:r>
          </w:p>
        </w:tc>
      </w:tr>
      <w:tr>
        <w:trPr>
          <w:trHeight w:val="168"/>
        </w:trPr>
        <w:tc>
          <w:tcPr>
            <w:tcW w:w="5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Trade accounts receivable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2,184,068</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(1,041,227)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(8,316,380)</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receivables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(362,506)</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1,610,931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752,666</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and prepaid expenses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(9,832,105)</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(5,707,633)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(8,972,534)</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compensation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2,872,754</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(2,547,243)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7,087,396</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taxes payable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(1,624,711)</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(1,300,760)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219,079</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23,688,575</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22,430,733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23,139,813</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property, plant and equipment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(9,999,040)</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(6,235,233)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(9,898,098)</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sales of property, plant and equipment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121,011</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382,833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753,359</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Purchases of investment securities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(9,893,116)</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(9,866,962)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(9,677,517)</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sales of investment securities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7,595,629</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7,522,647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10,140,808</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 from affiliated company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1,089,505</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272,376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in corporate owned life insurance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(2,598,314)</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(731,672)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(178,202)</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 . .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310,928</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(187,425)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440,876</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(13,373,397)</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(8,843,436)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(8,418,774)</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of stock options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543,404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48,070</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 of common stock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(9,546,420)</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5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 dividends   . . . . . . . . . . . . . . . . . . .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(11,411,357)</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(11,358,213)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(9,205,978)</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(20,957,777)</w:t>
            </w:r>
          </w:p>
        </w:tc>
        <w:tc>
          <w:tcPr>
            <w:tcW w:w="2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(10,814,809)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(9,158,000)</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w w:val="96"/>
              </w:rPr>
              <w:t>CHANGE IN CASH AND CASH EQUIVALENTS . . . . . . . . . . . .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(10,642,599)</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2,772,488</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5,563,039</w:t>
            </w: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AND CASH EQUIVALENTS-beginning of year . . . . . . . .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52,957,556</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50,185,068</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44,622,029</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AND CASH EQUIVALENTS-end of year . . . . . . . . . . .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$42,314,957</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$52,957,556</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$50,185,068</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tax payments . . . . . . . . . . . . . . . . . . . .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$11,506,711</w:t>
            </w:r>
          </w:p>
        </w:tc>
        <w:tc>
          <w:tcPr>
            <w:tcW w:w="2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$11,600,760</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$11,416,921</w:t>
            </w:r>
          </w:p>
        </w:tc>
      </w:tr>
      <w:tr>
        <w:trPr>
          <w:trHeight w:val="168"/>
        </w:trPr>
        <w:tc>
          <w:tcPr>
            <w:tcW w:w="5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1300"/>
          </w:cols>
          <w:pgMar w:left="220" w:top="281" w:right="379"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4</w:t>
      </w:r>
    </w:p>
    <w:p>
      <w:pPr>
        <w:jc w:val="right"/>
        <w:ind w:right="3239"/>
        <w:spacing w:after="0" w:line="237" w:lineRule="auto"/>
        <w:rPr>
          <w:sz w:val="20"/>
          <w:szCs w:val="20"/>
          <w:color w:val="auto"/>
        </w:rPr>
      </w:pPr>
      <w:r>
        <w:rPr>
          <w:rFonts w:ascii="Courier New" w:cs="Courier New" w:eastAsia="Courier New" w:hAnsi="Courier New"/>
          <w:sz w:val="15"/>
          <w:szCs w:val="15"/>
          <w:color w:val="auto"/>
        </w:rPr>
        <w:t>16 of 24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3" w:lineRule="exact"/>
        <w:rPr>
          <w:sz w:val="20"/>
          <w:szCs w:val="20"/>
          <w:color w:val="auto"/>
        </w:rPr>
      </w:pPr>
    </w:p>
    <w:p>
      <w:pPr>
        <w:ind w:right="6119" w:firstLine="10"/>
        <w:spacing w:after="0" w:line="465"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4"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all of which are wholly-owned. All significant intercompany balances and transactions are eliminated in consolidation.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 considers all temporary, highly liquid investments with a maturity of three months or less to be cash equivalents. The carrying amount approximates fair value because of the short maturity of these investments.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 Accounts Receivable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only one business segment, the manufacture and sale of household furniture. Substantially all of the Company's trade accounts receivable are due from retailers in this market. The Company performs on-going evaluations of its customers' credit worthiness and, generally, requires no collateral.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All inventories are valued at last-in, first-out (LIFO) cost which is not in excess of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Property, plant and equipment are stated at cost. Depreciation is computed generally by accelerated methods.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Securities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Effective December 1, 1993, the Company adopted the provisions of Statement of Financial Accounting Standards No. 115, Accounting for Certain Investments in Debt and Equity Securities (Statement 115). Under Statement 115, the Company classifies its investment in securities as available-for-sale, which are reported at fair value. Unrealized holding gains and losses, net of the related tax effect, on available-for-sale securities are excluded from income and are reported as a separate component of stockholders' equity. Realized gains and losses from securities classified as available-for-sale are included in income and are determined using the specific identification method for ascertaining the cost of securities sold.</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investment in securities at November 30, 1993, is reported at the lower of aggregate portfolio cost or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Affiliated Companies</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The equity method of accounting is used for the investment in affiliated companies. The carrying amounts approximate the Company's equity in their underlying net assets.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Corporate Owned Life Insurance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Investment in corporate owned life insurance policies is recorded net of policy loans and is included in other assets. The net life insurance expense, which includes premiums and interest on cash surrender borrowings, net of increases in cash surrender values, is included in other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Revenue from sales is recognized when the goods are shipped to the customer. Sales to one customer, as a percent of gross sales, amounted to 13% in 1994, 12% in 1993 and 13% in 1992.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1994, deferred income taxes were determined based on the difference between the financial statement and income tax bases of assets and liabilities using enacted tax rates in effect for the year in which the differences are expected to reverse. The Company had previously determined income tax expense under the deferred method, whereby timing differences were recorded at the tax rates in effect for the year in which the differences arose and were not adjusted for tax rate changes.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Earnings per share is calculated using the weighted average number of shares outstanding. All share and per share data has been adjusted to reflect the 5 for 4 stock split in 1993 and the 3 for 2 stock split in 1992.</w:t>
      </w:r>
    </w:p>
    <w:p>
      <w:pPr>
        <w:spacing w:after="0" w:line="155"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3940" w:type="dxa"/>
            <w:vAlign w:val="bottom"/>
          </w:tcPr>
          <w:p>
            <w:pPr>
              <w:spacing w:after="0"/>
              <w:rPr>
                <w:sz w:val="14"/>
                <w:szCs w:val="14"/>
                <w:color w:val="auto"/>
              </w:rPr>
            </w:pPr>
          </w:p>
        </w:tc>
        <w:tc>
          <w:tcPr>
            <w:tcW w:w="38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8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bl>
    <w:p>
      <w:pPr>
        <w:sectPr>
          <w:pgSz w:w="11900" w:h="16838" w:orient="portrait"/>
          <w:cols w:equalWidth="0" w:num="1">
            <w:col w:w="10239"/>
          </w:cols>
          <w:pgMar w:left="220" w:top="281"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2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44.6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5180" w:type="dxa"/>
            <w:vAlign w:val="bottom"/>
          </w:tcPr>
          <w:p>
            <w:pPr>
              <w:spacing w:after="0"/>
              <w:rPr>
                <w:sz w:val="14"/>
                <w:szCs w:val="14"/>
                <w:color w:val="auto"/>
              </w:rPr>
            </w:pP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inventories on FIFO cost method</w:t>
            </w: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105.4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LIFO adjustment</w:t>
            </w: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25.3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5180" w:type="dxa"/>
            <w:vAlign w:val="bottom"/>
          </w:tcPr>
          <w:p>
            <w:pPr>
              <w:spacing w:after="0"/>
              <w:rPr>
                <w:sz w:val="14"/>
                <w:szCs w:val="14"/>
                <w:color w:val="auto"/>
              </w:rPr>
            </w:pP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tcPr>
          <w:p>
            <w:pPr>
              <w:spacing w:after="0"/>
              <w:rPr>
                <w:sz w:val="14"/>
                <w:szCs w:val="14"/>
                <w:color w:val="auto"/>
              </w:rPr>
            </w:pP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w:t>
            </w:r>
          </w:p>
        </w:tc>
      </w:tr>
      <w:tr>
        <w:trPr>
          <w:trHeight w:val="168"/>
        </w:trPr>
        <w:tc>
          <w:tcPr>
            <w:tcW w:w="5180" w:type="dxa"/>
            <w:vAlign w:val="bottom"/>
          </w:tcPr>
          <w:p>
            <w:pPr>
              <w:spacing w:after="0"/>
              <w:rPr>
                <w:sz w:val="14"/>
                <w:szCs w:val="14"/>
                <w:color w:val="auto"/>
              </w:rPr>
            </w:pPr>
          </w:p>
        </w:tc>
        <w:tc>
          <w:tcPr>
            <w:tcW w:w="2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SECURITIES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Information on investment in securities by major security type at November 30, 1994, follows: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Gross</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Gross</w:t>
            </w:r>
          </w:p>
        </w:tc>
        <w:tc>
          <w:tcPr>
            <w:tcW w:w="100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Unrealized</w:t>
            </w:r>
          </w:p>
        </w:tc>
        <w:tc>
          <w:tcPr>
            <w:tcW w:w="18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100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Holding</w:t>
            </w:r>
          </w:p>
        </w:tc>
        <w:tc>
          <w:tcPr>
            <w:tcW w:w="1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Holding</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46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Cost</w:t>
            </w:r>
          </w:p>
        </w:tc>
        <w:tc>
          <w:tcPr>
            <w:tcW w:w="18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Gains</w:t>
            </w:r>
          </w:p>
        </w:tc>
        <w:tc>
          <w:tcPr>
            <w:tcW w:w="18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Losses</w:t>
            </w:r>
          </w:p>
        </w:tc>
        <w:tc>
          <w:tcPr>
            <w:tcW w:w="1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3"/>
              </w:rPr>
              <w:t>Value</w:t>
            </w:r>
          </w:p>
        </w:tc>
      </w:tr>
      <w:tr>
        <w:trPr>
          <w:trHeight w:val="168"/>
        </w:trPr>
        <w:tc>
          <w:tcPr>
            <w:tcW w:w="246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$26.5</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$6.6</w:t>
            </w:r>
          </w:p>
        </w:tc>
        <w:tc>
          <w:tcPr>
            <w:tcW w:w="18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Mutual funds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0.4</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Municipal securities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46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$39.1</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$43.6</w:t>
            </w:r>
          </w:p>
        </w:tc>
      </w:tr>
      <w:tr>
        <w:trPr>
          <w:trHeight w:val="168"/>
        </w:trPr>
        <w:tc>
          <w:tcPr>
            <w:tcW w:w="246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Maturities of the municipal securities are due within five years.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At November 30, 1993, the portfolio had an aggregate market value of $43.7 million and an adjusted cost basis of $36.3 million.</w:t>
      </w:r>
    </w:p>
    <w:p>
      <w:pPr>
        <w:sectPr>
          <w:pgSz w:w="11900" w:h="16838" w:orient="portrait"/>
          <w:cols w:equalWidth="0" w:num="1">
            <w:col w:w="10239"/>
          </w:cols>
          <w:pgMar w:left="220" w:top="13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5</w:t>
      </w:r>
    </w:p>
    <w:p>
      <w:pPr>
        <w:jc w:val="right"/>
        <w:ind w:right="3239"/>
        <w:spacing w:after="0" w:line="237" w:lineRule="auto"/>
        <w:rPr>
          <w:sz w:val="20"/>
          <w:szCs w:val="20"/>
          <w:color w:val="auto"/>
        </w:rPr>
      </w:pPr>
      <w:r>
        <w:rPr>
          <w:rFonts w:ascii="Courier New" w:cs="Courier New" w:eastAsia="Courier New" w:hAnsi="Courier New"/>
          <w:sz w:val="15"/>
          <w:szCs w:val="15"/>
          <w:color w:val="auto"/>
        </w:rPr>
        <w:t>17 of 24</w:t>
      </w:r>
    </w:p>
    <w:p>
      <w:pPr>
        <w:spacing w:after="0" w:line="342" w:lineRule="exact"/>
        <w:rPr>
          <w:sz w:val="20"/>
          <w:szCs w:val="20"/>
          <w:color w:val="auto"/>
        </w:rPr>
      </w:pPr>
    </w:p>
    <w:p>
      <w:pPr>
        <w:ind w:right="5059"/>
        <w:spacing w:after="0" w:line="261" w:lineRule="auto"/>
        <w:rPr>
          <w:sz w:val="20"/>
          <w:szCs w:val="20"/>
          <w:color w:val="auto"/>
        </w:rPr>
      </w:pPr>
      <w:r>
        <w:rPr>
          <w:rFonts w:ascii="Courier New" w:cs="Courier New" w:eastAsia="Courier New" w:hAnsi="Courier New"/>
          <w:sz w:val="14"/>
          <w:szCs w:val="14"/>
          <w:color w:val="auto"/>
        </w:rPr>
        <w:t>NOTES TO CONSOLIDATED FINANCIAL STATEMENTS - CONTINUED Bassett Furniture Industries, Incorporated and Subsidiaries</w:t>
      </w:r>
    </w:p>
    <w:p>
      <w:pPr>
        <w:spacing w:after="0" w:line="153"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AFFILIATED COMPANIES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has an equity interest in a company which leases exhibition space to furniture and accessory manufacturers and an equity interest in a manufacturer of particleboard for use principally in the furniture industry. The Company's share of income from operations and net income from these affiliates is as follows: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460" w:type="dxa"/>
            <w:vAlign w:val="bottom"/>
          </w:tcPr>
          <w:p>
            <w:pPr>
              <w:spacing w:after="0"/>
              <w:rPr>
                <w:sz w:val="14"/>
                <w:szCs w:val="14"/>
                <w:color w:val="auto"/>
              </w:rPr>
            </w:pPr>
          </w:p>
        </w:tc>
        <w:tc>
          <w:tcPr>
            <w:tcW w:w="2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$7.3</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bl>
    <w:p>
      <w:pPr>
        <w:spacing w:after="0" w:line="335"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Effective December 1, 1993, the Company adopted the provisions of Statement of Financial Accounting Standards No. 109, Accounting for Income Taxes, and has reported the cumulative effect of the change in the method of accounting for income taxes in the financial statements for 1994, in the amount of $510,200. The principal cause of this adjustment was due to the basis difference of an acquisition made in prior years which was accounted for as a purchase transaction.</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 reconciliation of the statutory federal income tax rate and the effective tax rate, as a percentage of pretax income,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940" w:type="dxa"/>
            <w:vAlign w:val="bottom"/>
          </w:tcPr>
          <w:p>
            <w:pPr>
              <w:spacing w:after="0"/>
              <w:rPr>
                <w:sz w:val="14"/>
                <w:szCs w:val="14"/>
                <w:color w:val="auto"/>
              </w:rPr>
            </w:pP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2140" w:type="dxa"/>
            <w:vAlign w:val="bottom"/>
          </w:tcPr>
          <w:p>
            <w:pPr>
              <w:ind w:left="1060"/>
              <w:spacing w:after="0"/>
              <w:rPr>
                <w:sz w:val="20"/>
                <w:szCs w:val="20"/>
                <w:color w:val="auto"/>
              </w:rPr>
            </w:pPr>
            <w:r>
              <w:rPr>
                <w:rFonts w:ascii="Courier New" w:cs="Courier New" w:eastAsia="Courier New" w:hAnsi="Courier New"/>
                <w:sz w:val="15"/>
                <w:szCs w:val="15"/>
                <w:color w:val="auto"/>
              </w:rPr>
              <w:t>35.0%</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7"/>
              </w:rPr>
              <w:t>35.0%</w:t>
            </w:r>
          </w:p>
        </w:tc>
        <w:tc>
          <w:tcPr>
            <w:tcW w:w="110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34.0%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received exclusion</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(1.6)</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(1.5)</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(1.5)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exempt interest</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(1.7)</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(1.5)</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(1.3)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Targeted jobs tax credit</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(0.8)</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(1.1)</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(0.9)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Unremitted affiliate income</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(3.4)</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(2.9)</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w:t>
            </w:r>
          </w:p>
        </w:tc>
        <w:tc>
          <w:tcPr>
            <w:tcW w:w="2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federal benefit</w:t>
            </w:r>
          </w:p>
        </w:tc>
        <w:tc>
          <w:tcPr>
            <w:tcW w:w="21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2.5</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w:t>
            </w:r>
          </w:p>
        </w:tc>
        <w:tc>
          <w:tcPr>
            <w:tcW w:w="110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(1.3)</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-0-</w:t>
            </w:r>
          </w:p>
        </w:tc>
        <w:tc>
          <w:tcPr>
            <w:tcW w:w="110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6"/>
              </w:rPr>
              <w:t>-0-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(0.5)</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(0.8)</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(0.3)</w:t>
            </w:r>
          </w:p>
        </w:tc>
      </w:tr>
      <w:tr>
        <w:trPr>
          <w:trHeight w:val="168"/>
        </w:trPr>
        <w:tc>
          <w:tcPr>
            <w:tcW w:w="3940" w:type="dxa"/>
            <w:vAlign w:val="bottom"/>
          </w:tcPr>
          <w:p>
            <w:pPr>
              <w:spacing w:after="0"/>
              <w:rPr>
                <w:sz w:val="14"/>
                <w:szCs w:val="14"/>
                <w:color w:val="auto"/>
              </w:rPr>
            </w:pP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w:t>
            </w: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28.2%</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29.2%</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30.0%</w:t>
            </w:r>
          </w:p>
        </w:tc>
      </w:tr>
      <w:tr>
        <w:trPr>
          <w:trHeight w:val="168"/>
        </w:trPr>
        <w:tc>
          <w:tcPr>
            <w:tcW w:w="3940" w:type="dxa"/>
            <w:vAlign w:val="bottom"/>
          </w:tcPr>
          <w:p>
            <w:pPr>
              <w:spacing w:after="0"/>
              <w:rPr>
                <w:sz w:val="14"/>
                <w:szCs w:val="14"/>
                <w:color w:val="auto"/>
              </w:rPr>
            </w:pPr>
          </w:p>
        </w:tc>
        <w:tc>
          <w:tcPr>
            <w:tcW w:w="21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November 30, 1994, are presented below:(in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240" w:type="dxa"/>
            <w:vAlign w:val="bottom"/>
          </w:tcPr>
          <w:p>
            <w:pPr>
              <w:spacing w:after="0"/>
              <w:rPr>
                <w:sz w:val="24"/>
                <w:szCs w:val="2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retirement benefits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$3,584</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Insurance claims and reserves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Excess of tax over financial statement</w:t>
            </w:r>
          </w:p>
        </w:tc>
        <w:tc>
          <w:tcPr>
            <w:tcW w:w="124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of investment securities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gross deferred tax assets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6,646</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6,646</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240" w:type="dxa"/>
            <w:vAlign w:val="bottom"/>
          </w:tcPr>
          <w:p>
            <w:pPr>
              <w:spacing w:after="0"/>
              <w:rPr>
                <w:sz w:val="24"/>
                <w:szCs w:val="24"/>
                <w:color w:val="auto"/>
              </w:rPr>
            </w:pP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Unremitted affiliate income</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$1,917</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Excess of financial statement over tax</w:t>
            </w:r>
          </w:p>
        </w:tc>
        <w:tc>
          <w:tcPr>
            <w:tcW w:w="124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of property, plant and equipment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holding gains and losses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1,722</w:t>
            </w:r>
          </w:p>
        </w:tc>
      </w:tr>
      <w:tr>
        <w:trPr>
          <w:trHeight w:val="168"/>
        </w:trPr>
        <w:tc>
          <w:tcPr>
            <w:tcW w:w="4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gross deferred tax liabilities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5,597</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deferred tax asset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$1,049</w:t>
            </w:r>
          </w:p>
        </w:tc>
      </w:tr>
      <w:tr>
        <w:trPr>
          <w:trHeight w:val="168"/>
        </w:trPr>
        <w:tc>
          <w:tcPr>
            <w:tcW w:w="42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Based upon the level of historical taxable income and projections for future taxable income over the periods which the deferred tax assets are deductible, management believes it is more likely than not the Company will realize the benefits of the deferred tax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deferred income taxes is comprised of the following:</w:t>
      </w:r>
    </w:p>
    <w:p>
      <w:pPr>
        <w:sectPr>
          <w:pgSz w:w="11900" w:h="16838" w:orient="portrait"/>
          <w:cols w:equalWidth="0" w:num="1">
            <w:col w:w="10239"/>
          </w:cols>
          <w:pgMar w:left="220" w:top="281" w:right="1440"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680" w:type="dxa"/>
            <w:vAlign w:val="bottom"/>
          </w:tcPr>
          <w:p>
            <w:pPr>
              <w:spacing w:after="0"/>
              <w:rPr>
                <w:sz w:val="14"/>
                <w:szCs w:val="14"/>
                <w:color w:val="auto"/>
              </w:rPr>
            </w:pP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Special credits</w:t>
            </w:r>
          </w:p>
        </w:tc>
        <w:tc>
          <w:tcPr>
            <w:tcW w:w="2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Unremitted affiliate income</w:t>
            </w: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331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retirement benefits</w:t>
            </w: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(280)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24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(114)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3680" w:type="dxa"/>
            <w:vAlign w:val="bottom"/>
          </w:tcPr>
          <w:p>
            <w:pPr>
              <w:spacing w:after="0"/>
              <w:rPr>
                <w:sz w:val="14"/>
                <w:szCs w:val="14"/>
                <w:color w:val="auto"/>
              </w:rPr>
            </w:pP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680" w:type="dxa"/>
            <w:vAlign w:val="bottom"/>
          </w:tcPr>
          <w:p>
            <w:pPr>
              <w:spacing w:after="0"/>
              <w:rPr>
                <w:sz w:val="14"/>
                <w:szCs w:val="14"/>
                <w:color w:val="auto"/>
              </w:rPr>
            </w:pPr>
          </w:p>
        </w:tc>
        <w:tc>
          <w:tcPr>
            <w:tcW w:w="2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a qualified defined contribution plan (Employee Savings/Retirement Plan) which covers all employees, with over one year service, who elect to participate and have fulfilled the necessary service requirements. Employee contributions to the Plan are matched by the Company at the rate of 115% of the first 2% through 5% of the employee's contribution, based on seniority. The Plan incorporates provisions of Section 401(k) of the Internal Revenue Code. The expense for the Plan for 1994, 1993 and 1992, amounted to approximately $2,444,000, $2,337,000 and $2,250,000, respectively.</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has a supplemental retirement Income Plan that covers certain senior executives and provides additional retirement and death benefits. Also, the Company has a Deferred Compensation Plan for certain senior executives which provides for voluntary deferral of compensation, otherwise payable. The unfunded future liability of the Company under these Plans is included in deferred liabilities.</w:t>
      </w:r>
    </w:p>
    <w:p>
      <w:pPr>
        <w:spacing w:after="0" w:line="168"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1994, the stockholders approved the 1993 Long Term Incentive Plan for key employees of the Company. The Company has reserved for issuance 450,000 shares of common stock pursuant to the Plan. Options granted under the Plan may be for such terms and exercised at such times as determined at the time of grant by the Organization and Compensation Committee of the Board of Directors. Under terms of the Plan, options to purchase 68,650 shares of Common Stock were granted in 1994 at $26.25 per share, the fair market value at date of grant. No options were exercised in 1994. Additionally, the Plan includes provisions for the granting of stock appreciation rights and certain restricted awards. At November 30, 1994, no such grants had been issued.</w:t>
      </w:r>
    </w:p>
    <w:p>
      <w:pPr>
        <w:sectPr>
          <w:pgSz w:w="11900" w:h="16838" w:orient="portrait"/>
          <w:cols w:equalWidth="0" w:num="1">
            <w:col w:w="10239"/>
          </w:cols>
          <w:pgMar w:left="220" w:top="64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6</w:t>
      </w:r>
    </w:p>
    <w:p>
      <w:pPr>
        <w:ind w:left="6300"/>
        <w:spacing w:after="0" w:line="237" w:lineRule="auto"/>
        <w:rPr>
          <w:sz w:val="20"/>
          <w:szCs w:val="20"/>
          <w:color w:val="auto"/>
        </w:rPr>
      </w:pPr>
      <w:r>
        <w:rPr>
          <w:rFonts w:ascii="Courier New" w:cs="Courier New" w:eastAsia="Courier New" w:hAnsi="Courier New"/>
          <w:sz w:val="15"/>
          <w:szCs w:val="15"/>
          <w:color w:val="auto"/>
        </w:rPr>
        <w:t>18 of 24</w:t>
      </w:r>
    </w:p>
    <w:p>
      <w:pPr>
        <w:spacing w:after="0" w:line="342" w:lineRule="exact"/>
        <w:rPr>
          <w:sz w:val="20"/>
          <w:szCs w:val="20"/>
          <w:color w:val="auto"/>
        </w:rPr>
      </w:pPr>
    </w:p>
    <w:p>
      <w:pPr>
        <w:ind w:right="5059"/>
        <w:spacing w:after="0" w:line="261" w:lineRule="auto"/>
        <w:rPr>
          <w:sz w:val="20"/>
          <w:szCs w:val="20"/>
          <w:color w:val="auto"/>
        </w:rPr>
      </w:pPr>
      <w:r>
        <w:rPr>
          <w:rFonts w:ascii="Courier New" w:cs="Courier New" w:eastAsia="Courier New" w:hAnsi="Courier New"/>
          <w:sz w:val="14"/>
          <w:szCs w:val="14"/>
          <w:color w:val="auto"/>
        </w:rPr>
        <w:t>NOTES TO CONSOLIDATED FINANCIAL STATEMENTS - CONTINUED Bassett Furniture Industries, Incorporated and Subsidiaries</w:t>
      </w:r>
    </w:p>
    <w:p>
      <w:pPr>
        <w:spacing w:after="0" w:line="153"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 - CONTINUED</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Also in 1994, the stockholders approved the 1993 Stock Plan for Non-Employee Directors. Pursuant to this Plan, 75,000 shares of Common Stock have been reserved. Under terms of the Plan, each non-employee director will automatically be granted an option to purchase 500 shares of Common Stock on April 1 of each year beginning on April 1, 1994. Options to purchase 4,500 shares of Common Stock were granted in 1994 at $27.75 per share, the fair market value at date of grant. No options were exercised in 1994.</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1982 Stock Option Plan terminated in 1993. Stock option activity during 1994, 1993 and 1992 follows: (adjusted for stock splits in 1993 and 1992)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w:t>
            </w:r>
          </w:p>
        </w:tc>
        <w:tc>
          <w:tcPr>
            <w:tcW w:w="298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Option price</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2980" w:type="dxa"/>
            <w:vAlign w:val="bottom"/>
            <w:gridSpan w:val="2"/>
          </w:tcPr>
          <w:p>
            <w:pPr>
              <w:jc w:val="right"/>
              <w:ind w:right="132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980" w:type="dxa"/>
            <w:vAlign w:val="bottom"/>
            <w:gridSpan w:val="2"/>
          </w:tcPr>
          <w:p>
            <w:pPr>
              <w:jc w:val="center"/>
              <w:ind w:right="6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December 1, 1991</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3,954</w:t>
            </w:r>
          </w:p>
        </w:tc>
        <w:tc>
          <w:tcPr>
            <w:tcW w:w="14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$17.07</w:t>
            </w:r>
          </w:p>
        </w:tc>
        <w:tc>
          <w:tcPr>
            <w:tcW w:w="154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1992</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165,937</w:t>
            </w:r>
          </w:p>
        </w:tc>
        <w:tc>
          <w:tcPr>
            <w:tcW w:w="14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$28.00</w:t>
            </w: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1992</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(3,954)</w:t>
            </w:r>
          </w:p>
        </w:tc>
        <w:tc>
          <w:tcPr>
            <w:tcW w:w="14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$17.07</w:t>
            </w: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1992</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1992</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165,937</w:t>
            </w:r>
          </w:p>
        </w:tc>
        <w:tc>
          <w:tcPr>
            <w:tcW w:w="144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$28.00</w:t>
            </w:r>
          </w:p>
        </w:tc>
        <w:tc>
          <w:tcPr>
            <w:tcW w:w="154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174,063</w:t>
            </w:r>
          </w:p>
        </w:tc>
        <w:tc>
          <w:tcPr>
            <w:tcW w:w="14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$37.40</w:t>
            </w: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1993</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(51,783)</w:t>
            </w:r>
          </w:p>
        </w:tc>
        <w:tc>
          <w:tcPr>
            <w:tcW w:w="144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$28.00</w:t>
            </w: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15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1993</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288,217</w:t>
            </w:r>
          </w:p>
        </w:tc>
        <w:tc>
          <w:tcPr>
            <w:tcW w:w="298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$28.00 - $37.40</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 in 1994</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73,150</w:t>
            </w:r>
          </w:p>
        </w:tc>
        <w:tc>
          <w:tcPr>
            <w:tcW w:w="2980" w:type="dxa"/>
            <w:vAlign w:val="bottom"/>
            <w:gridSpan w:val="2"/>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$26.25 - $27.75</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 in 1994</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Cancelled in 1994</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(16,150)</w:t>
            </w:r>
          </w:p>
        </w:tc>
        <w:tc>
          <w:tcPr>
            <w:tcW w:w="2980" w:type="dxa"/>
            <w:vAlign w:val="bottom"/>
            <w:gridSpan w:val="2"/>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$26.25 - $37.40</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Outstanding at November 30, 1994</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345,217</w:t>
            </w:r>
          </w:p>
        </w:tc>
        <w:tc>
          <w:tcPr>
            <w:tcW w:w="298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$26.25 - $37.40</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Exercisable at November 30, 1994</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200,128</w:t>
            </w:r>
          </w:p>
        </w:tc>
        <w:tc>
          <w:tcPr>
            <w:tcW w:w="298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$26.25 - $37.40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November 30, 1993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93,743</w:t>
            </w:r>
          </w:p>
        </w:tc>
        <w:tc>
          <w:tcPr>
            <w:tcW w:w="2980" w:type="dxa"/>
            <w:vAlign w:val="bottom"/>
            <w:gridSpan w:val="2"/>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$28.00 - $37.40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November 30, 1992</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H.   OTHER INCOME, NET (in millions)</w:t>
            </w: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5"/>
        </w:trPr>
        <w:tc>
          <w:tcPr>
            <w:tcW w:w="3860" w:type="dxa"/>
            <w:vAlign w:val="bottom"/>
          </w:tcPr>
          <w:p>
            <w:pPr>
              <w:spacing w:after="0"/>
              <w:rPr>
                <w:sz w:val="24"/>
                <w:szCs w:val="24"/>
                <w:color w:val="auto"/>
              </w:rPr>
            </w:pP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1993</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Equity in unremitted income</w:t>
            </w: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affiliated companies</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(principally tax exempt)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from sales of investment</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from sales of investment</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from sales of property,</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plant and equipment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owned life insurance,</w:t>
            </w: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interest expense</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860" w:type="dxa"/>
            <w:vAlign w:val="bottom"/>
          </w:tcPr>
          <w:p>
            <w:pPr>
              <w:spacing w:after="0"/>
              <w:rPr>
                <w:sz w:val="14"/>
                <w:szCs w:val="14"/>
                <w:color w:val="auto"/>
              </w:rPr>
            </w:pP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Interest expense on corporate owned life insurance policy loans was $1.4 million in 1994, $.6 million in 1993 and 1992.</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7</w:t>
      </w:r>
    </w:p>
    <w:p>
      <w:pPr>
        <w:jc w:val="right"/>
        <w:ind w:right="3239"/>
        <w:spacing w:after="0" w:line="237" w:lineRule="auto"/>
        <w:rPr>
          <w:sz w:val="20"/>
          <w:szCs w:val="20"/>
          <w:color w:val="auto"/>
        </w:rPr>
      </w:pPr>
      <w:r>
        <w:rPr>
          <w:rFonts w:ascii="Courier New" w:cs="Courier New" w:eastAsia="Courier New" w:hAnsi="Courier New"/>
          <w:sz w:val="15"/>
          <w:szCs w:val="15"/>
          <w:color w:val="auto"/>
        </w:rPr>
        <w:t>19 of 24</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audited the accompanying consolidated balance sheets of Bassett Furniture Industries, Incorporated and subsidiaries as of November 30, 1994 and 1993, and the related consolidated statements of income, stockholders' equity and cash flows for each of the years in the three-year period ended</w:t>
      </w:r>
    </w:p>
    <w:p>
      <w:pPr>
        <w:spacing w:after="0" w:line="7"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November 30, 1994. These consolidated financial statements are the responsibility of the Company's management. Our responsibility is to express an opinion on these consolidated financial statements based on our audits.</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Bassett Furniture Industries, Incorporated and subsidiaries as of November 30, 1994 and 1993, and the results of their operations and their cash flows for each of the years in the three-year period ended November 30, 1994 in conformity with generally accepted accounting principles.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As discussed in notes A, C and E, the Company adopted the provisions of the Financial Accounting Standards Board Statement No. 109, "Accounting for Income Taxes," and Statement No. 115, "Accounting for Certain Investments in Debt and Equity Securities," in 1994.</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December 17, 1994</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8</w:t>
      </w:r>
    </w:p>
    <w:p>
      <w:pPr>
        <w:ind w:left="6220"/>
        <w:spacing w:after="0" w:line="237" w:lineRule="auto"/>
        <w:rPr>
          <w:sz w:val="20"/>
          <w:szCs w:val="20"/>
          <w:color w:val="auto"/>
        </w:rPr>
      </w:pPr>
      <w:r>
        <w:rPr>
          <w:rFonts w:ascii="Courier New" w:cs="Courier New" w:eastAsia="Courier New" w:hAnsi="Courier New"/>
          <w:sz w:val="15"/>
          <w:szCs w:val="15"/>
          <w:color w:val="auto"/>
        </w:rPr>
        <w:t>20 of 24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67" w:lineRule="exact"/>
        <w:rPr>
          <w:sz w:val="20"/>
          <w:szCs w:val="20"/>
          <w:color w:val="auto"/>
        </w:rPr>
      </w:pPr>
    </w:p>
    <w:p>
      <w:pPr>
        <w:jc w:val="right"/>
        <w:ind w:right="4540"/>
        <w:spacing w:after="0"/>
        <w:rPr>
          <w:sz w:val="20"/>
          <w:szCs w:val="20"/>
          <w:color w:val="auto"/>
        </w:rPr>
      </w:pPr>
      <w:r>
        <w:rPr>
          <w:rFonts w:ascii="Courier New" w:cs="Courier New" w:eastAsia="Courier New" w:hAnsi="Courier New"/>
          <w:sz w:val="15"/>
          <w:szCs w:val="15"/>
          <w:color w:val="auto"/>
        </w:rPr>
        <w:t>(All market information and per share data has</w:t>
      </w:r>
    </w:p>
    <w:p>
      <w:pPr>
        <w:jc w:val="right"/>
        <w:ind w:right="4540"/>
        <w:spacing w:after="0" w:line="237" w:lineRule="auto"/>
        <w:rPr>
          <w:sz w:val="20"/>
          <w:szCs w:val="20"/>
          <w:color w:val="auto"/>
        </w:rPr>
      </w:pPr>
      <w:r>
        <w:rPr>
          <w:rFonts w:ascii="Courier New" w:cs="Courier New" w:eastAsia="Courier New" w:hAnsi="Courier New"/>
          <w:sz w:val="15"/>
          <w:szCs w:val="15"/>
          <w:color w:val="auto"/>
        </w:rPr>
        <w:t>been restated to reflect the 5 for 4 stock split in</w:t>
      </w:r>
    </w:p>
    <w:p>
      <w:pPr>
        <w:jc w:val="right"/>
        <w:ind w:right="4540"/>
        <w:spacing w:after="0" w:line="238" w:lineRule="auto"/>
        <w:rPr>
          <w:sz w:val="20"/>
          <w:szCs w:val="20"/>
          <w:color w:val="auto"/>
        </w:rPr>
      </w:pPr>
      <w:r>
        <w:rPr>
          <w:rFonts w:ascii="Courier New" w:cs="Courier New" w:eastAsia="Courier New" w:hAnsi="Courier New"/>
          <w:sz w:val="15"/>
          <w:szCs w:val="15"/>
          <w:color w:val="auto"/>
        </w:rPr>
        <w:t>1993 and the 3 for 2 stock split in 1992)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1992</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1991</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1990</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4"/>
              </w:rPr>
              <w:t>$510,560,858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$503,770,060</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$473,401,341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$401,616,062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$435,660,901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419,393,531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413,055,371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385,294,583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331,139,815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359,995,572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34,780,404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36,512,830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39,266,698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26,873,028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6,867,589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 . . .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9,804,000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10,644,000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11,774,000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1,722,000</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 . . .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24,466,204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25,868,830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27,492,698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19,843,028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5,145,589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Declared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11,411,357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11,358,213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9,205,978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7,705,563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9,787,901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Share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 . . .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340,498,230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330,677,879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318,583,145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291,259,296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271,116,337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 . . . .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 to 1</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6.07 to 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 to 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 to 1</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 to 1</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  . . . . . .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16.89</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Shares . . . . . . . . . .</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14,294,803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14,440,341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14,416,534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14,450,385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14,810,100</w:t>
            </w:r>
          </w:p>
        </w:tc>
      </w:tr>
      <w:tr>
        <w:trPr>
          <w:trHeight w:val="6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QUARTERLY RESULTS OF OPERATIONS</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5"/>
        </w:trPr>
        <w:tc>
          <w:tcPr>
            <w:tcW w:w="5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FIRST</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SECOND</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THIRD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w w:val="97"/>
              </w:rPr>
              <w:t>Net Sales . . . . . . . . . . . . . . . . . . . . . . . . .</w:t>
            </w:r>
          </w:p>
        </w:tc>
        <w:tc>
          <w:tcPr>
            <w:tcW w:w="1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$121,664,291</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$134,639,355</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$124,967,415</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$129,289,797</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Gross Profit  . . . . . . . . . . . . . . . . . . . . . . .</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19,836,837</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25,797,650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21,507,700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24,025,140</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Before Cumulative Effect of Accounting Change  . . .</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4,730,413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7,679,398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4,589,051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7,977,542</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Income  . . . . . . . . . . . . . . . . . . . . . . . .</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4,220,213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7,679,398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4,589,051</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7,977,542</w:t>
            </w:r>
          </w:p>
        </w:tc>
      </w:tr>
      <w:tr>
        <w:trPr>
          <w:trHeight w:val="168"/>
        </w:trPr>
        <w:tc>
          <w:tcPr>
            <w:tcW w:w="5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Before Cumulative Effect of Accounting Change   . . . .</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5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Net Income  . . . . . . . . . . . . . . . . . . . . . .</w:t>
            </w:r>
          </w:p>
        </w:tc>
        <w:tc>
          <w:tcPr>
            <w:tcW w:w="1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 . .</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94"/>
              </w:rPr>
              <w:t>1993</w:t>
            </w:r>
          </w:p>
        </w:tc>
        <w:tc>
          <w:tcPr>
            <w:tcW w:w="1180" w:type="dxa"/>
            <w:vAlign w:val="bottom"/>
          </w:tcPr>
          <w:p>
            <w:pPr>
              <w:spacing w:after="0"/>
              <w:rPr>
                <w:sz w:val="14"/>
                <w:szCs w:val="14"/>
                <w:color w:val="auto"/>
              </w:rPr>
            </w:pPr>
          </w:p>
        </w:tc>
      </w:tr>
      <w:tr>
        <w:trPr>
          <w:trHeight w:val="168"/>
        </w:trPr>
        <w:tc>
          <w:tcPr>
            <w:tcW w:w="6080" w:type="dxa"/>
            <w:vAlign w:val="bottom"/>
          </w:tcPr>
          <w:p>
            <w:pPr>
              <w:spacing w:after="0"/>
              <w:rPr>
                <w:sz w:val="14"/>
                <w:szCs w:val="14"/>
                <w:color w:val="auto"/>
              </w:rPr>
            </w:pPr>
          </w:p>
        </w:tc>
        <w:tc>
          <w:tcPr>
            <w:tcW w:w="53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FIRST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SECOND</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THIRD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FOURTH</w:t>
            </w:r>
          </w:p>
        </w:tc>
      </w:tr>
      <w:tr>
        <w:trPr>
          <w:trHeight w:val="168"/>
        </w:trPr>
        <w:tc>
          <w:tcPr>
            <w:tcW w:w="608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Net Sales . . . . . . . . . . . . . . . . . . . . . . . . . . . . .</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$120,308,196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$128,888,668</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$121,176,195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$133,397,001</w:t>
            </w:r>
          </w:p>
        </w:tc>
      </w:tr>
      <w:tr>
        <w:trPr>
          <w:trHeight w:val="168"/>
        </w:trPr>
        <w:tc>
          <w:tcPr>
            <w:tcW w:w="6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Gross Profit  . . . . . . . . . . . . . . . . . . . . . . . . . . .</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22,224,666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24,291,032</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19,851,521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24,347,470</w:t>
            </w:r>
          </w:p>
        </w:tc>
      </w:tr>
      <w:tr>
        <w:trPr>
          <w:trHeight w:val="168"/>
        </w:trPr>
        <w:tc>
          <w:tcPr>
            <w:tcW w:w="6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Income  . . . . . . . . . . . . . . . . . . . . . . . . . . . .</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6,181,920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7,055,482</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4,650,277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7,981,151</w:t>
            </w:r>
          </w:p>
        </w:tc>
      </w:tr>
      <w:tr>
        <w:trPr>
          <w:trHeight w:val="168"/>
        </w:trPr>
        <w:tc>
          <w:tcPr>
            <w:tcW w:w="6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Per Share . . . . . . . . . . . . . . . . . . . . . . . . . . . .</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DIVIDEND INFORMATION</w:t>
      </w:r>
    </w:p>
    <w:p>
      <w:pPr>
        <w:spacing w:after="0" w:line="173" w:lineRule="exact"/>
        <w:rPr>
          <w:sz w:val="20"/>
          <w:szCs w:val="20"/>
          <w:color w:val="auto"/>
        </w:rPr>
      </w:pPr>
    </w:p>
    <w:p>
      <w:pPr>
        <w:ind w:right="4800"/>
        <w:spacing w:after="0" w:line="256" w:lineRule="auto"/>
        <w:rPr>
          <w:sz w:val="20"/>
          <w:szCs w:val="20"/>
          <w:color w:val="auto"/>
        </w:rPr>
      </w:pPr>
      <w:r>
        <w:rPr>
          <w:rFonts w:ascii="Courier New" w:cs="Courier New" w:eastAsia="Courier New" w:hAnsi="Courier New"/>
          <w:sz w:val="14"/>
          <w:szCs w:val="14"/>
          <w:color w:val="auto"/>
        </w:rPr>
        <w:t>The Company's common stock is traded on the over-the-counter market and is listed on the NASDAQ National Market System. The Company had approximately 2,200 stockholders at November 30, 1994. The range of high and low market prices and dividends declared for the last two fiscal years are listed below:</w:t>
      </w:r>
    </w:p>
    <w:p>
      <w:pPr>
        <w:spacing w:after="0" w:line="200" w:lineRule="exact"/>
        <w:rPr>
          <w:sz w:val="20"/>
          <w:szCs w:val="20"/>
          <w:color w:val="auto"/>
        </w:rPr>
      </w:pPr>
    </w:p>
    <w:p>
      <w:pPr>
        <w:spacing w:after="0" w:line="294"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MARKET PRICES OF COMMON STOCK</w:t>
            </w:r>
          </w:p>
        </w:tc>
        <w:tc>
          <w:tcPr>
            <w:tcW w:w="11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DIVIDENDS DECLARED</w:t>
            </w:r>
          </w:p>
        </w:tc>
      </w:tr>
      <w:tr>
        <w:trPr>
          <w:trHeight w:val="168"/>
        </w:trPr>
        <w:tc>
          <w:tcPr>
            <w:tcW w:w="96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QUARTER</w:t>
            </w:r>
          </w:p>
        </w:tc>
        <w:tc>
          <w:tcPr>
            <w:tcW w:w="23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1994</w:t>
            </w:r>
          </w:p>
        </w:tc>
        <w:tc>
          <w:tcPr>
            <w:tcW w:w="1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112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spacing w:after="0"/>
              <w:rPr>
                <w:sz w:val="14"/>
                <w:szCs w:val="14"/>
                <w:color w:val="auto"/>
              </w:rPr>
            </w:pP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HIGH</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LOW</w:t>
            </w: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HIGH</w:t>
            </w:r>
          </w:p>
        </w:tc>
        <w:tc>
          <w:tcPr>
            <w:tcW w:w="11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LOW</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First</w:t>
            </w:r>
          </w:p>
        </w:tc>
        <w:tc>
          <w:tcPr>
            <w:tcW w:w="10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$36.75</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$28.75</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$41.60</w:t>
            </w:r>
          </w:p>
        </w:tc>
        <w:tc>
          <w:tcPr>
            <w:tcW w:w="11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9"/>
              </w:rPr>
              <w:t>$30.00</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Second</w:t>
            </w:r>
          </w:p>
        </w:tc>
        <w:tc>
          <w:tcPr>
            <w:tcW w:w="10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29.50</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25.50</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43.80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36.40</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Third</w:t>
            </w:r>
          </w:p>
        </w:tc>
        <w:tc>
          <w:tcPr>
            <w:tcW w:w="10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29.75</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26.63</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37.25</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28.50</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Fourth</w:t>
            </w:r>
          </w:p>
        </w:tc>
        <w:tc>
          <w:tcPr>
            <w:tcW w:w="10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30.25</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26.06</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36.00</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28.75</w:t>
            </w: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bl>
    <w:p>
      <w:pPr>
        <w:sectPr>
          <w:pgSz w:w="11900" w:h="16838" w:orient="portrait"/>
          <w:cols w:equalWidth="0" w:num="1">
            <w:col w:w="11540"/>
          </w:cols>
          <w:pgMar w:left="220" w:top="281" w:right="1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9</w:t>
      </w:r>
    </w:p>
    <w:p>
      <w:pPr>
        <w:jc w:val="right"/>
        <w:ind w:right="3319"/>
        <w:spacing w:after="0" w:line="237" w:lineRule="auto"/>
        <w:rPr>
          <w:sz w:val="20"/>
          <w:szCs w:val="20"/>
          <w:color w:val="auto"/>
        </w:rPr>
      </w:pPr>
      <w:r>
        <w:rPr>
          <w:rFonts w:ascii="Courier New" w:cs="Courier New" w:eastAsia="Courier New" w:hAnsi="Courier New"/>
          <w:sz w:val="15"/>
          <w:szCs w:val="15"/>
          <w:color w:val="auto"/>
        </w:rPr>
        <w:t>21 of 24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DATA - CONTINUED</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Major components of net income expressed as a percentage of net sales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4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4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82.2%</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17.8</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 G &amp; A expenses</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12.9</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12.6</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4.9</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unrealized gain</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6.8</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change</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0.1</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4.8</w:t>
            </w:r>
          </w:p>
        </w:tc>
        <w:tc>
          <w:tcPr>
            <w:tcW w:w="17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1994 compared to 1993 and 1992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060" w:type="dxa"/>
            <w:vAlign w:val="bottom"/>
          </w:tcPr>
          <w:p>
            <w:pPr>
              <w:ind w:left="880"/>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ind w:left="560"/>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940" w:type="dxa"/>
            <w:vAlign w:val="bottom"/>
          </w:tcPr>
          <w:p>
            <w:pPr>
              <w:spacing w:after="0"/>
              <w:rPr>
                <w:sz w:val="14"/>
                <w:szCs w:val="14"/>
                <w:color w:val="auto"/>
              </w:rPr>
            </w:pPr>
          </w:p>
        </w:tc>
        <w:tc>
          <w:tcPr>
            <w:tcW w:w="20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sales (in millions)</w:t>
            </w:r>
          </w:p>
        </w:tc>
        <w:tc>
          <w:tcPr>
            <w:tcW w:w="2060" w:type="dxa"/>
            <w:vAlign w:val="bottom"/>
          </w:tcPr>
          <w:p>
            <w:pPr>
              <w:ind w:left="880"/>
              <w:spacing w:after="0"/>
              <w:rPr>
                <w:sz w:val="20"/>
                <w:szCs w:val="20"/>
                <w:color w:val="auto"/>
              </w:rPr>
            </w:pPr>
            <w:r>
              <w:rPr>
                <w:rFonts w:ascii="Courier New" w:cs="Courier New" w:eastAsia="Courier New" w:hAnsi="Courier New"/>
                <w:sz w:val="15"/>
                <w:szCs w:val="15"/>
                <w:color w:val="auto"/>
              </w:rPr>
              <w:t>$510.6</w:t>
            </w:r>
          </w:p>
        </w:tc>
        <w:tc>
          <w:tcPr>
            <w:tcW w:w="1760" w:type="dxa"/>
            <w:vAlign w:val="bottom"/>
          </w:tcPr>
          <w:p>
            <w:pPr>
              <w:ind w:left="560"/>
              <w:spacing w:after="0"/>
              <w:rPr>
                <w:sz w:val="20"/>
                <w:szCs w:val="20"/>
                <w:color w:val="auto"/>
              </w:rPr>
            </w:pPr>
            <w:r>
              <w:rPr>
                <w:rFonts w:ascii="Courier New" w:cs="Courier New" w:eastAsia="Courier New" w:hAnsi="Courier New"/>
                <w:sz w:val="15"/>
                <w:szCs w:val="15"/>
                <w:color w:val="auto"/>
              </w:rPr>
              <w:t>$503.8</w:t>
            </w:r>
          </w:p>
        </w:tc>
        <w:tc>
          <w:tcPr>
            <w:tcW w:w="1180" w:type="dxa"/>
            <w:vAlign w:val="bottom"/>
          </w:tcPr>
          <w:p>
            <w:pPr>
              <w:ind w:left="560"/>
              <w:spacing w:after="0"/>
              <w:rPr>
                <w:sz w:val="20"/>
                <w:szCs w:val="20"/>
                <w:color w:val="auto"/>
              </w:rPr>
            </w:pPr>
            <w:r>
              <w:rPr>
                <w:rFonts w:ascii="Courier New" w:cs="Courier New" w:eastAsia="Courier New" w:hAnsi="Courier New"/>
                <w:sz w:val="15"/>
                <w:szCs w:val="15"/>
                <w:color w:val="auto"/>
              </w:rPr>
              <w:t>$473.4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Percentage increase over prior year</w:t>
            </w:r>
          </w:p>
        </w:tc>
        <w:tc>
          <w:tcPr>
            <w:tcW w:w="20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majority of the increase in net sales from 1993 to 1994 came from the Table Division, with other Divisions reporting relatively flat sales. The net sales increase from 1992 to 1993 was evenly spread throughout all Divisions. The significant increase between 1991 and 1992 came from the Upholstery and Bedding Divisions.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Cost of sales remained level in 1994 and 1993, at 82.2% and 82.0%, respectively. The negative effect on cost of sales caused by increases in the cost of lumber and lumber related products which occurred in 1993, moderated in 1994; however, cost increases in other major raw materials restricted improvement in the cost of sales percentage in 1994. During each of the three years ending in 1994, the relationship of each cost component comprising cost of sales remained constant (materials 49%, labor 21%, overhead 12%).</w:t>
      </w:r>
    </w:p>
    <w:p>
      <w:pPr>
        <w:spacing w:after="0" w:line="166"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4"/>
          <w:szCs w:val="14"/>
          <w:color w:val="auto"/>
        </w:rPr>
        <w:t>There was no material change in the percentage of selling, general and administrative expenses to net sales in the three years ending in 1994.</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Note H in the Notes to Consolidated Financial Statements discloses the components of other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effective tax rate for 1994 was 28.2%, down from 29.2% and 30.0% in 1993 and 1992, respectively. The Company adopted the provisions of Statement of Financial Accounting Standards No. 109, "Accounting for Income Taxes," in 1994 and reported the cumulative effect of the change in accounting for income taxes in the amount of $510,200 in the 1994 financial statements. Note E in the Notes to Consolidated Financial Statements contains complete disclosure of the Company's income tax status.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Cash provided by operating activities has remained constant in the last three years ($23.7 million in 1994, $22.4 million in 1993 and $23.1 million in 1992). The growth in inventories in each of these years has barred additional generation of cash. The increasing inventory levels are closely monitored and controlled by senior management.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Traditionally, the Company has purchased (rather than leased) its capital equipment requirements. During 1994, $10,000,000 was expended for new equipment and facilities. A comparison of purchases of property, plant and equipment and depreciation charges follows:</w:t>
      </w:r>
    </w:p>
    <w:p>
      <w:pPr>
        <w:sectPr>
          <w:pgSz w:w="11900" w:h="16838" w:orient="portrait"/>
          <w:cols w:equalWidth="0" w:num="1">
            <w:col w:w="10239"/>
          </w:cols>
          <w:pgMar w:left="220" w:top="281" w:right="1440" w:bottom="183"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Purchases of</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property, plant and</w:t>
            </w:r>
          </w:p>
        </w:tc>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equipment (in millions)</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charges (in millions)</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8.8</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instituted and completed a program to repurchase its Common Stock in 1994, purchasing 361,386 shares at an average cost of $26.42 or a total expenditure of $9.5 million.</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current ratio was 5.67 to 1 and 6.07 to 1 at November 30, 1994 and 1993, respectively. Working capital was $164 million and $168 million at November 30, 1994 and 1993, respectively.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cash requirements.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There were no material commitments for capital expenditures at November 30, 1994. Capital expenditures made in the future for normal expansion are anticipated to be made from funds generated by operating activities.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Company has never used the debt or equity markets as sources of funds or capital.</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Company's consolidated financial statements are prepared on the basis of historical dollars and are not intended to show the impact of inflation or changing prices. Neither inflation nor changing prices has had a material effect on the Company's consolidated financial position and results of operations in prior years.</w:t>
      </w:r>
    </w:p>
    <w:p>
      <w:pPr>
        <w:sectPr>
          <w:pgSz w:w="11900" w:h="16838" w:orient="portrait"/>
          <w:cols w:equalWidth="0" w:num="1">
            <w:col w:w="10239"/>
          </w:cols>
          <w:pgMar w:left="220" w:top="13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Page 22 of 24</w:t>
      </w:r>
    </w:p>
    <w:p>
      <w:pPr>
        <w:spacing w:after="0" w:line="200" w:lineRule="exact"/>
        <w:rPr>
          <w:sz w:val="20"/>
          <w:szCs w:val="20"/>
          <w:color w:val="auto"/>
        </w:rPr>
      </w:pPr>
    </w:p>
    <w:p>
      <w:pPr>
        <w:spacing w:after="0" w:line="303"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EXHIBIT 21 - LIST OF SUBSIDIARIES</w:t>
      </w:r>
    </w:p>
    <w:p>
      <w:pPr>
        <w:spacing w:after="0" w:line="173" w:lineRule="exact"/>
        <w:rPr>
          <w:sz w:val="20"/>
          <w:szCs w:val="20"/>
          <w:color w:val="auto"/>
        </w:rPr>
      </w:pPr>
    </w:p>
    <w:p>
      <w:pPr>
        <w:ind w:left="2100" w:right="3399" w:hanging="534"/>
        <w:spacing w:after="0" w:line="234" w:lineRule="auto"/>
        <w:tabs>
          <w:tab w:leader="none" w:pos="2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Bassett Furniture Industries of North Carolina Inc. (North Carolina corporation)</w:t>
      </w:r>
    </w:p>
    <w:p>
      <w:pPr>
        <w:spacing w:after="0" w:line="166" w:lineRule="exact"/>
        <w:rPr>
          <w:rFonts w:ascii="Courier New" w:cs="Courier New" w:eastAsia="Courier New" w:hAnsi="Courier New"/>
          <w:sz w:val="15"/>
          <w:szCs w:val="15"/>
          <w:color w:val="auto"/>
        </w:rPr>
      </w:pPr>
    </w:p>
    <w:p>
      <w:pPr>
        <w:ind w:left="2100" w:hanging="534"/>
        <w:spacing w:after="0"/>
        <w:tabs>
          <w:tab w:leader="none" w:pos="2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 Malone Corporation (Delaware corporation)</w:t>
      </w:r>
    </w:p>
    <w:p>
      <w:pPr>
        <w:sectPr>
          <w:pgSz w:w="11900" w:h="16838" w:orient="portrait"/>
          <w:cols w:equalWidth="0" w:num="1">
            <w:col w:w="9959"/>
          </w:cols>
          <w:pgMar w:left="500" w:top="135"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23 of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37" w:lineRule="auto"/>
        <w:rPr>
          <w:sz w:val="20"/>
          <w:szCs w:val="20"/>
          <w:color w:val="auto"/>
        </w:rPr>
      </w:pPr>
      <w:r>
        <w:rPr>
          <w:rFonts w:ascii="Courier New" w:cs="Courier New" w:eastAsia="Courier New" w:hAnsi="Courier New"/>
          <w:sz w:val="15"/>
          <w:szCs w:val="15"/>
          <w:color w:val="auto"/>
        </w:rPr>
        <w:t>Bassett Furniture Industries, Incorporated</w:t>
      </w:r>
    </w:p>
    <w:p>
      <w:pPr>
        <w:spacing w:after="0" w:line="238" w:lineRule="auto"/>
        <w:rPr>
          <w:sz w:val="20"/>
          <w:szCs w:val="20"/>
          <w:color w:val="auto"/>
        </w:rPr>
      </w:pPr>
      <w:r>
        <w:rPr>
          <w:rFonts w:ascii="Courier New" w:cs="Courier New" w:eastAsia="Courier New" w:hAnsi="Courier New"/>
          <w:sz w:val="15"/>
          <w:szCs w:val="15"/>
          <w:color w:val="auto"/>
        </w:rPr>
        <w:t>Bassett, Virginia</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33-52405 and 33-52407) on Form S-8 of Bassett Furniture Industries, Incorporated and subsidiaries of our report dated December 17, 1994, relating to the consolidated balance sheets of Bassett Furniture Industries, Incorporated and subsidiaries as of November 30, 1994 and 1993 and the related consolidated statements of income, stockholders' equity and cash flows for each of the years in the three-year period ended November 30, 1994 which report is incorporated by reference in the November 30, 1994 annual report on the Form 10-K of Bassett Furniture Industries, Incorporated and subsidiaries.</w:t>
      </w:r>
    </w:p>
    <w:p>
      <w:pPr>
        <w:spacing w:after="0" w:line="16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discussed in notes A, C and E to the consolidated financial statements, the Company adopted the provisions of the Financial Accounting Standards Board's Statement No. 109, "Accounting for Income Taxes," and Statement No. 115, "Accounting for Certain Investments in Debt and Equity Securities," in 1994.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KPMG Peat Marwick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Greensboro, North Carolina</w:t>
      </w:r>
    </w:p>
    <w:p>
      <w:pPr>
        <w:spacing w:after="0" w:line="237" w:lineRule="auto"/>
        <w:rPr>
          <w:sz w:val="20"/>
          <w:szCs w:val="20"/>
          <w:color w:val="auto"/>
        </w:rPr>
      </w:pPr>
      <w:r>
        <w:rPr>
          <w:rFonts w:ascii="Courier New" w:cs="Courier New" w:eastAsia="Courier New" w:hAnsi="Courier New"/>
          <w:sz w:val="15"/>
          <w:szCs w:val="15"/>
          <w:color w:val="auto"/>
        </w:rPr>
        <w:t>February 23, 1995</w:t>
      </w:r>
    </w:p>
    <w:p>
      <w:pPr>
        <w:sectPr>
          <w:pgSz w:w="11900" w:h="16838" w:orient="portrait"/>
          <w:cols w:equalWidth="0" w:num="1">
            <w:col w:w="10239"/>
          </w:cols>
          <w:pgMar w:left="220" w:top="135" w:right="1440" w:bottom="1440" w:gutter="0" w:footer="0" w:header="0"/>
        </w:sectPr>
      </w:pPr>
    </w:p>
    <w:bookmarkStart w:id="26" w:name="page27"/>
    <w:bookmarkEnd w:id="26"/>
    <w:p>
      <w:pPr>
        <w:ind w:left="6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Nov-30-1994 10K</w:t>
      </w:r>
    </w:p>
    <w:p>
      <w:pPr>
        <w:spacing w:after="0" w:line="200" w:lineRule="exact"/>
        <w:rPr>
          <w:sz w:val="20"/>
          <w:szCs w:val="20"/>
          <w:color w:val="auto"/>
        </w:rPr>
      </w:pPr>
    </w:p>
    <w:p>
      <w:pPr>
        <w:spacing w:after="0" w:line="303"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NOV-30-1994</w:t>
      </w:r>
    </w:p>
    <w:p>
      <w:pPr>
        <w:ind w:left="2500"/>
        <w:spacing w:after="0" w:line="238" w:lineRule="auto"/>
        <w:rPr>
          <w:sz w:val="20"/>
          <w:szCs w:val="20"/>
          <w:color w:val="auto"/>
        </w:rPr>
      </w:pPr>
      <w:r>
        <w:rPr>
          <w:rFonts w:ascii="Courier New" w:cs="Courier New" w:eastAsia="Courier New" w:hAnsi="Courier New"/>
          <w:sz w:val="15"/>
          <w:szCs w:val="15"/>
          <w:color w:val="auto"/>
        </w:rPr>
        <w:t>DEC-01-1993</w:t>
      </w:r>
    </w:p>
    <w:p>
      <w:pPr>
        <w:ind w:left="2680"/>
        <w:spacing w:after="0" w:line="237" w:lineRule="auto"/>
        <w:rPr>
          <w:sz w:val="20"/>
          <w:szCs w:val="20"/>
          <w:color w:val="auto"/>
        </w:rPr>
      </w:pPr>
      <w:r>
        <w:rPr>
          <w:rFonts w:ascii="Courier New" w:cs="Courier New" w:eastAsia="Courier New" w:hAnsi="Courier New"/>
          <w:sz w:val="15"/>
          <w:szCs w:val="15"/>
          <w:color w:val="auto"/>
        </w:rPr>
        <w:t>NOV-30-1994</w:t>
      </w:r>
    </w:p>
    <w:p>
      <w:pPr>
        <w:ind w:left="3300"/>
        <w:spacing w:after="0" w:line="238" w:lineRule="auto"/>
        <w:rPr>
          <w:sz w:val="20"/>
          <w:szCs w:val="20"/>
          <w:color w:val="auto"/>
        </w:rPr>
      </w:pPr>
      <w:r>
        <w:rPr>
          <w:rFonts w:ascii="Courier New" w:cs="Courier New" w:eastAsia="Courier New" w:hAnsi="Courier New"/>
          <w:sz w:val="15"/>
          <w:szCs w:val="15"/>
          <w:color w:val="auto"/>
        </w:rPr>
        <w:t>42,314,957</w:t>
      </w:r>
    </w:p>
    <w:p>
      <w:pPr>
        <w:ind w:left="2760"/>
        <w:spacing w:after="0" w:line="237" w:lineRule="auto"/>
        <w:rPr>
          <w:sz w:val="20"/>
          <w:szCs w:val="20"/>
          <w:color w:val="auto"/>
        </w:rPr>
      </w:pPr>
      <w:r>
        <w:rPr>
          <w:rFonts w:ascii="Courier New" w:cs="Courier New" w:eastAsia="Courier New" w:hAnsi="Courier New"/>
          <w:sz w:val="15"/>
          <w:szCs w:val="15"/>
          <w:color w:val="auto"/>
        </w:rPr>
        <w:t>43,638,983</w:t>
      </w:r>
    </w:p>
    <w:p>
      <w:pPr>
        <w:ind w:left="2680"/>
        <w:spacing w:after="0" w:line="238" w:lineRule="auto"/>
        <w:rPr>
          <w:sz w:val="20"/>
          <w:szCs w:val="20"/>
          <w:color w:val="auto"/>
        </w:rPr>
      </w:pPr>
      <w:r>
        <w:rPr>
          <w:rFonts w:ascii="Courier New" w:cs="Courier New" w:eastAsia="Courier New" w:hAnsi="Courier New"/>
          <w:sz w:val="15"/>
          <w:szCs w:val="15"/>
          <w:color w:val="auto"/>
        </w:rPr>
        <w:t>73,051,750</w:t>
      </w:r>
    </w:p>
    <w:p>
      <w:pPr>
        <w:ind w:left="2860"/>
        <w:spacing w:after="0" w:line="237" w:lineRule="auto"/>
        <w:rPr>
          <w:sz w:val="20"/>
          <w:szCs w:val="20"/>
          <w:color w:val="auto"/>
        </w:rPr>
      </w:pPr>
      <w:r>
        <w:rPr>
          <w:rFonts w:ascii="Courier New" w:cs="Courier New" w:eastAsia="Courier New" w:hAnsi="Courier New"/>
          <w:sz w:val="15"/>
          <w:szCs w:val="15"/>
          <w:color w:val="auto"/>
        </w:rPr>
        <w:t>1,115,000</w:t>
      </w:r>
    </w:p>
    <w:p>
      <w:pPr>
        <w:ind w:left="2860"/>
        <w:spacing w:after="0" w:line="238" w:lineRule="auto"/>
        <w:rPr>
          <w:sz w:val="20"/>
          <w:szCs w:val="20"/>
          <w:color w:val="auto"/>
        </w:rPr>
      </w:pPr>
      <w:r>
        <w:rPr>
          <w:rFonts w:ascii="Courier New" w:cs="Courier New" w:eastAsia="Courier New" w:hAnsi="Courier New"/>
          <w:sz w:val="15"/>
          <w:szCs w:val="15"/>
          <w:color w:val="auto"/>
        </w:rPr>
        <w:t>80,074,811</w:t>
      </w:r>
    </w:p>
    <w:p>
      <w:pPr>
        <w:ind w:left="2340"/>
        <w:spacing w:after="0" w:line="238" w:lineRule="auto"/>
        <w:rPr>
          <w:sz w:val="20"/>
          <w:szCs w:val="20"/>
          <w:color w:val="auto"/>
        </w:rPr>
      </w:pPr>
      <w:r>
        <w:rPr>
          <w:rFonts w:ascii="Courier New" w:cs="Courier New" w:eastAsia="Courier New" w:hAnsi="Courier New"/>
          <w:sz w:val="15"/>
          <w:szCs w:val="15"/>
          <w:color w:val="auto"/>
        </w:rPr>
        <w:t>198,630,929</w:t>
      </w:r>
    </w:p>
    <w:p>
      <w:pPr>
        <w:ind w:left="3200"/>
        <w:spacing w:after="0" w:line="237" w:lineRule="auto"/>
        <w:rPr>
          <w:sz w:val="20"/>
          <w:szCs w:val="20"/>
          <w:color w:val="auto"/>
        </w:rPr>
      </w:pPr>
      <w:r>
        <w:rPr>
          <w:rFonts w:ascii="Courier New" w:cs="Courier New" w:eastAsia="Courier New" w:hAnsi="Courier New"/>
          <w:sz w:val="15"/>
          <w:szCs w:val="15"/>
          <w:color w:val="auto"/>
        </w:rPr>
        <w:t>207,227,241</w:t>
      </w:r>
    </w:p>
    <w:p>
      <w:pPr>
        <w:ind w:left="2500"/>
        <w:spacing w:after="0" w:line="238" w:lineRule="auto"/>
        <w:rPr>
          <w:sz w:val="20"/>
          <w:szCs w:val="20"/>
          <w:color w:val="auto"/>
        </w:rPr>
      </w:pPr>
      <w:r>
        <w:rPr>
          <w:rFonts w:ascii="Courier New" w:cs="Courier New" w:eastAsia="Courier New" w:hAnsi="Courier New"/>
          <w:sz w:val="15"/>
          <w:szCs w:val="15"/>
          <w:color w:val="auto"/>
        </w:rPr>
        <w:t>152,673,335</w:t>
      </w:r>
    </w:p>
    <w:p>
      <w:pPr>
        <w:ind w:left="2500"/>
        <w:spacing w:after="0" w:line="237" w:lineRule="auto"/>
        <w:rPr>
          <w:sz w:val="20"/>
          <w:szCs w:val="20"/>
          <w:color w:val="auto"/>
        </w:rPr>
      </w:pPr>
      <w:r>
        <w:rPr>
          <w:rFonts w:ascii="Courier New" w:cs="Courier New" w:eastAsia="Courier New" w:hAnsi="Courier New"/>
          <w:sz w:val="15"/>
          <w:szCs w:val="15"/>
          <w:color w:val="auto"/>
        </w:rPr>
        <w:t>340,498,230</w:t>
      </w:r>
    </w:p>
    <w:p>
      <w:pPr>
        <w:ind w:left="1980"/>
        <w:spacing w:after="0" w:line="238" w:lineRule="auto"/>
        <w:rPr>
          <w:sz w:val="20"/>
          <w:szCs w:val="20"/>
          <w:color w:val="auto"/>
        </w:rPr>
      </w:pPr>
      <w:r>
        <w:rPr>
          <w:rFonts w:ascii="Courier New" w:cs="Courier New" w:eastAsia="Courier New" w:hAnsi="Courier New"/>
          <w:sz w:val="15"/>
          <w:szCs w:val="15"/>
          <w:color w:val="auto"/>
        </w:rPr>
        <w:t>35,001,554</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70,434,075</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2860"/>
        <w:spacing w:after="0" w:line="238" w:lineRule="auto"/>
        <w:rPr>
          <w:sz w:val="20"/>
          <w:szCs w:val="20"/>
          <w:color w:val="auto"/>
        </w:rPr>
      </w:pPr>
      <w:r>
        <w:rPr>
          <w:rFonts w:ascii="Courier New" w:cs="Courier New" w:eastAsia="Courier New" w:hAnsi="Courier New"/>
          <w:sz w:val="15"/>
          <w:szCs w:val="15"/>
          <w:color w:val="auto"/>
        </w:rPr>
        <w:t>224,758,817</w:t>
      </w:r>
    </w:p>
    <w:p>
      <w:pPr>
        <w:ind w:left="1280"/>
        <w:spacing w:after="0" w:line="237" w:lineRule="auto"/>
        <w:rPr>
          <w:sz w:val="20"/>
          <w:szCs w:val="20"/>
          <w:color w:val="auto"/>
        </w:rPr>
      </w:pPr>
      <w:r>
        <w:rPr>
          <w:rFonts w:ascii="Courier New" w:cs="Courier New" w:eastAsia="Courier New" w:hAnsi="Courier New"/>
          <w:sz w:val="15"/>
          <w:szCs w:val="15"/>
          <w:color w:val="auto"/>
        </w:rPr>
        <w:t>340,498,230</w:t>
      </w:r>
    </w:p>
    <w:p>
      <w:pPr>
        <w:ind w:left="3120"/>
        <w:spacing w:after="0" w:line="238" w:lineRule="auto"/>
        <w:rPr>
          <w:sz w:val="20"/>
          <w:szCs w:val="20"/>
          <w:color w:val="auto"/>
        </w:rPr>
      </w:pPr>
      <w:r>
        <w:rPr>
          <w:rFonts w:ascii="Courier New" w:cs="Courier New" w:eastAsia="Courier New" w:hAnsi="Courier New"/>
          <w:sz w:val="15"/>
          <w:szCs w:val="15"/>
          <w:color w:val="auto"/>
        </w:rPr>
        <w:t>510,560,858</w:t>
      </w:r>
    </w:p>
    <w:p>
      <w:pPr>
        <w:ind w:left="2340"/>
        <w:spacing w:after="0" w:line="237" w:lineRule="auto"/>
        <w:rPr>
          <w:sz w:val="20"/>
          <w:szCs w:val="20"/>
          <w:color w:val="auto"/>
        </w:rPr>
      </w:pPr>
      <w:r>
        <w:rPr>
          <w:rFonts w:ascii="Courier New" w:cs="Courier New" w:eastAsia="Courier New" w:hAnsi="Courier New"/>
          <w:sz w:val="15"/>
          <w:szCs w:val="15"/>
          <w:color w:val="auto"/>
        </w:rPr>
        <w:t>520,218,334</w:t>
      </w:r>
    </w:p>
    <w:p>
      <w:pPr>
        <w:jc w:val="right"/>
        <w:ind w:right="5939"/>
        <w:spacing w:after="0" w:line="238" w:lineRule="auto"/>
        <w:rPr>
          <w:sz w:val="20"/>
          <w:szCs w:val="20"/>
          <w:color w:val="auto"/>
        </w:rPr>
      </w:pPr>
      <w:r>
        <w:rPr>
          <w:rFonts w:ascii="Courier New" w:cs="Courier New" w:eastAsia="Courier New" w:hAnsi="Courier New"/>
          <w:sz w:val="15"/>
          <w:szCs w:val="15"/>
          <w:color w:val="auto"/>
        </w:rPr>
        <w:t>419,393,531</w:t>
      </w:r>
    </w:p>
    <w:p>
      <w:pPr>
        <w:ind w:left="2600"/>
        <w:spacing w:after="0" w:line="238" w:lineRule="auto"/>
        <w:rPr>
          <w:sz w:val="20"/>
          <w:szCs w:val="20"/>
          <w:color w:val="auto"/>
        </w:rPr>
      </w:pPr>
      <w:r>
        <w:rPr>
          <w:rFonts w:ascii="Courier New" w:cs="Courier New" w:eastAsia="Courier New" w:hAnsi="Courier New"/>
          <w:sz w:val="15"/>
          <w:szCs w:val="15"/>
          <w:color w:val="auto"/>
        </w:rPr>
        <w:t>485,437,930</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680"/>
        <w:spacing w:after="0" w:line="238" w:lineRule="auto"/>
        <w:rPr>
          <w:sz w:val="20"/>
          <w:szCs w:val="20"/>
          <w:color w:val="auto"/>
        </w:rPr>
      </w:pPr>
      <w:r>
        <w:rPr>
          <w:rFonts w:ascii="Courier New" w:cs="Courier New" w:eastAsia="Courier New" w:hAnsi="Courier New"/>
          <w:sz w:val="15"/>
          <w:szCs w:val="15"/>
          <w:color w:val="auto"/>
        </w:rPr>
        <w:t>844,483</w:t>
      </w:r>
    </w:p>
    <w:p>
      <w:pPr>
        <w:ind w:left="2340"/>
        <w:spacing w:after="0" w:line="237" w:lineRule="auto"/>
        <w:rPr>
          <w:sz w:val="20"/>
          <w:szCs w:val="20"/>
          <w:color w:val="auto"/>
        </w:rPr>
      </w:pPr>
      <w:r>
        <w:rPr>
          <w:rFonts w:ascii="Courier New" w:cs="Courier New" w:eastAsia="Courier New" w:hAnsi="Courier New"/>
          <w:sz w:val="15"/>
          <w:szCs w:val="15"/>
          <w:color w:val="auto"/>
        </w:rPr>
        <w:t>1,400,000</w:t>
      </w:r>
    </w:p>
    <w:p>
      <w:pPr>
        <w:ind w:left="2500"/>
        <w:spacing w:after="0" w:line="238" w:lineRule="auto"/>
        <w:rPr>
          <w:sz w:val="20"/>
          <w:szCs w:val="20"/>
          <w:color w:val="auto"/>
        </w:rPr>
      </w:pPr>
      <w:r>
        <w:rPr>
          <w:rFonts w:ascii="Courier New" w:cs="Courier New" w:eastAsia="Courier New" w:hAnsi="Courier New"/>
          <w:sz w:val="15"/>
          <w:szCs w:val="15"/>
          <w:color w:val="auto"/>
        </w:rPr>
        <w:t>34,780,404</w:t>
      </w:r>
    </w:p>
    <w:p>
      <w:pPr>
        <w:ind w:left="2860"/>
        <w:spacing w:after="0" w:line="237" w:lineRule="auto"/>
        <w:rPr>
          <w:sz w:val="20"/>
          <w:szCs w:val="20"/>
          <w:color w:val="auto"/>
        </w:rPr>
      </w:pPr>
      <w:r>
        <w:rPr>
          <w:rFonts w:ascii="Courier New" w:cs="Courier New" w:eastAsia="Courier New" w:hAnsi="Courier New"/>
          <w:sz w:val="15"/>
          <w:szCs w:val="15"/>
          <w:color w:val="auto"/>
        </w:rPr>
        <w:t>9,804,000</w:t>
      </w:r>
    </w:p>
    <w:p>
      <w:pPr>
        <w:ind w:left="2160"/>
        <w:spacing w:after="0" w:line="238" w:lineRule="auto"/>
        <w:rPr>
          <w:sz w:val="20"/>
          <w:szCs w:val="20"/>
          <w:color w:val="auto"/>
        </w:rPr>
      </w:pPr>
      <w:r>
        <w:rPr>
          <w:rFonts w:ascii="Courier New" w:cs="Courier New" w:eastAsia="Courier New" w:hAnsi="Courier New"/>
          <w:sz w:val="15"/>
          <w:szCs w:val="15"/>
          <w:color w:val="auto"/>
        </w:rPr>
        <w:t>24,976,404</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(510,200)</w:t>
      </w:r>
    </w:p>
    <w:p>
      <w:pPr>
        <w:ind w:left="2760"/>
        <w:spacing w:after="0" w:line="237" w:lineRule="auto"/>
        <w:rPr>
          <w:sz w:val="20"/>
          <w:szCs w:val="20"/>
          <w:color w:val="auto"/>
        </w:rPr>
      </w:pPr>
      <w:r>
        <w:rPr>
          <w:rFonts w:ascii="Courier New" w:cs="Courier New" w:eastAsia="Courier New" w:hAnsi="Courier New"/>
          <w:sz w:val="15"/>
          <w:szCs w:val="15"/>
          <w:color w:val="auto"/>
        </w:rPr>
        <w:t>24,466,204</w:t>
      </w:r>
    </w:p>
    <w:p>
      <w:pPr>
        <w:ind w:left="3200"/>
        <w:spacing w:after="0" w:line="238" w:lineRule="auto"/>
        <w:rPr>
          <w:sz w:val="20"/>
          <w:szCs w:val="20"/>
          <w:color w:val="auto"/>
        </w:rPr>
      </w:pPr>
      <w:r>
        <w:rPr>
          <w:rFonts w:ascii="Courier New" w:cs="Courier New" w:eastAsia="Courier New" w:hAnsi="Courier New"/>
          <w:sz w:val="15"/>
          <w:szCs w:val="15"/>
          <w:color w:val="auto"/>
        </w:rPr>
        <w:t>1.71</w:t>
      </w:r>
    </w:p>
    <w:p>
      <w:pPr>
        <w:ind w:left="3460"/>
        <w:spacing w:after="0" w:line="237" w:lineRule="auto"/>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3">
    <w:nsid w:val="1F16E9E8"/>
    <w:multiLevelType w:val="hybridMultilevel"/>
    <w:lvl w:ilvl="0">
      <w:lvlJc w:val="left"/>
      <w:lvlText w:val="%1."/>
      <w:numFmt w:val="decimal"/>
      <w:start w:val="13"/>
    </w:lvl>
  </w:abstractNum>
  <w:abstractNum w:abstractNumId="4">
    <w:nsid w:val="1190CDE7"/>
    <w:multiLevelType w:val="hybridMultilevel"/>
    <w:lvl w:ilvl="0">
      <w:lvlJc w:val="left"/>
      <w:lvlText w:val="%1."/>
      <w:numFmt w:val="decimal"/>
      <w:start w:val="21"/>
    </w:lvl>
  </w:abstractNum>
  <w:abstractNum w:abstractNumId="5">
    <w:nsid w:val="66EF438D"/>
    <w:multiLevelType w:val="hybridMultilevel"/>
    <w:lvl w:ilvl="0">
      <w:lvlJc w:val="left"/>
      <w:lvlText w:val="%1."/>
      <w:numFmt w:val="decimal"/>
      <w:start w:val="23"/>
    </w:lvl>
  </w:abstractNum>
  <w:abstractNum w:abstractNumId="6">
    <w:nsid w:val="140E0F76"/>
    <w:multiLevelType w:val="hybridMultilevel"/>
    <w:lvl w:ilvl="0">
      <w:lvlJc w:val="left"/>
      <w:lvlText w:val="%1."/>
      <w:numFmt w:val="decimal"/>
      <w:start w:val="27"/>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decimal"/>
      <w:start w:val="13"/>
    </w:lvl>
  </w:abstractNum>
  <w:abstractNum w:abstractNumId="9">
    <w:nsid w:val="DED7263"/>
    <w:multiLevelType w:val="hybridMultilevel"/>
    <w:lvl w:ilvl="0">
      <w:lvlJc w:val="left"/>
      <w:lvlText w:val="%1."/>
      <w:numFmt w:val="upperLetter"/>
      <w:start w:val="1"/>
    </w:lvl>
  </w:abstractNum>
  <w:abstractNum w:abstractNumId="10">
    <w:nsid w:val="7FDCC233"/>
    <w:multiLevelType w:val="hybridMultilevel"/>
    <w:lvl w:ilvl="0">
      <w:lvlJc w:val="left"/>
      <w:lvlText w:val="%1."/>
      <w:numFmt w:val="upperLetter"/>
      <w:start w:val="2"/>
    </w:lvl>
  </w:abstractNum>
  <w:abstractNum w:abstractNumId="11">
    <w:nsid w:val="1BEFD79F"/>
    <w:multiLevelType w:val="hybridMultilevel"/>
    <w:lvl w:ilvl="0">
      <w:lvlJc w:val="left"/>
      <w:lvlText w:val="%1."/>
      <w:numFmt w:val="upperLetter"/>
      <w:start w:val="3"/>
    </w:lvl>
  </w:abstractNum>
  <w:abstractNum w:abstractNumId="12">
    <w:nsid w:val="41A7C4C9"/>
    <w:multiLevelType w:val="hybridMultilevel"/>
    <w:lvl w:ilvl="0">
      <w:lvlJc w:val="left"/>
      <w:lvlText w:val="%1."/>
      <w:numFmt w:val="upperLetter"/>
      <w:start w:val="4"/>
    </w:lvl>
  </w:abstractNum>
  <w:abstractNum w:abstractNumId="13">
    <w:nsid w:val="6B68079A"/>
    <w:multiLevelType w:val="hybridMultilevel"/>
    <w:lvl w:ilvl="0">
      <w:lvlJc w:val="left"/>
      <w:lvlText w:val="%1."/>
      <w:numFmt w:val="upperLetter"/>
      <w:start w:val="5"/>
    </w:lvl>
  </w:abstractNum>
  <w:abstractNum w:abstractNumId="14">
    <w:nsid w:val="4E6AFB66"/>
    <w:multiLevelType w:val="hybridMultilevel"/>
    <w:lvl w:ilvl="0">
      <w:lvlJc w:val="left"/>
      <w:lvlText w:val="%1."/>
      <w:numFmt w:val="upperLetter"/>
      <w:start w:val="6"/>
    </w:lvl>
  </w:abstractNum>
  <w:abstractNum w:abstractNumId="15">
    <w:nsid w:val="25E45D32"/>
    <w:multiLevelType w:val="hybridMultilevel"/>
    <w:lvl w:ilvl="0">
      <w:lvlJc w:val="left"/>
      <w:lvlText w:val="%1."/>
      <w:numFmt w:val="upperLetter"/>
      <w:start w:val="7"/>
    </w:lvl>
  </w:abstractNum>
  <w:abstractNum w:abstractNumId="16">
    <w:nsid w:val="519B500D"/>
    <w:multiLevelType w:val="hybridMultilevel"/>
    <w:lvl w:ilvl="0">
      <w:lvlJc w:val="left"/>
      <w:lvlText w:val="%1."/>
      <w:numFmt w:val="upperLetter"/>
      <w:start w:val="7"/>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2019-12-20T04:33:39Z</dcterms:created>
  <dcterms:modified xsi:type="dcterms:W3CDTF">2019-12-20T04:33:39Z</dcterms:modified>
</cp:coreProperties>
</file>