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$5.00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070203104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Bradley L. Hasselwander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1793 HWY 201 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Mountain Home, AR 72653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(870) 425-8330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Pierce G. Hunter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Kutak Rock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 West Capitol Avenue, Suite 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Little Rock, Arkansas 72201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(501) 975-3000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29,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CUSIP No.</w:t>
            </w:r>
          </w:p>
        </w:tc>
        <w:tc>
          <w:tcPr>
            <w:tcW w:w="10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070203104</w:t>
            </w:r>
          </w:p>
        </w:tc>
        <w:tc>
          <w:tcPr>
            <w:tcW w:w="0" w:type="dxa"/>
            <w:vAlign w:val="bottom"/>
          </w:tcPr>
          <w:p>
            <w:pPr>
              <w:spacing w:after="0"/>
              <w:rPr>
                <w:sz w:val="1"/>
                <w:szCs w:val="1"/>
                <w:color w:val="auto"/>
              </w:rPr>
            </w:pPr>
          </w:p>
        </w:tc>
      </w:tr>
      <w:tr>
        <w:trPr>
          <w:trHeight w:val="432"/>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Auto Services Company, Inc.</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100" w:type="dxa"/>
            <w:vAlign w:val="bottom"/>
            <w:gridSpan w:val="2"/>
          </w:tcPr>
          <w:p>
            <w:pPr>
              <w:ind w:left="3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9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1140" w:type="dxa"/>
            <w:vAlign w:val="bottom"/>
            <w:vMerge w:val="continue"/>
          </w:tcPr>
          <w:p>
            <w:pPr>
              <w:spacing w:after="0"/>
              <w:rPr>
                <w:sz w:val="14"/>
                <w:szCs w:val="14"/>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46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1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WC</w:t>
            </w: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4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7132320" cy="5880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r>
    </w:p>
    <w:p>
      <w:pPr>
        <w:ind w:left="1460" w:right="6100" w:hanging="856"/>
        <w:spacing w:after="0" w:line="249" w:lineRule="auto"/>
        <w:tabs>
          <w:tab w:leader="none" w:pos="1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Arkansas</w:t>
      </w:r>
    </w:p>
    <w:p>
      <w:pPr>
        <w:ind w:left="1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9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300" w:type="dxa"/>
            <w:vAlign w:val="bottom"/>
            <w:vMerge w:val="continue"/>
          </w:tcPr>
          <w:p>
            <w:pPr>
              <w:spacing w:after="0"/>
              <w:rPr>
                <w:sz w:val="16"/>
                <w:szCs w:val="16"/>
                <w:color w:val="auto"/>
              </w:rPr>
            </w:pPr>
          </w:p>
        </w:tc>
        <w:tc>
          <w:tcPr>
            <w:tcW w:w="9940" w:type="dxa"/>
            <w:vAlign w:val="bottom"/>
          </w:tcPr>
          <w:p>
            <w:pPr>
              <w:ind w:left="68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20"/>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9940" w:type="dxa"/>
            <w:vAlign w:val="bottom"/>
            <w:tcBorders>
              <w:bottom w:val="single" w:sz="8" w:color="auto"/>
            </w:tcBorders>
          </w:tcPr>
          <w:p>
            <w:pPr>
              <w:ind w:left="680"/>
              <w:spacing w:after="0" w:line="235" w:lineRule="exact"/>
              <w:rPr>
                <w:sz w:val="20"/>
                <w:szCs w:val="20"/>
                <w:color w:val="auto"/>
              </w:rPr>
            </w:pPr>
            <w:r>
              <w:rPr>
                <w:rFonts w:ascii="Times New Roman" w:cs="Times New Roman" w:eastAsia="Times New Roman" w:hAnsi="Times New Roman"/>
                <w:sz w:val="17"/>
                <w:szCs w:val="17"/>
                <w:color w:val="auto"/>
              </w:rPr>
              <w:t>464,469</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87"/>
        </w:trPr>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EACH</w:t>
            </w:r>
          </w:p>
        </w:tc>
        <w:tc>
          <w:tcPr>
            <w:tcW w:w="9940" w:type="dxa"/>
            <w:vAlign w:val="bottom"/>
          </w:tcPr>
          <w:p>
            <w:pPr>
              <w:ind w:left="680"/>
              <w:spacing w:after="0" w:line="18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3"/>
        </w:trPr>
        <w:tc>
          <w:tcPr>
            <w:tcW w:w="1300" w:type="dxa"/>
            <w:vAlign w:val="bottom"/>
            <w:vMerge w:val="continue"/>
          </w:tcPr>
          <w:p>
            <w:pPr>
              <w:spacing w:after="0"/>
              <w:rPr>
                <w:sz w:val="17"/>
                <w:szCs w:val="17"/>
                <w:color w:val="auto"/>
              </w:rPr>
            </w:pPr>
          </w:p>
        </w:tc>
        <w:tc>
          <w:tcPr>
            <w:tcW w:w="994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9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00" w:type="dxa"/>
            <w:vAlign w:val="bottom"/>
            <w:vMerge w:val="continue"/>
          </w:tcPr>
          <w:p>
            <w:pPr>
              <w:spacing w:after="0"/>
              <w:rPr>
                <w:sz w:val="14"/>
                <w:szCs w:val="14"/>
                <w:color w:val="auto"/>
              </w:rPr>
            </w:pPr>
          </w:p>
        </w:tc>
        <w:tc>
          <w:tcPr>
            <w:tcW w:w="9940" w:type="dxa"/>
            <w:vAlign w:val="bottom"/>
          </w:tcPr>
          <w:p>
            <w:pPr>
              <w:ind w:left="68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3"/>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4"/>
        </w:trPr>
        <w:tc>
          <w:tcPr>
            <w:tcW w:w="130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tcPr>
          <w:p>
            <w:pPr>
              <w:ind w:left="680"/>
              <w:spacing w:after="0" w:line="235" w:lineRule="exact"/>
              <w:rPr>
                <w:sz w:val="20"/>
                <w:szCs w:val="20"/>
                <w:color w:val="auto"/>
              </w:rPr>
            </w:pPr>
            <w:r>
              <w:rPr>
                <w:rFonts w:ascii="Times New Roman" w:cs="Times New Roman" w:eastAsia="Times New Roman" w:hAnsi="Times New Roman"/>
                <w:sz w:val="17"/>
                <w:szCs w:val="17"/>
                <w:color w:val="auto"/>
              </w:rPr>
              <w:t>464,469</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464,469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beneficial ownership of 464,469 shares of Common Stock, par value $5.00 per share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w:t>
      </w:r>
    </w:p>
    <w:p>
      <w:pPr>
        <w:spacing w:after="0" w:line="197" w:lineRule="exact"/>
        <w:rPr>
          <w:rFonts w:ascii="Times New Roman" w:cs="Times New Roman" w:eastAsia="Times New Roman" w:hAnsi="Times New Roman"/>
          <w:sz w:val="27"/>
          <w:szCs w:val="27"/>
          <w:color w:val="auto"/>
          <w:vertAlign w:val="superscript"/>
        </w:rPr>
      </w:pPr>
    </w:p>
    <w:p>
      <w:pPr>
        <w:jc w:val="both"/>
        <w:ind w:firstLine="8"/>
        <w:spacing w:after="0" w:line="210" w:lineRule="auto"/>
        <w:tabs>
          <w:tab w:leader="none" w:pos="255"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ownership percentage set forth herein is calculated assuming a total of 8,828,751 shares of Common Stock of Bassett Furniture Industries, Incorporated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are issued and outstanding, as set forth in the Issuer’s Quarterly Report on Form 10-Q filed with the Securities and Exchange Commission on April 3, 2024.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CUSIP No.</w:t>
            </w:r>
          </w:p>
        </w:tc>
        <w:tc>
          <w:tcPr>
            <w:tcW w:w="10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070203104</w:t>
            </w:r>
          </w:p>
        </w:tc>
        <w:tc>
          <w:tcPr>
            <w:tcW w:w="0" w:type="dxa"/>
            <w:vAlign w:val="bottom"/>
          </w:tcPr>
          <w:p>
            <w:pPr>
              <w:spacing w:after="0"/>
              <w:rPr>
                <w:sz w:val="1"/>
                <w:szCs w:val="1"/>
                <w:color w:val="auto"/>
              </w:rPr>
            </w:pPr>
          </w:p>
        </w:tc>
      </w:tr>
      <w:tr>
        <w:trPr>
          <w:trHeight w:val="432"/>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ASC Holding Company, Inc.</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100" w:type="dxa"/>
            <w:vAlign w:val="bottom"/>
            <w:gridSpan w:val="2"/>
          </w:tcPr>
          <w:p>
            <w:pPr>
              <w:ind w:left="3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95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1140" w:type="dxa"/>
            <w:vAlign w:val="bottom"/>
            <w:vMerge w:val="continue"/>
          </w:tcPr>
          <w:p>
            <w:pPr>
              <w:spacing w:after="0"/>
              <w:rPr>
                <w:sz w:val="14"/>
                <w:szCs w:val="14"/>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1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10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7132320" cy="6017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017895"/>
                    </a:xfrm>
                    <a:prstGeom prst="rect">
                      <a:avLst/>
                    </a:prstGeom>
                    <a:noFill/>
                  </pic:spPr>
                </pic:pic>
              </a:graphicData>
            </a:graphic>
          </wp:anchor>
        </w:drawing>
      </w:r>
    </w:p>
    <w:p>
      <w:pPr>
        <w:ind w:left="1460" w:right="6100" w:hanging="856"/>
        <w:spacing w:after="0" w:line="386" w:lineRule="auto"/>
        <w:tabs>
          <w:tab w:leader="none" w:pos="1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Arkansas</w:t>
      </w:r>
    </w:p>
    <w:tbl>
      <w:tblPr>
        <w:tblLayout w:type="fixed"/>
        <w:tblInd w:w="0" w:type="dxa"/>
        <w:tblCellMar>
          <w:top w:w="0" w:type="dxa"/>
          <w:left w:w="0" w:type="dxa"/>
          <w:bottom w:w="0" w:type="dxa"/>
          <w:right w:w="0" w:type="dxa"/>
        </w:tblCellMar>
      </w:tblPr>
      <w:tr>
        <w:trPr>
          <w:trHeight w:val="215"/>
        </w:trPr>
        <w:tc>
          <w:tcPr>
            <w:tcW w:w="13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Borders>
              <w:top w:val="single" w:sz="8" w:color="auto"/>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7</w:t>
            </w:r>
          </w:p>
        </w:tc>
        <w:tc>
          <w:tcPr>
            <w:tcW w:w="9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5"/>
        </w:trPr>
        <w:tc>
          <w:tcPr>
            <w:tcW w:w="1300" w:type="dxa"/>
            <w:vAlign w:val="bottom"/>
            <w:vMerge w:val="continue"/>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9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3"/>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20" w:type="dxa"/>
            <w:vAlign w:val="bottom"/>
            <w:tcBorders>
              <w:bottom w:val="single" w:sz="8" w:color="auto"/>
              <w:right w:val="single" w:sz="8" w:color="auto"/>
            </w:tcBorders>
          </w:tcPr>
          <w:p>
            <w:pPr>
              <w:spacing w:after="0"/>
              <w:rPr>
                <w:sz w:val="17"/>
                <w:szCs w:val="17"/>
                <w:color w:val="auto"/>
              </w:rPr>
            </w:pPr>
          </w:p>
        </w:tc>
        <w:tc>
          <w:tcPr>
            <w:tcW w:w="9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00" w:type="dxa"/>
            <w:vAlign w:val="bottom"/>
            <w:vMerge w:val="continue"/>
          </w:tcPr>
          <w:p>
            <w:pPr>
              <w:spacing w:after="0"/>
              <w:rPr>
                <w:sz w:val="16"/>
                <w:szCs w:val="16"/>
                <w:color w:val="auto"/>
              </w:rPr>
            </w:pPr>
          </w:p>
        </w:tc>
        <w:tc>
          <w:tcPr>
            <w:tcW w:w="5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8</w:t>
            </w:r>
          </w:p>
        </w:tc>
        <w:tc>
          <w:tcPr>
            <w:tcW w:w="9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20" w:type="dxa"/>
            <w:vAlign w:val="bottom"/>
            <w:tcBorders>
              <w:right w:val="single" w:sz="8" w:color="auto"/>
            </w:tcBorders>
            <w:vMerge w:val="continue"/>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Borders>
              <w:bottom w:val="single" w:sz="8" w:color="auto"/>
              <w:right w:val="single" w:sz="8" w:color="auto"/>
            </w:tcBorders>
          </w:tcPr>
          <w:p>
            <w:pPr>
              <w:spacing w:after="0"/>
              <w:rPr>
                <w:sz w:val="20"/>
                <w:szCs w:val="20"/>
                <w:color w:val="auto"/>
              </w:rPr>
            </w:pPr>
          </w:p>
        </w:tc>
        <w:tc>
          <w:tcPr>
            <w:tcW w:w="9420" w:type="dxa"/>
            <w:vAlign w:val="bottom"/>
            <w:tcBorders>
              <w:bottom w:val="single" w:sz="8" w:color="auto"/>
            </w:tcBorders>
          </w:tcPr>
          <w:p>
            <w:pPr>
              <w:ind w:left="160"/>
              <w:spacing w:after="0" w:line="235" w:lineRule="exact"/>
              <w:rPr>
                <w:sz w:val="20"/>
                <w:szCs w:val="20"/>
                <w:color w:val="auto"/>
              </w:rPr>
            </w:pPr>
            <w:r>
              <w:rPr>
                <w:rFonts w:ascii="Times New Roman" w:cs="Times New Roman" w:eastAsia="Times New Roman" w:hAnsi="Times New Roman"/>
                <w:sz w:val="17"/>
                <w:szCs w:val="17"/>
                <w:color w:val="auto"/>
              </w:rPr>
              <w:t>464,469</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22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9</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tcBorders>
              <w:right w:val="single" w:sz="8" w:color="auto"/>
            </w:tcBorders>
            <w:vMerge w:val="continue"/>
          </w:tcPr>
          <w:p>
            <w:pPr>
              <w:spacing w:after="0"/>
              <w:rPr>
                <w:sz w:val="17"/>
                <w:szCs w:val="17"/>
                <w:color w:val="auto"/>
              </w:rPr>
            </w:pPr>
          </w:p>
        </w:tc>
        <w:tc>
          <w:tcPr>
            <w:tcW w:w="9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4"/>
        </w:trPr>
        <w:tc>
          <w:tcPr>
            <w:tcW w:w="1300" w:type="dxa"/>
            <w:vAlign w:val="bottom"/>
            <w:vMerge w:val="continue"/>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9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20" w:type="dxa"/>
            <w:vAlign w:val="bottom"/>
            <w:tcBorders>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0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942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10</w:t>
            </w:r>
          </w:p>
        </w:tc>
        <w:tc>
          <w:tcPr>
            <w:tcW w:w="9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464,469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9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464,469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beneficial ownership of 464,469 shares of Common Stock.</w:t>
      </w:r>
    </w:p>
    <w:p>
      <w:pPr>
        <w:spacing w:after="0" w:line="197" w:lineRule="exact"/>
        <w:rPr>
          <w:rFonts w:ascii="Times New Roman" w:cs="Times New Roman" w:eastAsia="Times New Roman" w:hAnsi="Times New Roman"/>
          <w:sz w:val="27"/>
          <w:szCs w:val="27"/>
          <w:color w:val="auto"/>
          <w:vertAlign w:val="superscript"/>
        </w:rPr>
      </w:pPr>
    </w:p>
    <w:p>
      <w:pPr>
        <w:ind w:right="20" w:firstLine="8"/>
        <w:spacing w:after="0" w:line="218" w:lineRule="auto"/>
        <w:tabs>
          <w:tab w:leader="none" w:pos="223"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ownership percentage set forth herein is calculated assuming a total of 8,828,751 shares of Common Stock of the Issuer are issued and outstanding, as set forth in the Issuer’s Quarterly Report on Form 10-Q filed with the Securities and Exchange Commission on April 3, 2024.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7"/>
              </w:rPr>
              <w:t>CUSIP No.</w:t>
            </w:r>
          </w:p>
        </w:tc>
        <w:tc>
          <w:tcPr>
            <w:tcW w:w="10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070203104</w:t>
            </w:r>
          </w:p>
        </w:tc>
        <w:tc>
          <w:tcPr>
            <w:tcW w:w="0" w:type="dxa"/>
            <w:vAlign w:val="bottom"/>
          </w:tcPr>
          <w:p>
            <w:pPr>
              <w:spacing w:after="0"/>
              <w:rPr>
                <w:sz w:val="1"/>
                <w:szCs w:val="1"/>
                <w:color w:val="auto"/>
              </w:rPr>
            </w:pPr>
          </w:p>
        </w:tc>
      </w:tr>
      <w:tr>
        <w:trPr>
          <w:trHeight w:val="432"/>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Bradley L. Hasselwander</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0100" w:type="dxa"/>
            <w:vAlign w:val="bottom"/>
            <w:gridSpan w:val="2"/>
          </w:tcPr>
          <w:p>
            <w:pPr>
              <w:ind w:left="3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95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1140" w:type="dxa"/>
            <w:vAlign w:val="bottom"/>
            <w:vMerge w:val="continue"/>
          </w:tcPr>
          <w:p>
            <w:pPr>
              <w:spacing w:after="0"/>
              <w:rPr>
                <w:sz w:val="14"/>
                <w:szCs w:val="14"/>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1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10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w:t>
            </w:r>
          </w:p>
        </w:tc>
        <w:tc>
          <w:tcPr>
            <w:tcW w:w="10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6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7132320" cy="6017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17895"/>
                    </a:xfrm>
                    <a:prstGeom prst="rect">
                      <a:avLst/>
                    </a:prstGeom>
                    <a:noFill/>
                  </pic:spPr>
                </pic:pic>
              </a:graphicData>
            </a:graphic>
          </wp:anchor>
        </w:drawing>
      </w:r>
    </w:p>
    <w:p>
      <w:pPr>
        <w:ind w:left="1460" w:right="6100" w:hanging="856"/>
        <w:spacing w:after="0" w:line="386" w:lineRule="auto"/>
        <w:tabs>
          <w:tab w:leader="none" w:pos="1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15"/>
        </w:trPr>
        <w:tc>
          <w:tcPr>
            <w:tcW w:w="13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Borders>
              <w:top w:val="single" w:sz="8" w:color="auto"/>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7</w:t>
            </w:r>
          </w:p>
        </w:tc>
        <w:tc>
          <w:tcPr>
            <w:tcW w:w="9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5"/>
        </w:trPr>
        <w:tc>
          <w:tcPr>
            <w:tcW w:w="1300" w:type="dxa"/>
            <w:vAlign w:val="bottom"/>
            <w:vMerge w:val="continue"/>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9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3"/>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20" w:type="dxa"/>
            <w:vAlign w:val="bottom"/>
            <w:tcBorders>
              <w:bottom w:val="single" w:sz="8" w:color="auto"/>
              <w:right w:val="single" w:sz="8" w:color="auto"/>
            </w:tcBorders>
          </w:tcPr>
          <w:p>
            <w:pPr>
              <w:spacing w:after="0"/>
              <w:rPr>
                <w:sz w:val="17"/>
                <w:szCs w:val="17"/>
                <w:color w:val="auto"/>
              </w:rPr>
            </w:pPr>
          </w:p>
        </w:tc>
        <w:tc>
          <w:tcPr>
            <w:tcW w:w="9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00" w:type="dxa"/>
            <w:vAlign w:val="bottom"/>
            <w:vMerge w:val="continue"/>
          </w:tcPr>
          <w:p>
            <w:pPr>
              <w:spacing w:after="0"/>
              <w:rPr>
                <w:sz w:val="16"/>
                <w:szCs w:val="16"/>
                <w:color w:val="auto"/>
              </w:rPr>
            </w:pPr>
          </w:p>
        </w:tc>
        <w:tc>
          <w:tcPr>
            <w:tcW w:w="5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8</w:t>
            </w:r>
          </w:p>
        </w:tc>
        <w:tc>
          <w:tcPr>
            <w:tcW w:w="9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20" w:type="dxa"/>
            <w:vAlign w:val="bottom"/>
            <w:tcBorders>
              <w:right w:val="single" w:sz="8" w:color="auto"/>
            </w:tcBorders>
            <w:vMerge w:val="continue"/>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Borders>
              <w:bottom w:val="single" w:sz="8" w:color="auto"/>
              <w:right w:val="single" w:sz="8" w:color="auto"/>
            </w:tcBorders>
          </w:tcPr>
          <w:p>
            <w:pPr>
              <w:spacing w:after="0"/>
              <w:rPr>
                <w:sz w:val="20"/>
                <w:szCs w:val="20"/>
                <w:color w:val="auto"/>
              </w:rPr>
            </w:pPr>
          </w:p>
        </w:tc>
        <w:tc>
          <w:tcPr>
            <w:tcW w:w="9420" w:type="dxa"/>
            <w:vAlign w:val="bottom"/>
            <w:tcBorders>
              <w:bottom w:val="single" w:sz="8" w:color="auto"/>
            </w:tcBorders>
          </w:tcPr>
          <w:p>
            <w:pPr>
              <w:ind w:left="160"/>
              <w:spacing w:after="0" w:line="235" w:lineRule="exact"/>
              <w:rPr>
                <w:sz w:val="20"/>
                <w:szCs w:val="20"/>
                <w:color w:val="auto"/>
              </w:rPr>
            </w:pPr>
            <w:r>
              <w:rPr>
                <w:rFonts w:ascii="Times New Roman" w:cs="Times New Roman" w:eastAsia="Times New Roman" w:hAnsi="Times New Roman"/>
                <w:sz w:val="17"/>
                <w:szCs w:val="17"/>
                <w:color w:val="auto"/>
              </w:rPr>
              <w:t>464,469</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22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9</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tcBorders>
              <w:right w:val="single" w:sz="8" w:color="auto"/>
            </w:tcBorders>
            <w:vMerge w:val="continue"/>
          </w:tcPr>
          <w:p>
            <w:pPr>
              <w:spacing w:after="0"/>
              <w:rPr>
                <w:sz w:val="17"/>
                <w:szCs w:val="17"/>
                <w:color w:val="auto"/>
              </w:rPr>
            </w:pPr>
          </w:p>
        </w:tc>
        <w:tc>
          <w:tcPr>
            <w:tcW w:w="9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4"/>
        </w:trPr>
        <w:tc>
          <w:tcPr>
            <w:tcW w:w="1300" w:type="dxa"/>
            <w:vAlign w:val="bottom"/>
            <w:vMerge w:val="continue"/>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9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20" w:type="dxa"/>
            <w:vAlign w:val="bottom"/>
            <w:tcBorders>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0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942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10</w:t>
            </w:r>
          </w:p>
        </w:tc>
        <w:tc>
          <w:tcPr>
            <w:tcW w:w="9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464,469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9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464,469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7"/>
                <w:szCs w:val="17"/>
                <w:color w:val="auto"/>
              </w:rPr>
            </w:pPr>
          </w:p>
        </w:tc>
        <w:tc>
          <w:tcPr>
            <w:tcW w:w="9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beneficial ownership of 464,469 shares of Common Stock.</w:t>
      </w:r>
    </w:p>
    <w:p>
      <w:pPr>
        <w:spacing w:after="0" w:line="197" w:lineRule="exact"/>
        <w:rPr>
          <w:rFonts w:ascii="Times New Roman" w:cs="Times New Roman" w:eastAsia="Times New Roman" w:hAnsi="Times New Roman"/>
          <w:sz w:val="27"/>
          <w:szCs w:val="27"/>
          <w:color w:val="auto"/>
          <w:vertAlign w:val="superscript"/>
        </w:rPr>
      </w:pPr>
    </w:p>
    <w:p>
      <w:pPr>
        <w:ind w:right="80" w:firstLine="8"/>
        <w:spacing w:after="0" w:line="218" w:lineRule="auto"/>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ownership percentage set forth herein is calculated assuming a total of 8,828,751 shares of Common Stock of the Issuer are issued and outstanding, as set forth in the Issuer’s Quarterly Report on Form 10-Q filed with the Securities and Exchange Commission on April 3, 2024.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Schedule 13D relates to the Common Stock, par value $5.00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Bassett Furniture Industries, Incorporated, a Virginia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offices of the Issuer are located at 3525 Fairystone Park Highway, Bassett, Virginia 24055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jc w:val="both"/>
        <w:ind w:firstLine="656"/>
        <w:spacing w:after="0" w:line="266" w:lineRule="auto"/>
        <w:tabs>
          <w:tab w:leader="none" w:pos="9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being filed by Auto Services Company, Inc., an Arkansas corporation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ASC Holding Company, Inc.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Holding</w:t>
      </w:r>
      <w:r>
        <w:rPr>
          <w:rFonts w:ascii="Times New Roman" w:cs="Times New Roman" w:eastAsia="Times New Roman" w:hAnsi="Times New Roman"/>
          <w:sz w:val="18"/>
          <w:szCs w:val="18"/>
          <w:color w:val="auto"/>
        </w:rPr>
        <w:t>”), an Arkansas corporation and the direct parent of ASC, and Bradley L. Hasselwander, a citizen of the United States and controlling stockholder of ASC Holding. Each of the foregoing is referred to herein as a “Reporting Person” and collectively as the “Reporting Persons.”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of each of the Reporting Persons is c/o Auto Services Company, Inc., 1793 HWY 201 N, Mountain Home, AR 72653.</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is a vehicle warranty provider. ASC Holding operates primarily as a holding company for two vehicle warranty providers, one of which is ASC. Bradley L. Hasselwander is President and CEO of each of ASC and ASC Holding.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each of ASC and ASC Holding are set forth below. Unless otherwise indicated, each individual’s business address is c/o Auto Services Company, Inc., 1793 HWY 201 N, Mountain Home, AR 72653.</w:t>
      </w:r>
    </w:p>
    <w:p>
      <w:pPr>
        <w:spacing w:after="0" w:line="148"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5300" w:type="dxa"/>
            <w:vAlign w:val="bottom"/>
            <w:gridSpan w:val="2"/>
          </w:tcPr>
          <w:p>
            <w:pPr>
              <w:jc w:val="center"/>
              <w:ind w:right="4880"/>
              <w:spacing w:after="0"/>
              <w:rPr>
                <w:sz w:val="20"/>
                <w:szCs w:val="20"/>
                <w:color w:val="auto"/>
              </w:rPr>
            </w:pPr>
            <w:r>
              <w:rPr>
                <w:rFonts w:ascii="Times New Roman" w:cs="Times New Roman" w:eastAsia="Times New Roman" w:hAnsi="Times New Roman"/>
                <w:sz w:val="18"/>
                <w:szCs w:val="18"/>
                <w:color w:val="auto"/>
                <w:w w:val="97"/>
              </w:rPr>
              <w:t>Name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Occupation</w:t>
            </w: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453"/>
        </w:trPr>
        <w:tc>
          <w:tcPr>
            <w:tcW w:w="600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color w:val="auto"/>
                <w:w w:val="99"/>
              </w:rPr>
              <w:t>Bradley L. Hasselwander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President/CEO</w:t>
            </w:r>
          </w:p>
        </w:tc>
      </w:tr>
      <w:tr>
        <w:trPr>
          <w:trHeight w:val="432"/>
        </w:trPr>
        <w:tc>
          <w:tcPr>
            <w:tcW w:w="600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color w:val="auto"/>
                <w:w w:val="99"/>
              </w:rPr>
              <w:t>Mary E. Sinor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Secretary</w:t>
            </w:r>
          </w:p>
        </w:tc>
      </w:tr>
      <w:tr>
        <w:trPr>
          <w:trHeight w:val="432"/>
        </w:trPr>
        <w:tc>
          <w:tcPr>
            <w:tcW w:w="600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color w:val="auto"/>
                <w:w w:val="99"/>
              </w:rPr>
              <w:t>Bradley L. Hasselwander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r>
      <w:tr>
        <w:trPr>
          <w:trHeight w:val="432"/>
        </w:trPr>
        <w:tc>
          <w:tcPr>
            <w:tcW w:w="600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color w:val="auto"/>
                <w:w w:val="99"/>
              </w:rPr>
              <w:t>Bradley L. Hasselwander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600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color w:val="auto"/>
                <w:w w:val="99"/>
              </w:rPr>
              <w:t>Mary E. Sinor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198" w:lineRule="exact"/>
        <w:rPr>
          <w:sz w:val="20"/>
          <w:szCs w:val="20"/>
          <w:color w:val="auto"/>
        </w:rPr>
      </w:pPr>
    </w:p>
    <w:p>
      <w:pPr>
        <w:ind w:firstLine="656"/>
        <w:spacing w:after="0" w:line="282" w:lineRule="auto"/>
        <w:tabs>
          <w:tab w:leader="none" w:pos="9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nor any director or executive officer of any Reporting Person,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L. Hasselwander and each director and officer of a Reporting Person is a citizen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funds used to acquire the securities described herein were obtained from the working capital of ASC.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 purchased the Common Stock disclosed herein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based on its belief that the Shares, when purchased, were undervalued and represented an attractive investment opportunity. Depending upon overall market conditions, other investment opportunities available to ASC, and the availability of Shares or other securities of the Issuer at prices that would make the purchase or sale of such securities desirable, the Reporting Persons may endeavor to increase or decrease their position in the Issuer through, among other things, the purchase or sale of Shares or other securities of the Issuer on the open market or in private transactions or otherwise, on such terms and at such times as the Reporting Persons may deem advisable.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Depending on various factors, including, without limitation, the Issuer’s financial position,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representatives of the Issuer, engaging in discussions with stockholders of the Issuer and others about the Issuer and the Reporting Persons’ investment, making proposals to the Issuer concerning strategic alternatives, changes to the capitalization, ownership structure, operations of the Issuer, purchasing additional Shares, selling some or all of their Shares, engaging in short selling of or any hedging or similar transaction with respect to the Shares, or changing their intention with respect to any and all matters referred to in this Item 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656"/>
        <w:spacing w:after="0" w:line="254" w:lineRule="auto"/>
        <w:tabs>
          <w:tab w:leader="none" w:pos="9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information relating to the beneficial ownership of Common Stock by the Reporting Persons set forth in Rows 7 through 13 of each cover page hereto is incorporated by reference. ASC is the beneficial owner of 464,469 shares of Common Stock, constituting approximately 5.3% of outstanding Common Stock.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Holdings, Bradley L. Hasselwander may be deemed to have the shared power to vote or direct the vote, and the shared power to dispose or direct the disposition, of all Shares beneficially owned by ASC. The foregoing ownership percentage is calculated assuming a total of 8,828,751 shares of Common Stock of the Issuer are issued and outstanding, as set forth in the Issuer’s Quarterly Report on Form 10-Q filed with the Securities and Exchange Commission on April 3, 2024.</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Reporting Persons or, to the knowledge of the Reporting Persons, any of the other persons listed in Item 2(a)-(c) hereto beneficially owns any other securities of the Issuer.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line="62" w:lineRule="exact"/>
        <w:rPr>
          <w:sz w:val="20"/>
          <w:szCs w:val="20"/>
          <w:color w:val="auto"/>
        </w:rPr>
      </w:pPr>
    </w:p>
    <w:p>
      <w:pPr>
        <w:ind w:right="20" w:firstLine="656"/>
        <w:spacing w:after="0" w:line="282" w:lineRule="auto"/>
        <w:tabs>
          <w:tab w:leader="none" w:pos="9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the Reporting Persons in shares of Common Stock of the Issuer in the last sixty days are as follows, all of which were effected and held by ASC through open market purchases: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80" w:type="dxa"/>
            <w:vAlign w:val="bottom"/>
            <w:tcBorders>
              <w:top w:val="single" w:sz="8" w:color="auto"/>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Date Acquired</w:t>
            </w:r>
          </w:p>
        </w:tc>
        <w:tc>
          <w:tcPr>
            <w:tcW w:w="308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 of Shares Purchased</w:t>
            </w:r>
          </w:p>
        </w:tc>
        <w:tc>
          <w:tcPr>
            <w:tcW w:w="310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Class of Securities</w:t>
            </w:r>
          </w:p>
        </w:tc>
        <w:tc>
          <w:tcPr>
            <w:tcW w:w="3080" w:type="dxa"/>
            <w:vAlign w:val="bottom"/>
            <w:tcBorders>
              <w:top w:val="single" w:sz="8" w:color="auto"/>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Per Share Price</w:t>
            </w:r>
          </w:p>
        </w:tc>
      </w:tr>
      <w:tr>
        <w:trPr>
          <w:trHeight w:val="193"/>
        </w:trPr>
        <w:tc>
          <w:tcPr>
            <w:tcW w:w="1980" w:type="dxa"/>
            <w:vAlign w:val="bottom"/>
            <w:tcBorders>
              <w:bottom w:val="single" w:sz="8" w:color="auto"/>
              <w:right w:val="single" w:sz="8" w:color="auto"/>
            </w:tcBorders>
          </w:tcPr>
          <w:p>
            <w:pPr>
              <w:jc w:val="center"/>
              <w:ind w:left="90"/>
              <w:spacing w:after="0" w:line="193" w:lineRule="exact"/>
              <w:rPr>
                <w:sz w:val="20"/>
                <w:szCs w:val="20"/>
                <w:color w:val="auto"/>
              </w:rPr>
            </w:pPr>
            <w:r>
              <w:rPr>
                <w:rFonts w:ascii="Times New Roman" w:cs="Times New Roman" w:eastAsia="Times New Roman" w:hAnsi="Times New Roman"/>
                <w:sz w:val="18"/>
                <w:szCs w:val="18"/>
                <w:color w:val="auto"/>
                <w:w w:val="99"/>
              </w:rPr>
              <w:t>2024-05-02</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5,305</w:t>
            </w:r>
          </w:p>
        </w:tc>
        <w:tc>
          <w:tcPr>
            <w:tcW w:w="3100" w:type="dxa"/>
            <w:vAlign w:val="bottom"/>
            <w:tcBorders>
              <w:bottom w:val="single" w:sz="8" w:color="auto"/>
              <w:right w:val="single" w:sz="8" w:color="auto"/>
            </w:tcBorders>
          </w:tcPr>
          <w:p>
            <w:pPr>
              <w:jc w:val="center"/>
              <w:ind w:left="50"/>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$13.89</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2024-05-01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2024-05-01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2024-04-29</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2024-03-25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57"/>
        </w:trPr>
        <w:tc>
          <w:tcPr>
            <w:tcW w:w="1980" w:type="dxa"/>
            <w:vAlign w:val="bottom"/>
            <w:tcBorders>
              <w:right w:val="single" w:sz="8" w:color="auto"/>
            </w:tcBorders>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3100" w:type="dxa"/>
            <w:vAlign w:val="bottom"/>
            <w:tcBorders>
              <w:right w:val="single" w:sz="8" w:color="auto"/>
            </w:tcBorders>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r>
    </w:tbl>
    <w:p>
      <w:pPr>
        <w:sectPr>
          <w:pgSz w:w="11900" w:h="16900" w:orient="portrait"/>
          <w:cols w:equalWidth="0" w:num="1">
            <w:col w:w="11240"/>
          </w:cols>
          <w:pgMar w:left="320" w:top="580" w:right="339" w:bottom="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0"/>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10"/>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10"/>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10"/>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2024-03-15</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9"/>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2024-03-12</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0"/>
        </w:trPr>
        <w:tc>
          <w:tcPr>
            <w:tcW w:w="198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2024-03-07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r>
    </w:tbl>
    <w:p>
      <w:pPr>
        <w:spacing w:after="0" w:line="198" w:lineRule="exact"/>
        <w:rPr>
          <w:sz w:val="20"/>
          <w:szCs w:val="20"/>
          <w:color w:val="auto"/>
        </w:rPr>
      </w:pPr>
    </w:p>
    <w:p>
      <w:pPr>
        <w:ind w:right="280" w:firstLine="656"/>
        <w:spacing w:after="0" w:line="282" w:lineRule="auto"/>
        <w:tabs>
          <w:tab w:leader="none" w:pos="9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has the right to receive or the power to direct the receipt of dividends from, or the proceeds of sale of, any of the Common Stock beneficially owned by the Reporting Persons.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best knowledge of the Reporting Persons, except as set forth herein, there are no contracts, arrangements, understandings or relationships (legal or otherwise), including, but not limited to, transfer or voting of any of the securities, finder’s fees, joint ventures, loan or option arrangements, puts or calls, guarantees of profits, division of profits or loss, or the giving or withholding of proxies, between the persons enumerated in Item 2, and any other person, with respect to any securities of the Issuer,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filing includes the following exhibit:</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EE"/>
        </w:rPr>
        <w:t>Joint Filing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Hasselwander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ASC HOLDING COMPANY, INC.</w:t>
      </w:r>
    </w:p>
    <w:p>
      <w:pPr>
        <w:spacing w:after="0" w:line="229"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Bradley L. Hasselwander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2477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Name:Bradley L. Hasselwander</w:t>
      </w:r>
    </w:p>
    <w:p>
      <w:pPr>
        <w:spacing w:after="0" w:line="23"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Bradley L. Hasselwander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-7620</wp:posOffset>
            </wp:positionV>
            <wp:extent cx="155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Bradley L. Hasselwander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576" w:right="4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AS TO JOINT FILING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and Exchange Act of 1934, as amended, the undersigned hereby agree to the joint filing on behalf of each of them of a statement on Schedule 13D, and any amendments thereto, with respect to the Common Stock, par value $5.00 per share of Bassett Furniture Industries, Incorporated, and that this agreement be included as an exhibit to such filing and any amendment thereof.</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be deemed to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May 6, 2024.</w:t>
      </w:r>
    </w:p>
    <w:p>
      <w:pPr>
        <w:spacing w:after="0" w:line="200" w:lineRule="exact"/>
        <w:rPr>
          <w:sz w:val="20"/>
          <w:szCs w:val="20"/>
          <w:color w:val="auto"/>
        </w:rPr>
      </w:pPr>
    </w:p>
    <w:p>
      <w:pPr>
        <w:spacing w:after="0" w:line="2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229"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Bradley L. Hasselwander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2477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Name:Bradley L. Hasselwander</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ASC HOLDING COMPANY, INC.</w:t>
      </w:r>
    </w:p>
    <w:p>
      <w:pPr>
        <w:spacing w:after="0" w:line="229"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Bradley L. Hasselwander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247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Name:Bradley L. Hasselwander</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u w:val="single" w:color="auto"/>
          <w:color w:val="auto"/>
        </w:rPr>
        <w:t>/s/ Bradley L. Hasselwander</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Bradley L. Hasselwander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6"/>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6"/>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2024-05-06T19:25:22Z</dcterms:created>
  <dcterms:modified xsi:type="dcterms:W3CDTF">2024-05-06T19:25:22Z</dcterms:modified>
</cp:coreProperties>
</file>