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184785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BASSETT FURNITURE INDUSTRIES, INCORPORATED</w:t>
      </w:r>
    </w:p>
    <w:p>
      <w:pPr>
        <w:spacing w:after="0" w:line="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040" w:space="720"/>
            <w:col w:w="3180" w:space="720"/>
            <w:col w:w="2420"/>
          </w:cols>
          <w:pgMar w:left="320" w:top="459" w:right="49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060"/>
          </w:cols>
          <w:pgMar w:left="320" w:top="459" w:right="499" w:bottom="1440" w:gutter="0" w:footer="0" w:header="0"/>
          <w:type w:val="continuous"/>
        </w:sectPr>
      </w:pPr>
    </w:p>
    <w:p>
      <w:pPr>
        <w:spacing w:after="0" w:line="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28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2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($5.00 par value)</w:t>
            </w:r>
          </w:p>
        </w:tc>
        <w:tc>
          <w:tcPr>
            <w:tcW w:w="30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8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10, 2024, Bassett Furniture Industries issued a news release relating to the second quarter financial results for the fiscal year ending November 30, 2024. A copy of the news release announcing this information is attached to this report as Exhibit 99.1.</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News release issued by Bassett Furniture Industries, Inc. on July 10, 2024.</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July 10, 2024</w:t>
            </w: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J. Michael Daniel</w:t>
            </w:r>
          </w:p>
        </w:tc>
      </w:tr>
      <w:tr>
        <w:trPr>
          <w:trHeight w:val="191"/>
        </w:trPr>
        <w:tc>
          <w:tcPr>
            <w:tcW w:w="3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600" w:type="dxa"/>
            <w:vAlign w:val="bottom"/>
            <w:tcBorders>
              <w:top w:val="single" w:sz="8" w:color="auto"/>
            </w:tcBorders>
          </w:tcPr>
          <w:p>
            <w:pPr>
              <w:ind w:left="540"/>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16"/>
        </w:trPr>
        <w:tc>
          <w:tcPr>
            <w:tcW w:w="3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Title: Senior Vice President – Chief Financial &amp; Administrative</w:t>
            </w:r>
          </w:p>
        </w:tc>
      </w:tr>
      <w:tr>
        <w:trPr>
          <w:trHeight w:val="234"/>
        </w:trPr>
        <w:tc>
          <w:tcPr>
            <w:tcW w:w="3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9728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w:t>
            </w:r>
          </w:p>
        </w:tc>
        <w:tc>
          <w:tcPr>
            <w:tcW w:w="3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Contacts:</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P.O. Box 626</w:t>
            </w:r>
          </w:p>
        </w:tc>
        <w:tc>
          <w:tcPr>
            <w:tcW w:w="33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J. Michael Daniel</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Bassett, VA 24055</w:t>
            </w:r>
          </w:p>
        </w:tc>
        <w:tc>
          <w:tcPr>
            <w:tcW w:w="33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tc>
      </w:tr>
      <w:tr>
        <w:trPr>
          <w:trHeight w:val="220"/>
        </w:trPr>
        <w:tc>
          <w:tcPr>
            <w:tcW w:w="7940" w:type="dxa"/>
            <w:vAlign w:val="bottom"/>
          </w:tcPr>
          <w:p>
            <w:pPr>
              <w:spacing w:after="0"/>
              <w:rPr>
                <w:sz w:val="19"/>
                <w:szCs w:val="19"/>
                <w:color w:val="auto"/>
              </w:rPr>
            </w:pPr>
          </w:p>
        </w:tc>
        <w:tc>
          <w:tcPr>
            <w:tcW w:w="33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16"/>
        </w:trPr>
        <w:tc>
          <w:tcPr>
            <w:tcW w:w="7940" w:type="dxa"/>
            <w:vAlign w:val="bottom"/>
          </w:tcPr>
          <w:p>
            <w:pPr>
              <w:spacing w:after="0"/>
              <w:rPr>
                <w:sz w:val="18"/>
                <w:szCs w:val="18"/>
                <w:color w:val="auto"/>
              </w:rPr>
            </w:pPr>
          </w:p>
        </w:tc>
        <w:tc>
          <w:tcPr>
            <w:tcW w:w="3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(276) 629-6614 – Investors</w:t>
            </w:r>
          </w:p>
        </w:tc>
      </w:tr>
      <w:tr>
        <w:trPr>
          <w:trHeight w:val="234"/>
        </w:trPr>
        <w:tc>
          <w:tcPr>
            <w:tcW w:w="7940" w:type="dxa"/>
            <w:vAlign w:val="bottom"/>
          </w:tcPr>
          <w:p>
            <w:pPr>
              <w:spacing w:after="0"/>
              <w:rPr>
                <w:sz w:val="20"/>
                <w:szCs w:val="20"/>
                <w:color w:val="auto"/>
              </w:rPr>
            </w:pPr>
          </w:p>
        </w:tc>
        <w:tc>
          <w:tcPr>
            <w:tcW w:w="3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mdaniel@bassettfurniture.com</w:t>
            </w:r>
          </w:p>
        </w:tc>
      </w:tr>
      <w:tr>
        <w:trPr>
          <w:trHeight w:val="410"/>
        </w:trPr>
        <w:tc>
          <w:tcPr>
            <w:tcW w:w="7940" w:type="dxa"/>
            <w:vAlign w:val="bottom"/>
          </w:tcPr>
          <w:p>
            <w:pPr>
              <w:spacing w:after="0"/>
              <w:rPr>
                <w:sz w:val="24"/>
                <w:szCs w:val="24"/>
                <w:color w:val="auto"/>
              </w:rPr>
            </w:pPr>
          </w:p>
        </w:tc>
        <w:tc>
          <w:tcPr>
            <w:tcW w:w="33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Peter D. Morrison</w:t>
            </w:r>
          </w:p>
        </w:tc>
      </w:tr>
      <w:tr>
        <w:trPr>
          <w:trHeight w:val="220"/>
        </w:trPr>
        <w:tc>
          <w:tcPr>
            <w:tcW w:w="7940" w:type="dxa"/>
            <w:vAlign w:val="bottom"/>
          </w:tcPr>
          <w:p>
            <w:pPr>
              <w:spacing w:after="0"/>
              <w:rPr>
                <w:sz w:val="19"/>
                <w:szCs w:val="19"/>
                <w:color w:val="auto"/>
              </w:rPr>
            </w:pPr>
          </w:p>
        </w:tc>
        <w:tc>
          <w:tcPr>
            <w:tcW w:w="33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Vice President of Communications</w:t>
            </w:r>
          </w:p>
        </w:tc>
      </w:tr>
      <w:tr>
        <w:trPr>
          <w:trHeight w:val="234"/>
        </w:trPr>
        <w:tc>
          <w:tcPr>
            <w:tcW w:w="7940" w:type="dxa"/>
            <w:vAlign w:val="bottom"/>
          </w:tcPr>
          <w:p>
            <w:pPr>
              <w:spacing w:after="0"/>
              <w:rPr>
                <w:sz w:val="20"/>
                <w:szCs w:val="20"/>
                <w:color w:val="auto"/>
              </w:rPr>
            </w:pPr>
          </w:p>
        </w:tc>
        <w:tc>
          <w:tcPr>
            <w:tcW w:w="3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(276) 629-6450 – Media</w:t>
            </w:r>
          </w:p>
        </w:tc>
      </w:tr>
      <w:tr>
        <w:trPr>
          <w:trHeight w:val="648"/>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For immediate release</w:t>
            </w:r>
          </w:p>
        </w:tc>
        <w:tc>
          <w:tcPr>
            <w:tcW w:w="3300" w:type="dxa"/>
            <w:vAlign w:val="bottom"/>
          </w:tcPr>
          <w:p>
            <w:pPr>
              <w:spacing w:after="0"/>
              <w:rPr>
                <w:sz w:val="24"/>
                <w:szCs w:val="24"/>
                <w:color w:val="auto"/>
              </w:rPr>
            </w:pPr>
          </w:p>
        </w:tc>
      </w:tr>
      <w:tr>
        <w:trPr>
          <w:trHeight w:val="471"/>
        </w:trPr>
        <w:tc>
          <w:tcPr>
            <w:tcW w:w="7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Bassett Reports Fiscal Second Quarter Results and Launches Restructuring Plan</w:t>
            </w:r>
          </w:p>
        </w:tc>
        <w:tc>
          <w:tcPr>
            <w:tcW w:w="3300" w:type="dxa"/>
            <w:vAlign w:val="bottom"/>
          </w:tcPr>
          <w:p>
            <w:pPr>
              <w:spacing w:after="0"/>
              <w:rPr>
                <w:sz w:val="24"/>
                <w:szCs w:val="24"/>
                <w:color w:val="auto"/>
              </w:rPr>
            </w:pPr>
          </w:p>
        </w:tc>
      </w:tr>
      <w:tr>
        <w:trPr>
          <w:trHeight w:val="42"/>
        </w:trPr>
        <w:tc>
          <w:tcPr>
            <w:tcW w:w="794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(Bassett, Va.) – July 10, 2024 – Bassett Furniture Industries, Inc. (Nasdaq: BSET) reported today its results of operations for its second quarter ended June 1, 2024. The Company also announced a restructuring plan designed to improve long-term operational and financial performance.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Q2 Consolidated Business Highlights</w:t>
      </w:r>
      <w:r>
        <w:rPr>
          <w:rFonts w:ascii="Times New Roman" w:cs="Times New Roman" w:eastAsia="Times New Roman" w:hAnsi="Times New Roman"/>
          <w:sz w:val="18"/>
          <w:szCs w:val="18"/>
          <w:i w:val="1"/>
          <w:iCs w:val="1"/>
          <w:color w:val="auto"/>
        </w:rPr>
        <w:t>: [FY 24 vs. FY 23, unless otherwise specified]</w:t>
      </w:r>
    </w:p>
    <w:p>
      <w:pPr>
        <w:spacing w:after="0" w:line="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decreased 17%.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comparing to the first quarter of 2024, revenues increased 3.8%, normalizing the first quarter for the extra week due to our fiscal calendar.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$8.5 million which included asset impairment charges of $5.5 million and additional inventory valuation charges of $2.7 million.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52.5%, which included the increased inventory valuation charges noted above. Excluding the inventory valuation charges, gross profit margin would have been 55.7% (see Table 5).</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of $0.82 vs. diluted earnings per share $0.24.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$5.8 million of operating cash flow for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Second Quarter Overview</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Sales</w:t>
            </w:r>
          </w:p>
        </w:tc>
        <w:tc>
          <w:tcPr>
            <w:tcW w:w="9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2nd Qtr</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2nd Qtr</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2nd Qtr</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r>
      <w:tr>
        <w:trPr>
          <w:trHeight w:val="223"/>
        </w:trPr>
        <w:tc>
          <w:tcPr>
            <w:tcW w:w="2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0" w:type="dxa"/>
            <w:vAlign w:val="bottom"/>
          </w:tcPr>
          <w:p>
            <w:pPr>
              <w:spacing w:after="0"/>
              <w:rPr>
                <w:sz w:val="19"/>
                <w:szCs w:val="19"/>
                <w:color w:val="auto"/>
              </w:rPr>
            </w:pPr>
          </w:p>
        </w:tc>
      </w:tr>
      <w:tr>
        <w:trPr>
          <w:trHeight w:val="209"/>
        </w:trPr>
        <w:tc>
          <w:tcPr>
            <w:tcW w:w="23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Consolidated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7.0</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0.8</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Corporate &amp; Other </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jc w:val="both"/>
        <w:ind w:left="340" w:hanging="339"/>
        <w:spacing w:after="0" w:line="266" w:lineRule="auto"/>
        <w:tabs>
          <w:tab w:leader="none" w:pos="320" w:val="left"/>
        </w:tabs>
        <w:rPr>
          <w:sz w:val="20"/>
          <w:szCs w:val="20"/>
          <w:color w:val="auto"/>
        </w:rPr>
      </w:pPr>
      <w:r>
        <w:rPr>
          <w:rFonts w:ascii="Times New Roman" w:cs="Times New Roman" w:eastAsia="Times New Roman" w:hAnsi="Times New Roman"/>
          <w:sz w:val="18"/>
          <w:szCs w:val="18"/>
          <w:color w:val="auto"/>
        </w:rPr>
        <w:t>(1)</w:t>
        <w:tab/>
        <w:t>Our consolidated results include certain intercompany eliminations as well as asset impairment charges of $5.5 million which are not allocated to our segment operating results. See Table 4, “Segment Information” below for an illustration of the effects of these items on our consolidated sales and operating income.</w:t>
      </w:r>
    </w:p>
    <w:p>
      <w:pPr>
        <w:spacing w:after="0" w:line="176" w:lineRule="exact"/>
        <w:rPr>
          <w:sz w:val="20"/>
          <w:szCs w:val="20"/>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includes the operations of Noa Home Inc. along with the shared Corporate costs that are benefiting both the Wholesale and Retail segments.</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“Excluding the additional inventory valuation charges that we recorded, we were pleased with another quarter of strong gross margins, despite lower sales.” said Robert H. Spilman, Jr., Bassett Chairman and Chief Executive Officer. “The environment for housing remains challenging and consumers are choosing to invest in experiences over their homes, a change from the Covid period. We continue to be disciplined on expenses to improve operating efficiency.”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 Plan</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also announced a restructuring plan to more right-size its cost structure and to prepare it for topline growth. The comprehensive strategy builds on the strength of Bassett’s brand quality, design expertise and service, and focuses on driving revenue growth and profitability long-term. The five-point plan includes:</w:t>
      </w:r>
    </w:p>
    <w:p>
      <w:pPr>
        <w:spacing w:after="0" w:line="1" w:lineRule="exact"/>
        <w:rPr>
          <w:sz w:val="20"/>
          <w:szCs w:val="20"/>
          <w:color w:val="auto"/>
        </w:rPr>
      </w:pP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organic growth through Bassett-branded retail locations, omni-channel capabilities, and enhanced customization positioning to expand dedicated distribution footprint.</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Rationalize US wood manufacturing from two locations into one primary location, supported by a small satellite operation.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inventory and drop unproductive 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overall cost structure and invest capital in refurbishment of current retail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the Noa Home e-commerce business.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“Bassett Furniture has a long history of weathering economic cycles, such as the inflationary environment and slow housing market we’re experiencing in 2024 – factors that led to soft demand in our second quarter,” explained Spilman. “The business climate has remained difficult through the first six months of this year and may not improve in the near future. Accordingly, we are committed to returning to profitability by running a leaner operation, with priority focus on both our inventory position and the overall cost structure. We believe that our restructuring plan, expected to improve our bottom line between $5.5 million and $6.5 million on an annual basis, coupled with our solid balance sheet, puts us in a position to be a considerably stronger company when customer demand inevitably improves. I’m particularly pleased that our Board believes in our ability to improve operations and continue our strong cash generation by increasing our quarterly dividend by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Conference Call and Webcast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hold a conference call to discuss its quarterly results on July 11, 2024, at 9:00 am ET. The public is invited to listen to the conference call by webcast, accessible through the Company’s investor relations website, https://investors.bassettfurniture.com/. Participants can also listen to the conference call via https://edge.media-server.com/mmc/p/332ii2e5. A replay and transcript of the conference call will be available on demand on the investor relations site.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 BSET) is a leading manufacturer and marketer of high-quality home furnishings. With 88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and internationally. For more information, visit the Company’s website at bassettfurniture.com. (BSET-E)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statements in this release, particularly those preceded by, followed by or including the words “believes,” “plans,” “expects,” “anticipates,” “intends,” “should,” “estimates,” or similar expressions, or those relating to or anticipating financial results or changes in operations for periods beyond the end of the second fiscal quarter of 2024, constitute “forward looking statements” within the meaning of Section 27A of the Securities Act of 1933, as amended. For those statements, Bassett claims the protection of the safe harbor for forward-looking statements contained in the Private Securities Litigation Reform Act of 1995. In many cases, Bassett cannot predict what factors would cause actual results to differ materially from those indicated in the forward-looking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and future events on the retail demand for home furnishings and the ability of Bassett’s customers and consumers to obtain credit; the success of marketing, logistics, retail and other initiatives; and the economic, competitive, governmental and other factors identified in Bassett’s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Table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8"/>
                <w:szCs w:val="18"/>
                <w:color w:val="auto"/>
              </w:rPr>
              <w:t>Quarter Ended</w:t>
            </w: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Six Months</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June 1, 2024</w:t>
            </w:r>
          </w:p>
        </w:tc>
        <w:tc>
          <w:tcPr>
            <w:tcW w:w="140" w:type="dxa"/>
            <w:vAlign w:val="bottom"/>
          </w:tcPr>
          <w:p>
            <w:pPr>
              <w:spacing w:after="0"/>
              <w:rPr>
                <w:sz w:val="18"/>
                <w:szCs w:val="18"/>
                <w:color w:val="auto"/>
              </w:rPr>
            </w:pPr>
          </w:p>
        </w:tc>
        <w:tc>
          <w:tcPr>
            <w:tcW w:w="182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May 27, 2023</w:t>
            </w:r>
          </w:p>
        </w:tc>
        <w:tc>
          <w:tcPr>
            <w:tcW w:w="140" w:type="dxa"/>
            <w:vAlign w:val="bottom"/>
          </w:tcPr>
          <w:p>
            <w:pPr>
              <w:spacing w:after="0"/>
              <w:rPr>
                <w:sz w:val="18"/>
                <w:szCs w:val="18"/>
                <w:color w:val="auto"/>
              </w:rPr>
            </w:pPr>
          </w:p>
        </w:tc>
        <w:tc>
          <w:tcPr>
            <w:tcW w:w="184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June 1, 2024</w:t>
            </w:r>
          </w:p>
        </w:tc>
        <w:tc>
          <w:tcPr>
            <w:tcW w:w="100" w:type="dxa"/>
            <w:vAlign w:val="bottom"/>
          </w:tcPr>
          <w:p>
            <w:pPr>
              <w:spacing w:after="0"/>
              <w:rPr>
                <w:sz w:val="18"/>
                <w:szCs w:val="18"/>
                <w:color w:val="auto"/>
              </w:rPr>
            </w:pPr>
          </w:p>
        </w:tc>
        <w:tc>
          <w:tcPr>
            <w:tcW w:w="16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May 27, 2023</w:t>
            </w:r>
          </w:p>
        </w:tc>
        <w:tc>
          <w:tcPr>
            <w:tcW w:w="160" w:type="dxa"/>
            <w:vAlign w:val="bottom"/>
          </w:tcPr>
          <w:p>
            <w:pPr>
              <w:spacing w:after="0"/>
              <w:rPr>
                <w:sz w:val="18"/>
                <w:szCs w:val="18"/>
                <w:color w:val="auto"/>
              </w:rPr>
            </w:pPr>
          </w:p>
        </w:tc>
      </w:tr>
      <w:tr>
        <w:trPr>
          <w:trHeight w:val="191"/>
        </w:trPr>
        <w:tc>
          <w:tcPr>
            <w:tcW w:w="35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Percent</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Percent</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of</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3"/>
              </w:rPr>
              <w:t>of</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Percent of</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Percent of</w:t>
            </w:r>
          </w:p>
        </w:tc>
      </w:tr>
      <w:tr>
        <w:trPr>
          <w:trHeight w:val="234"/>
        </w:trPr>
        <w:tc>
          <w:tcPr>
            <w:tcW w:w="354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Amount</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Net Sales</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Amount</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Amount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4"/>
              </w:rPr>
              <w:t>Amount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Net Sales</w:t>
            </w:r>
          </w:p>
        </w:tc>
      </w:tr>
      <w:tr>
        <w:trPr>
          <w:trHeight w:val="210"/>
        </w:trPr>
        <w:tc>
          <w:tcPr>
            <w:tcW w:w="3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100,519</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169,964</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208,217</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39,650</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47,686</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78,337</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98,187</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w:t>
            </w:r>
          </w:p>
        </w:tc>
      </w:tr>
      <w:tr>
        <w:trPr>
          <w:trHeight w:val="20"/>
        </w:trPr>
        <w:tc>
          <w:tcPr>
            <w:tcW w:w="3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52,833</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91,627</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110,030</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51,366</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96,931</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105,861</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5,515</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35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(8,462)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2,480</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(10,819)</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5,182</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569</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1,383</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(1,072)</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35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(8,111)</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2,544</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(9,816)</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4,831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468</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(1,422)</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1,310</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3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(7,201)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2,076</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(8,394)</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3,521</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197"/>
        </w:trPr>
        <w:tc>
          <w:tcPr>
            <w:tcW w:w="35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(loss)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(0.82)</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0.24</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(0.96)</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3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Table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June 1, 2024</w:t>
            </w:r>
          </w:p>
        </w:tc>
        <w:tc>
          <w:tcPr>
            <w:tcW w:w="8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25, 2023</w:t>
            </w: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42,646</w:t>
            </w: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52,407</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17,775</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13,736</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62,982</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2,574</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157,954</w:t>
            </w: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83,981</w:t>
            </w: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long-term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4,645</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16,067</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100,888</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345,264</w:t>
            </w: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370,424</w:t>
            </w: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8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16,338</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8,934</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22,788</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18,827</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00" w:type="dxa"/>
            <w:vAlign w:val="bottom"/>
          </w:tcPr>
          <w:p>
            <w:pPr>
              <w:spacing w:after="0"/>
              <w:rPr>
                <w:sz w:val="18"/>
                <w:szCs w:val="18"/>
                <w:color w:val="auto"/>
              </w:rPr>
            </w:pP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77,890</w:t>
            </w:r>
          </w:p>
        </w:tc>
      </w:tr>
      <w:tr>
        <w:trPr>
          <w:trHeight w:val="210"/>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10,207</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97,357</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18"/>
                <w:szCs w:val="18"/>
                <w:color w:val="auto"/>
              </w:rPr>
            </w:pP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109,093</w:t>
            </w:r>
          </w:p>
        </w:tc>
      </w:tr>
      <w:tr>
        <w:trPr>
          <w:trHeight w:val="210"/>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43,842</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139,354</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0"/>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171,660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345,264</w:t>
            </w: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370,424</w:t>
            </w: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4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Table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6"/>
          </w:tcPr>
          <w:p>
            <w:pPr>
              <w:jc w:val="right"/>
              <w:ind w:right="1260"/>
              <w:spacing w:after="0"/>
              <w:rPr>
                <w:sz w:val="20"/>
                <w:szCs w:val="20"/>
                <w:color w:val="auto"/>
              </w:rPr>
            </w:pPr>
            <w:r>
              <w:rPr>
                <w:rFonts w:ascii="Times New Roman" w:cs="Times New Roman" w:eastAsia="Times New Roman" w:hAnsi="Times New Roman"/>
                <w:sz w:val="18"/>
                <w:szCs w:val="18"/>
                <w:color w:val="auto"/>
              </w:rPr>
              <w:t>Six Months</w:t>
            </w:r>
          </w:p>
        </w:tc>
      </w:tr>
      <w:tr>
        <w:trPr>
          <w:trHeight w:val="210"/>
        </w:trPr>
        <w:tc>
          <w:tcPr>
            <w:tcW w:w="8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June 1, 2024</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May 27, 2023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(8,394)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valuation charges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15,145</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9,105</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(12,022)</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(8,715)</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(10,255)</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8,888</w:t>
            </w:r>
          </w:p>
        </w:tc>
      </w:tr>
      <w:tr>
        <w:trPr>
          <w:trHeight w:val="210"/>
        </w:trPr>
        <w:tc>
          <w:tcPr>
            <w:tcW w:w="80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(7,405)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discontinued operations, net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(7,042)</w:t>
            </w:r>
          </w:p>
        </w:tc>
      </w:tr>
      <w:tr>
        <w:trPr>
          <w:trHeight w:val="210"/>
        </w:trPr>
        <w:tc>
          <w:tcPr>
            <w:tcW w:w="80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issuance of common stock</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52,407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61,625</w:t>
            </w:r>
          </w:p>
        </w:tc>
      </w:tr>
      <w:tr>
        <w:trPr>
          <w:trHeight w:val="210"/>
        </w:trPr>
        <w:tc>
          <w:tcPr>
            <w:tcW w:w="80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42,646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57,078</w:t>
            </w:r>
          </w:p>
        </w:tc>
      </w:tr>
      <w:tr>
        <w:trPr>
          <w:trHeight w:val="555"/>
        </w:trPr>
        <w:tc>
          <w:tcPr>
            <w:tcW w:w="80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4</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Segment Information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Revenue</w:t>
      </w:r>
    </w:p>
    <w:p>
      <w:pPr>
        <w:spacing w:after="0" w:line="31" w:lineRule="exact"/>
        <w:rPr>
          <w:sz w:val="20"/>
          <w:szCs w:val="20"/>
          <w:color w:val="auto"/>
        </w:rPr>
      </w:pPr>
    </w:p>
    <w:p>
      <w:pPr>
        <w:ind w:right="2060"/>
        <w:spacing w:after="0" w:line="258" w:lineRule="auto"/>
        <w:rPr>
          <w:sz w:val="20"/>
          <w:szCs w:val="20"/>
          <w:color w:val="auto"/>
        </w:rPr>
      </w:pPr>
      <w:r>
        <w:rPr>
          <w:rFonts w:ascii="Times New Roman" w:cs="Times New Roman" w:eastAsia="Times New Roman" w:hAnsi="Times New Roman"/>
          <w:sz w:val="18"/>
          <w:szCs w:val="18"/>
          <w:color w:val="auto"/>
        </w:rPr>
        <w:t>Wholesale sales of furniture and accessories Less: Sales to retail segment</w:t>
      </w:r>
    </w:p>
    <w:p>
      <w:pPr>
        <w:ind w:left="180"/>
        <w:spacing w:after="0"/>
        <w:rPr>
          <w:sz w:val="20"/>
          <w:szCs w:val="20"/>
          <w:color w:val="auto"/>
        </w:rPr>
      </w:pPr>
      <w:r>
        <w:rPr>
          <w:rFonts w:ascii="Times New Roman" w:cs="Times New Roman" w:eastAsia="Times New Roman" w:hAnsi="Times New Roman"/>
          <w:sz w:val="18"/>
          <w:szCs w:val="18"/>
          <w:color w:val="auto"/>
        </w:rPr>
        <w:t>Wholesale sales to external customers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p>
      <w:pPr>
        <w:spacing w:after="0" w:line="201" w:lineRule="auto"/>
        <w:rPr>
          <w:sz w:val="20"/>
          <w:szCs w:val="20"/>
          <w:color w:val="auto"/>
        </w:rPr>
      </w:pPr>
      <w:r>
        <w:rPr>
          <w:rFonts w:ascii="Times New Roman" w:cs="Times New Roman" w:eastAsia="Times New Roman" w:hAnsi="Times New Roman"/>
          <w:sz w:val="18"/>
          <w:szCs w:val="18"/>
          <w:color w:val="auto"/>
        </w:rPr>
        <w:t xml:space="preserve">Corporate &amp; Other - Noa Home </w:t>
      </w:r>
      <w:r>
        <w:rPr>
          <w:rFonts w:ascii="Times New Roman" w:cs="Times New Roman" w:eastAsia="Times New Roman" w:hAnsi="Times New Roman"/>
          <w:sz w:val="29"/>
          <w:szCs w:val="29"/>
          <w:color w:val="auto"/>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Quarter Ended</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Six Months</w:t>
            </w: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June 1, 2024</w:t>
            </w:r>
          </w:p>
        </w:tc>
        <w:tc>
          <w:tcPr>
            <w:tcW w:w="260" w:type="dxa"/>
            <w:vAlign w:val="bottom"/>
            <w:gridSpan w:val="2"/>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May 27, 2023</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June 1, 2024</w:t>
            </w:r>
          </w:p>
        </w:tc>
        <w:tc>
          <w:tcPr>
            <w:tcW w:w="22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May 27, 2023</w:t>
            </w:r>
          </w:p>
        </w:tc>
        <w:tc>
          <w:tcPr>
            <w:tcW w:w="60" w:type="dxa"/>
            <w:vAlign w:val="bottom"/>
          </w:tcPr>
          <w:p>
            <w:pPr>
              <w:spacing w:after="0"/>
              <w:rPr>
                <w:sz w:val="18"/>
                <w:szCs w:val="18"/>
                <w:color w:val="auto"/>
              </w:rPr>
            </w:pPr>
          </w:p>
        </w:tc>
      </w:tr>
      <w:tr>
        <w:trPr>
          <w:trHeight w:val="407"/>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52,609</w:t>
            </w:r>
          </w:p>
        </w:tc>
        <w:tc>
          <w:tcPr>
            <w:tcW w:w="240" w:type="dxa"/>
            <w:vAlign w:val="bottom"/>
          </w:tcPr>
          <w:p>
            <w:pPr>
              <w:spacing w:after="0"/>
              <w:rPr>
                <w:sz w:val="24"/>
                <w:szCs w:val="24"/>
                <w:color w:val="auto"/>
              </w:rPr>
            </w:pPr>
          </w:p>
        </w:tc>
        <w:tc>
          <w:tcPr>
            <w:tcW w:w="46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107,310</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131,658</w:t>
            </w:r>
          </w:p>
        </w:tc>
      </w:tr>
      <w:tr>
        <w:trPr>
          <w:trHeight w:val="234"/>
        </w:trPr>
        <w:tc>
          <w:tcPr>
            <w:tcW w:w="10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(20,751)</w:t>
            </w:r>
          </w:p>
        </w:tc>
        <w:tc>
          <w:tcPr>
            <w:tcW w:w="4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(24,330)</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(44,514)</w:t>
            </w:r>
          </w:p>
        </w:tc>
        <w:tc>
          <w:tcPr>
            <w:tcW w:w="4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(54,429)</w:t>
            </w:r>
          </w:p>
        </w:tc>
      </w:tr>
      <w:tr>
        <w:trPr>
          <w:trHeight w:val="191"/>
        </w:trPr>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31,858</w:t>
            </w:r>
          </w:p>
        </w:tc>
        <w:tc>
          <w:tcPr>
            <w:tcW w:w="2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37,444</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62,796</w:t>
            </w:r>
          </w:p>
        </w:tc>
        <w:tc>
          <w:tcPr>
            <w:tcW w:w="2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77,229</w:t>
            </w:r>
          </w:p>
        </w:tc>
        <w:tc>
          <w:tcPr>
            <w:tcW w:w="6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50,468</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60,778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104,222</w:t>
            </w:r>
          </w:p>
        </w:tc>
        <w:tc>
          <w:tcPr>
            <w:tcW w:w="4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125,740</w:t>
            </w:r>
          </w:p>
        </w:tc>
      </w:tr>
      <w:tr>
        <w:trPr>
          <w:trHeight w:val="234"/>
        </w:trPr>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2,946</w:t>
            </w:r>
          </w:p>
        </w:tc>
        <w:tc>
          <w:tcPr>
            <w:tcW w:w="4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5,248</w:t>
            </w: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83,410</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100,519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169,964</w:t>
            </w: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208,217</w:t>
            </w:r>
          </w:p>
        </w:tc>
        <w:tc>
          <w:tcPr>
            <w:tcW w:w="60" w:type="dxa"/>
            <w:vAlign w:val="bottom"/>
          </w:tcPr>
          <w:p>
            <w:pPr>
              <w:spacing w:after="0"/>
              <w:rPr>
                <w:sz w:val="18"/>
                <w:szCs w:val="18"/>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-1002030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-728345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57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5,687</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12,446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2,285</w:t>
            </w:r>
          </w:p>
        </w:tc>
      </w:tr>
      <w:tr>
        <w:trPr>
          <w:trHeight w:val="216"/>
        </w:trPr>
        <w:tc>
          <w:tcPr>
            <w:tcW w:w="59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Net expenses - Corporate and other </w:t>
            </w:r>
            <w:r>
              <w:rPr>
                <w:rFonts w:ascii="Times New Roman" w:cs="Times New Roman" w:eastAsia="Times New Roman" w:hAnsi="Times New Roman"/>
                <w:sz w:val="25"/>
                <w:szCs w:val="25"/>
                <w:color w:val="auto"/>
                <w:vertAlign w:val="superscript"/>
              </w:rPr>
              <w:t>(1)</w:t>
            </w: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(6,942)</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(6,949)</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(14,537)</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(14,720)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elimination</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(5,515)</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(5,515)</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r>
      <w:tr>
        <w:trPr>
          <w:trHeight w:val="20"/>
        </w:trPr>
        <w:tc>
          <w:tcPr>
            <w:tcW w:w="59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income (loss) from operations</w:t>
            </w: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(8,462)</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2,480</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(10,819)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5,182</w:t>
            </w:r>
          </w:p>
        </w:tc>
      </w:tr>
      <w:tr>
        <w:trPr>
          <w:trHeight w:val="216"/>
        </w:trPr>
        <w:tc>
          <w:tcPr>
            <w:tcW w:w="5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627</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loss, net</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(1,072)</w:t>
            </w:r>
          </w:p>
        </w:tc>
      </w:tr>
      <w:tr>
        <w:trPr>
          <w:trHeight w:val="20"/>
        </w:trPr>
        <w:tc>
          <w:tcPr>
            <w:tcW w:w="59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income (loss) before income taxes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(9,816)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4,831</w:t>
            </w:r>
          </w:p>
        </w:tc>
      </w:tr>
      <w:tr>
        <w:trPr>
          <w:trHeight w:val="20"/>
        </w:trPr>
        <w:tc>
          <w:tcPr>
            <w:tcW w:w="5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tabs>
          <w:tab w:leader="none" w:pos="2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Corporate and Other includes the operations of Noa Home Inc. along with the shared Corporate costs that are benefiting both the Wholesale and Retail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reported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inventory valuation charges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adjusted</w:t>
      </w:r>
    </w:p>
    <w:p>
      <w:pPr>
        <w:spacing w:after="0" w:line="20" w:lineRule="exact"/>
        <w:rPr>
          <w:sz w:val="20"/>
          <w:szCs w:val="20"/>
          <w:color w:val="auto"/>
        </w:rPr>
      </w:pPr>
      <w:r>
        <w:rPr>
          <w:sz w:val="20"/>
          <w:szCs w:val="20"/>
          <w:color w:val="auto"/>
        </w:rPr>
        <w:br w:type="column"/>
      </w:r>
    </w:p>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Table 5</w:t>
      </w:r>
    </w:p>
    <w:p>
      <w:pPr>
        <w:spacing w:after="0" w:line="31" w:lineRule="exact"/>
        <w:rPr>
          <w:sz w:val="20"/>
          <w:szCs w:val="20"/>
          <w:color w:val="auto"/>
        </w:rPr>
      </w:pPr>
    </w:p>
    <w:p>
      <w:pPr>
        <w:jc w:val="center"/>
        <w:ind w:right="3080"/>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8"/>
          <w:szCs w:val="18"/>
          <w:color w:val="auto"/>
        </w:rPr>
        <w:t>Adjusted Gross Profit</w:t>
      </w:r>
    </w:p>
    <w:p>
      <w:pPr>
        <w:spacing w:after="0" w:line="9"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color w:val="auto"/>
              </w:rPr>
              <w:t>Quarter Ended</w:t>
            </w: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Six Months Ended</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100" w:type="dxa"/>
            <w:vAlign w:val="bottom"/>
          </w:tcPr>
          <w:p>
            <w:pPr>
              <w:spacing w:after="0"/>
              <w:rPr>
                <w:sz w:val="18"/>
                <w:szCs w:val="18"/>
                <w:color w:val="auto"/>
              </w:rPr>
            </w:pPr>
          </w:p>
        </w:tc>
        <w:tc>
          <w:tcPr>
            <w:tcW w:w="194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June 1, 2024</w:t>
            </w:r>
          </w:p>
        </w:tc>
        <w:tc>
          <w:tcPr>
            <w:tcW w:w="80" w:type="dxa"/>
            <w:vAlign w:val="bottom"/>
          </w:tcPr>
          <w:p>
            <w:pPr>
              <w:spacing w:after="0"/>
              <w:rPr>
                <w:sz w:val="18"/>
                <w:szCs w:val="18"/>
                <w:color w:val="auto"/>
              </w:rPr>
            </w:pPr>
          </w:p>
        </w:tc>
        <w:tc>
          <w:tcPr>
            <w:tcW w:w="19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May 27, 2023</w:t>
            </w:r>
          </w:p>
        </w:tc>
        <w:tc>
          <w:tcPr>
            <w:tcW w:w="80" w:type="dxa"/>
            <w:vAlign w:val="bottom"/>
          </w:tcPr>
          <w:p>
            <w:pPr>
              <w:spacing w:after="0"/>
              <w:rPr>
                <w:sz w:val="18"/>
                <w:szCs w:val="18"/>
                <w:color w:val="auto"/>
              </w:rPr>
            </w:pPr>
          </w:p>
        </w:tc>
        <w:tc>
          <w:tcPr>
            <w:tcW w:w="19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June 1, 2024</w:t>
            </w:r>
          </w:p>
        </w:tc>
        <w:tc>
          <w:tcPr>
            <w:tcW w:w="100" w:type="dxa"/>
            <w:vAlign w:val="bottom"/>
          </w:tcPr>
          <w:p>
            <w:pPr>
              <w:spacing w:after="0"/>
              <w:rPr>
                <w:sz w:val="18"/>
                <w:szCs w:val="18"/>
                <w:color w:val="auto"/>
              </w:rPr>
            </w:pP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May 27, 2023</w:t>
            </w:r>
          </w:p>
        </w:tc>
        <w:tc>
          <w:tcPr>
            <w:tcW w:w="140" w:type="dxa"/>
            <w:vAlign w:val="bottom"/>
          </w:tcPr>
          <w:p>
            <w:pPr>
              <w:spacing w:after="0"/>
              <w:rPr>
                <w:sz w:val="18"/>
                <w:szCs w:val="18"/>
                <w:color w:val="auto"/>
              </w:rPr>
            </w:pPr>
          </w:p>
        </w:tc>
      </w:tr>
      <w:tr>
        <w:trPr>
          <w:trHeight w:val="191"/>
        </w:trPr>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Percent of</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Percent of</w:t>
            </w: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Percent of</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rPr>
              <w:t>Percent of</w:t>
            </w:r>
          </w:p>
        </w:tc>
        <w:tc>
          <w:tcPr>
            <w:tcW w:w="140" w:type="dxa"/>
            <w:vAlign w:val="bottom"/>
          </w:tcPr>
          <w:p>
            <w:pPr>
              <w:spacing w:after="0"/>
              <w:rPr>
                <w:sz w:val="16"/>
                <w:szCs w:val="16"/>
                <w:color w:val="auto"/>
              </w:rPr>
            </w:pPr>
          </w:p>
        </w:tc>
      </w:tr>
      <w:tr>
        <w:trPr>
          <w:trHeight w:val="234"/>
        </w:trPr>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Amount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8"/>
              </w:rPr>
              <w:t>Amount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8"/>
              </w:rPr>
              <w:t>Amount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4"/>
              </w:rPr>
              <w:t>Amount</w:t>
            </w:r>
          </w:p>
        </w:tc>
        <w:tc>
          <w:tcPr>
            <w:tcW w:w="8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Net Sales</w:t>
            </w:r>
          </w:p>
        </w:tc>
        <w:tc>
          <w:tcPr>
            <w:tcW w:w="140" w:type="dxa"/>
            <w:vAlign w:val="bottom"/>
          </w:tcPr>
          <w:p>
            <w:pPr>
              <w:spacing w:after="0"/>
              <w:rPr>
                <w:sz w:val="20"/>
                <w:szCs w:val="20"/>
                <w:color w:val="auto"/>
              </w:rPr>
            </w:pPr>
          </w:p>
        </w:tc>
      </w:tr>
      <w:tr>
        <w:trPr>
          <w:trHeight w:val="407"/>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43,760</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52,833</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91,627</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34"/>
        </w:trPr>
        <w:tc>
          <w:tcPr>
            <w:tcW w:w="1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2,701</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1,003</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2,701</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5"/>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46,461</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53,836</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94,328</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111,033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-582295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-299720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sectPr>
      <w:pgSz w:w="11900" w:h="16838" w:orient="portrait"/>
      <w:cols w:equalWidth="0" w:num="2">
        <w:col w:w="2820" w:space="240"/>
        <w:col w:w="8160"/>
      </w:cols>
      <w:pgMar w:left="320" w:top="5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99"/>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2024-07-10T15:35:02Z</dcterms:created>
  <dcterms:modified xsi:type="dcterms:W3CDTF">2024-07-10T15:35:02Z</dcterms:modified>
</cp:coreProperties>
</file>