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jc w:val="center"/>
        <w:ind w:right="2819"/>
        <w:spacing w:after="0"/>
        <w:rPr>
          <w:sz w:val="20"/>
          <w:szCs w:val="20"/>
          <w:color w:val="auto"/>
        </w:rPr>
      </w:pPr>
      <w:r>
        <w:rPr>
          <w:rFonts w:ascii="Courier New" w:cs="Courier New" w:eastAsia="Courier New" w:hAnsi="Courier New"/>
          <w:sz w:val="16"/>
          <w:szCs w:val="16"/>
          <w:color w:val="auto"/>
        </w:rPr>
        <w:t>FORM 10-Q</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79"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Washington, D.C. 20549</w:t>
      </w:r>
    </w:p>
    <w:p>
      <w:pPr>
        <w:spacing w:after="0" w:line="185" w:lineRule="exact"/>
        <w:rPr>
          <w:sz w:val="24"/>
          <w:szCs w:val="24"/>
          <w:color w:val="auto"/>
        </w:rPr>
      </w:pPr>
    </w:p>
    <w:p>
      <w:pPr>
        <w:ind w:left="2060" w:right="3939" w:hanging="938"/>
        <w:spacing w:after="0" w:line="236" w:lineRule="auto"/>
        <w:tabs>
          <w:tab w:leader="none" w:pos="149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FOR THE QUARTERLY PERIOD ENDED FEBRUARY 28, 1998</w:t>
      </w:r>
    </w:p>
    <w:p>
      <w:pPr>
        <w:spacing w:after="0" w:line="179" w:lineRule="exact"/>
        <w:rPr>
          <w:sz w:val="24"/>
          <w:szCs w:val="24"/>
          <w:color w:val="auto"/>
        </w:rPr>
      </w:pPr>
    </w:p>
    <w:p>
      <w:pPr>
        <w:ind w:left="3660"/>
        <w:spacing w:after="0"/>
        <w:rPr>
          <w:sz w:val="20"/>
          <w:szCs w:val="20"/>
          <w:color w:val="auto"/>
        </w:rPr>
      </w:pPr>
      <w:r>
        <w:rPr>
          <w:rFonts w:ascii="Courier New" w:cs="Courier New" w:eastAsia="Courier New" w:hAnsi="Courier New"/>
          <w:sz w:val="16"/>
          <w:szCs w:val="16"/>
          <w:color w:val="auto"/>
        </w:rPr>
        <w:t>OR</w:t>
      </w:r>
    </w:p>
    <w:p>
      <w:pPr>
        <w:spacing w:after="0" w:line="185" w:lineRule="exact"/>
        <w:rPr>
          <w:sz w:val="24"/>
          <w:szCs w:val="24"/>
          <w:color w:val="auto"/>
        </w:rPr>
      </w:pPr>
    </w:p>
    <w:p>
      <w:pPr>
        <w:ind w:left="2060" w:right="3839" w:hanging="1126"/>
        <w:spacing w:after="0" w:line="236" w:lineRule="auto"/>
        <w:tabs>
          <w:tab w:leader="none" w:pos="12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 to ______________</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 0-209</w:t>
      </w:r>
    </w:p>
    <w:p>
      <w:pPr>
        <w:spacing w:after="0" w:line="36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BASSETT FURNITURE INDUSTRIES, INCORPORATED</w:t>
      </w:r>
    </w:p>
    <w:p>
      <w:pPr>
        <w:jc w:val="center"/>
        <w:ind w:right="27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3" w:right="1440" w:bottom="1440" w:gutter="0" w:footer="0" w:header="0"/>
        </w:sectPr>
      </w:pPr>
    </w:p>
    <w:p>
      <w:pPr>
        <w:spacing w:after="0" w:line="179" w:lineRule="exact"/>
        <w:rPr>
          <w:sz w:val="24"/>
          <w:szCs w:val="24"/>
          <w:color w:val="auto"/>
        </w:rPr>
      </w:pPr>
    </w:p>
    <w:p>
      <w:pPr>
        <w:ind w:left="1300"/>
        <w:spacing w:after="0"/>
        <w:rPr>
          <w:sz w:val="20"/>
          <w:szCs w:val="20"/>
          <w:color w:val="auto"/>
        </w:rPr>
      </w:pPr>
      <w:r>
        <w:rPr>
          <w:rFonts w:ascii="Courier New" w:cs="Courier New" w:eastAsia="Courier New" w:hAnsi="Courier New"/>
          <w:sz w:val="16"/>
          <w:szCs w:val="16"/>
          <w:color w:val="auto"/>
        </w:rPr>
        <w:t>Virginia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(State or other jurisdiction</w:t>
      </w:r>
    </w:p>
    <w:p>
      <w:pPr>
        <w:ind w:left="28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54-0135270</w:t>
      </w:r>
    </w:p>
    <w:p>
      <w:pPr>
        <w:ind w:left="280"/>
        <w:spacing w:after="0"/>
        <w:rPr>
          <w:sz w:val="20"/>
          <w:szCs w:val="20"/>
          <w:color w:val="auto"/>
        </w:rPr>
      </w:pPr>
      <w:r>
        <w:rPr>
          <w:rFonts w:ascii="Courier New" w:cs="Courier New" w:eastAsia="Courier New" w:hAnsi="Courier New"/>
          <w:sz w:val="16"/>
          <w:szCs w:val="16"/>
          <w:color w:val="auto"/>
        </w:rPr>
        <w:t>---------------</w:t>
      </w:r>
    </w:p>
    <w:p>
      <w:pPr>
        <w:ind w:left="100"/>
        <w:spacing w:after="0" w:line="237" w:lineRule="auto"/>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6" w:lineRule="exact"/>
        <w:rPr>
          <w:sz w:val="24"/>
          <w:szCs w:val="24"/>
          <w:color w:val="auto"/>
        </w:rPr>
      </w:pPr>
    </w:p>
    <w:p>
      <w:pPr>
        <w:sectPr>
          <w:pgSz w:w="11900" w:h="16838" w:orient="portrait"/>
          <w:cols w:equalWidth="0" w:num="2">
            <w:col w:w="4720" w:space="720"/>
            <w:col w:w="4779"/>
          </w:cols>
          <w:pgMar w:left="240" w:top="233" w:right="1440" w:bottom="1440" w:gutter="0" w:footer="0" w:header="0"/>
          <w:type w:val="continuous"/>
        </w:sectPr>
      </w:pPr>
    </w:p>
    <w:p>
      <w:pPr>
        <w:ind w:left="2620"/>
        <w:spacing w:after="0"/>
        <w:tabs>
          <w:tab w:leader="none" w:pos="4480" w:val="left"/>
        </w:tabs>
        <w:rPr>
          <w:sz w:val="20"/>
          <w:szCs w:val="20"/>
          <w:color w:val="auto"/>
        </w:rPr>
      </w:pPr>
      <w:r>
        <w:rPr>
          <w:rFonts w:ascii="Courier New" w:cs="Courier New" w:eastAsia="Courier New" w:hAnsi="Courier New"/>
          <w:sz w:val="16"/>
          <w:szCs w:val="16"/>
          <w:color w:val="auto"/>
        </w:rPr>
        <w:t>Bassett, Virginia</w:t>
      </w:r>
      <w:r>
        <w:rPr>
          <w:sz w:val="20"/>
          <w:szCs w:val="20"/>
          <w:color w:val="auto"/>
        </w:rPr>
        <w:tab/>
      </w:r>
      <w:r>
        <w:rPr>
          <w:rFonts w:ascii="Courier New" w:cs="Courier New" w:eastAsia="Courier New" w:hAnsi="Courier New"/>
          <w:sz w:val="15"/>
          <w:szCs w:val="15"/>
          <w:color w:val="auto"/>
        </w:rPr>
        <w:t>24055</w:t>
      </w:r>
    </w:p>
    <w:p>
      <w:pPr>
        <w:ind w:left="2620"/>
        <w:spacing w:after="0"/>
        <w:rPr>
          <w:sz w:val="20"/>
          <w:szCs w:val="20"/>
          <w:color w:val="auto"/>
        </w:rPr>
      </w:pPr>
      <w:r>
        <w:rPr>
          <w:rFonts w:ascii="Courier New" w:cs="Courier New" w:eastAsia="Courier New" w:hAnsi="Courier New"/>
          <w:sz w:val="16"/>
          <w:szCs w:val="16"/>
          <w:color w:val="auto"/>
        </w:rPr>
        <w:t>-------------------------</w:t>
      </w:r>
    </w:p>
    <w:p>
      <w:pPr>
        <w:ind w:left="1880"/>
        <w:spacing w:after="0" w:line="237" w:lineRule="auto"/>
        <w:rPr>
          <w:sz w:val="20"/>
          <w:szCs w:val="20"/>
          <w:color w:val="auto"/>
        </w:rPr>
      </w:pPr>
      <w:r>
        <w:rPr>
          <w:rFonts w:ascii="Courier New" w:cs="Courier New" w:eastAsia="Courier New" w:hAnsi="Courier New"/>
          <w:sz w:val="16"/>
          <w:szCs w:val="16"/>
          <w:color w:val="auto"/>
        </w:rPr>
        <w:t>(Address of principal executive offices)</w:t>
      </w:r>
    </w:p>
    <w:p>
      <w:pPr>
        <w:ind w:left="3280"/>
        <w:spacing w:after="0"/>
        <w:rPr>
          <w:sz w:val="20"/>
          <w:szCs w:val="20"/>
          <w:color w:val="auto"/>
        </w:rPr>
      </w:pPr>
      <w:r>
        <w:rPr>
          <w:rFonts w:ascii="Courier New" w:cs="Courier New" w:eastAsia="Courier New" w:hAnsi="Courier New"/>
          <w:sz w:val="16"/>
          <w:szCs w:val="16"/>
          <w:color w:val="auto"/>
        </w:rPr>
        <w:t>(Zip Code)</w:t>
      </w:r>
    </w:p>
    <w:p>
      <w:pPr>
        <w:spacing w:after="0" w:line="35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6"/>
          <w:szCs w:val="16"/>
          <w:color w:val="auto"/>
        </w:rPr>
        <w:t>(540) 629-6000</w:t>
      </w:r>
    </w:p>
    <w:p>
      <w:pPr>
        <w:spacing w:after="0" w:line="4"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color w:val="auto"/>
        </w:rPr>
        <w:t>(Registrant's telephone number, including area code)</w:t>
      </w:r>
    </w:p>
    <w:p>
      <w:pPr>
        <w:sectPr>
          <w:pgSz w:w="11900" w:h="16838" w:orient="portrait"/>
          <w:cols w:equalWidth="0" w:num="1">
            <w:col w:w="10219"/>
          </w:cols>
          <w:pgMar w:left="240" w:top="233" w:right="1440" w:bottom="1440" w:gutter="0" w:footer="0" w:header="0"/>
          <w:type w:val="continuous"/>
        </w:sectPr>
      </w:pPr>
    </w:p>
    <w:p>
      <w:pPr>
        <w:spacing w:after="0" w:line="186"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Indicate by check mark whether the Registrant (1) has filed all</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reports required to be filed by Section 13 or 15(d) of the Securities Exchange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Act of 1934 during the preceding 12 months, and (2) has been subject to such</w:t>
      </w:r>
    </w:p>
    <w:p>
      <w:pPr>
        <w:spacing w:after="0"/>
        <w:tabs>
          <w:tab w:leader="none" w:pos="4000" w:val="left"/>
          <w:tab w:leader="none" w:pos="4760" w:val="left"/>
          <w:tab w:leader="none" w:pos="5600" w:val="left"/>
        </w:tabs>
        <w:rPr>
          <w:sz w:val="20"/>
          <w:szCs w:val="20"/>
          <w:color w:val="auto"/>
        </w:rPr>
      </w:pPr>
      <w:r>
        <w:rPr>
          <w:rFonts w:ascii="Courier New" w:cs="Courier New" w:eastAsia="Courier New" w:hAnsi="Courier New"/>
          <w:sz w:val="16"/>
          <w:szCs w:val="16"/>
          <w:color w:val="auto"/>
        </w:rPr>
        <w:t>filing requirements for the past 90 days.</w:t>
        <w:tab/>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ind w:left="4600"/>
        <w:spacing w:after="0" w:line="237" w:lineRule="auto"/>
        <w:tabs>
          <w:tab w:leader="none" w:pos="5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233" w:right="1440" w:bottom="1440" w:gutter="0" w:footer="0" w:header="0"/>
          <w:type w:val="continuous"/>
        </w:sectPr>
      </w:pPr>
    </w:p>
    <w:p>
      <w:pPr>
        <w:spacing w:after="0" w:line="185" w:lineRule="exact"/>
        <w:rPr>
          <w:sz w:val="24"/>
          <w:szCs w:val="24"/>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At March 20, 1998, 13,054,279 shares of common stock of the Registrant were outstanding.</w:t>
      </w:r>
    </w:p>
    <w:p>
      <w:pPr>
        <w:spacing w:after="0" w:line="360" w:lineRule="exact"/>
        <w:rPr>
          <w:sz w:val="24"/>
          <w:szCs w:val="24"/>
          <w:color w:val="auto"/>
        </w:rPr>
      </w:pPr>
    </w:p>
    <w:p>
      <w:pPr>
        <w:ind w:left="3180"/>
        <w:spacing w:after="0"/>
        <w:rPr>
          <w:sz w:val="20"/>
          <w:szCs w:val="20"/>
          <w:color w:val="auto"/>
        </w:rPr>
      </w:pPr>
      <w:r>
        <w:rPr>
          <w:rFonts w:ascii="Courier New" w:cs="Courier New" w:eastAsia="Courier New" w:hAnsi="Courier New"/>
          <w:sz w:val="16"/>
          <w:szCs w:val="16"/>
          <w:color w:val="auto"/>
        </w:rPr>
        <w:t>Page 1 of 12</w:t>
      </w:r>
    </w:p>
    <w:p>
      <w:pPr>
        <w:sectPr>
          <w:pgSz w:w="11900" w:h="16838" w:orient="portrait"/>
          <w:cols w:equalWidth="0" w:num="1">
            <w:col w:w="10219"/>
          </w:cols>
          <w:pgMar w:left="240" w:top="233"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PART I - FINANCIAL INFORMATION</w:t>
      </w:r>
    </w:p>
    <w:p>
      <w:pPr>
        <w:ind w:left="1780"/>
        <w:spacing w:after="0"/>
        <w:rPr>
          <w:sz w:val="20"/>
          <w:szCs w:val="20"/>
          <w:color w:val="auto"/>
        </w:rPr>
      </w:pPr>
      <w:r>
        <w:rPr>
          <w:rFonts w:ascii="Courier New" w:cs="Courier New" w:eastAsia="Courier New" w:hAnsi="Courier New"/>
          <w:sz w:val="16"/>
          <w:szCs w:val="16"/>
          <w:color w:val="auto"/>
        </w:rPr>
        <w:t>BASSETT FURNITURE INDUSTRIES, INCORPORATED</w:t>
      </w:r>
    </w:p>
    <w:p>
      <w:pPr>
        <w:ind w:left="1300"/>
        <w:spacing w:after="0"/>
        <w:tabs>
          <w:tab w:leader="none" w:pos="2980" w:val="left"/>
        </w:tabs>
        <w:rPr>
          <w:sz w:val="20"/>
          <w:szCs w:val="20"/>
          <w:color w:val="auto"/>
        </w:rPr>
      </w:pPr>
      <w:r>
        <w:rPr>
          <w:rFonts w:ascii="Courier New" w:cs="Courier New" w:eastAsia="Courier New" w:hAnsi="Courier New"/>
          <w:sz w:val="16"/>
          <w:szCs w:val="16"/>
          <w:color w:val="auto"/>
        </w:rPr>
        <w:t>AND SUBSIDIARIES</w:t>
      </w:r>
      <w:r>
        <w:rPr>
          <w:sz w:val="20"/>
          <w:szCs w:val="20"/>
          <w:color w:val="auto"/>
        </w:rPr>
        <w:tab/>
      </w:r>
      <w:r>
        <w:rPr>
          <w:rFonts w:ascii="Courier New" w:cs="Courier New" w:eastAsia="Courier New" w:hAnsi="Courier New"/>
          <w:sz w:val="15"/>
          <w:szCs w:val="15"/>
          <w:color w:val="auto"/>
        </w:rPr>
        <w:t>CONDENSED CONSOLIDATED STATEMENTS</w:t>
      </w:r>
    </w:p>
    <w:p>
      <w:pPr>
        <w:ind w:left="1680"/>
        <w:spacing w:after="0"/>
        <w:rPr>
          <w:sz w:val="20"/>
          <w:szCs w:val="20"/>
          <w:color w:val="auto"/>
        </w:rPr>
      </w:pPr>
      <w:r>
        <w:rPr>
          <w:rFonts w:ascii="Courier New" w:cs="Courier New" w:eastAsia="Courier New" w:hAnsi="Courier New"/>
          <w:sz w:val="16"/>
          <w:szCs w:val="16"/>
          <w:color w:val="auto"/>
        </w:rPr>
        <w:t>OF INCOME AND RETAINED EARNINGS - UNAUDITED</w:t>
      </w:r>
    </w:p>
    <w:p>
      <w:pPr>
        <w:ind w:left="1020"/>
        <w:spacing w:after="0" w:line="238" w:lineRule="auto"/>
        <w:rPr>
          <w:sz w:val="20"/>
          <w:szCs w:val="20"/>
          <w:color w:val="auto"/>
        </w:rPr>
      </w:pPr>
      <w:r>
        <w:rPr>
          <w:rFonts w:ascii="Courier New" w:cs="Courier New" w:eastAsia="Courier New" w:hAnsi="Courier New"/>
          <w:sz w:val="16"/>
          <w:szCs w:val="16"/>
          <w:color w:val="auto"/>
        </w:rPr>
        <w:t>FOR THE 13 WEEKS ENDED FEBRUARY 28, 1998 AND THE 3 MONTHS</w:t>
      </w:r>
    </w:p>
    <w:p>
      <w:pPr>
        <w:ind w:left="2340"/>
        <w:spacing w:after="0"/>
        <w:rPr>
          <w:sz w:val="20"/>
          <w:szCs w:val="20"/>
          <w:color w:val="auto"/>
        </w:rPr>
      </w:pPr>
      <w:r>
        <w:rPr>
          <w:rFonts w:ascii="Courier New" w:cs="Courier New" w:eastAsia="Courier New" w:hAnsi="Courier New"/>
          <w:sz w:val="16"/>
          <w:szCs w:val="16"/>
          <w:color w:val="auto"/>
        </w:rPr>
        <w:t>ENDED FEBRUARY 28, 1997 (NOTE A)</w:t>
      </w:r>
    </w:p>
    <w:tbl>
      <w:tblPr>
        <w:tblLayout w:type="fixed"/>
        <w:tblInd w:w="0" w:type="dxa"/>
        <w:tblCellMar>
          <w:top w:w="0" w:type="dxa"/>
          <w:left w:w="0" w:type="dxa"/>
          <w:bottom w:w="0" w:type="dxa"/>
          <w:right w:w="0" w:type="dxa"/>
        </w:tblCellMar>
      </w:tblPr>
      <w:tr>
        <w:trPr>
          <w:trHeight w:val="180"/>
        </w:trPr>
        <w:tc>
          <w:tcPr>
            <w:tcW w:w="5680" w:type="dxa"/>
            <w:vAlign w:val="bottom"/>
          </w:tcPr>
          <w:p>
            <w:pPr>
              <w:ind w:left="2060"/>
              <w:spacing w:after="0" w:line="180" w:lineRule="exact"/>
              <w:rPr>
                <w:sz w:val="20"/>
                <w:szCs w:val="20"/>
                <w:color w:val="auto"/>
              </w:rPr>
            </w:pPr>
            <w:r>
              <w:rPr>
                <w:rFonts w:ascii="Courier New" w:cs="Courier New" w:eastAsia="Courier New" w:hAnsi="Courier New"/>
                <w:sz w:val="16"/>
                <w:szCs w:val="16"/>
                <w:color w:val="auto"/>
              </w:rPr>
              <w:t>(In thousands except per share data)</w:t>
            </w:r>
          </w:p>
        </w:tc>
        <w:tc>
          <w:tcPr>
            <w:tcW w:w="18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902"/>
        </w:trPr>
        <w:tc>
          <w:tcPr>
            <w:tcW w:w="5680" w:type="dxa"/>
            <w:vAlign w:val="bottom"/>
          </w:tcPr>
          <w:p>
            <w:pPr>
              <w:spacing w:after="0"/>
              <w:rPr>
                <w:sz w:val="24"/>
                <w:szCs w:val="24"/>
                <w:color w:val="auto"/>
              </w:rPr>
            </w:pPr>
          </w:p>
        </w:tc>
        <w:tc>
          <w:tcPr>
            <w:tcW w:w="18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1998</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56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$98,333</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$109,806</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5680" w:type="dxa"/>
            <w:vAlign w:val="bottom"/>
          </w:tcPr>
          <w:p>
            <w:pPr>
              <w:ind w:left="380"/>
              <w:spacing w:after="0"/>
              <w:rPr>
                <w:sz w:val="20"/>
                <w:szCs w:val="20"/>
                <w:color w:val="auto"/>
              </w:rPr>
            </w:pPr>
            <w:r>
              <w:rPr>
                <w:rFonts w:ascii="Courier New" w:cs="Courier New" w:eastAsia="Courier New" w:hAnsi="Courier New"/>
                <w:sz w:val="16"/>
                <w:szCs w:val="16"/>
                <w:color w:val="auto"/>
              </w:rPr>
              <w:t>Cost of sales</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80,751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91,573</w:t>
            </w:r>
          </w:p>
        </w:tc>
      </w:tr>
      <w:tr>
        <w:trPr>
          <w:trHeight w:val="180"/>
        </w:trPr>
        <w:tc>
          <w:tcPr>
            <w:tcW w:w="5680" w:type="dxa"/>
            <w:vAlign w:val="bottom"/>
          </w:tcPr>
          <w:p>
            <w:pPr>
              <w:ind w:left="380"/>
              <w:spacing w:after="0"/>
              <w:rPr>
                <w:sz w:val="20"/>
                <w:szCs w:val="20"/>
                <w:color w:val="auto"/>
              </w:rPr>
            </w:pPr>
            <w:r>
              <w:rPr>
                <w:rFonts w:ascii="Courier New" w:cs="Courier New" w:eastAsia="Courier New" w:hAnsi="Courier New"/>
                <w:sz w:val="16"/>
                <w:szCs w:val="16"/>
                <w:color w:val="auto"/>
              </w:rPr>
              <w:t>Selling, general and administrative</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15,779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15,848</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96,530</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107,421</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1,803</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2,385</w:t>
            </w:r>
          </w:p>
        </w:tc>
      </w:tr>
      <w:tr>
        <w:trPr>
          <w:trHeight w:val="180"/>
        </w:trPr>
        <w:tc>
          <w:tcPr>
            <w:tcW w:w="568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2,747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2,078</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4,550</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4,463</w:t>
            </w:r>
          </w:p>
        </w:tc>
      </w:tr>
      <w:tr>
        <w:trPr>
          <w:trHeight w:val="180"/>
        </w:trPr>
        <w:tc>
          <w:tcPr>
            <w:tcW w:w="56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1,115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1,030</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3,435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3,433</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Retained earnings - beginning of period</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188,761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222,417</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Cash dividends</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(2,610)</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(5,230)</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spacing w:after="0"/>
              <w:rPr>
                <w:sz w:val="20"/>
                <w:szCs w:val="20"/>
                <w:color w:val="auto"/>
              </w:rPr>
            </w:pPr>
            <w:r>
              <w:rPr>
                <w:rFonts w:ascii="Courier New" w:cs="Courier New" w:eastAsia="Courier New" w:hAnsi="Courier New"/>
                <w:sz w:val="16"/>
                <w:szCs w:val="16"/>
                <w:color w:val="auto"/>
              </w:rPr>
              <w:t>Retained earnings - end of period</w:t>
            </w: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$189,586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$220,620</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568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8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8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DIVIDENDS PER SHARE</w:t>
            </w:r>
          </w:p>
        </w:tc>
        <w:tc>
          <w:tcPr>
            <w:tcW w:w="18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0"/>
        </w:trPr>
        <w:tc>
          <w:tcPr>
            <w:tcW w:w="5680" w:type="dxa"/>
            <w:vAlign w:val="bottom"/>
          </w:tcPr>
          <w:p>
            <w:pPr>
              <w:spacing w:after="0"/>
              <w:rPr>
                <w:sz w:val="15"/>
                <w:szCs w:val="15"/>
                <w:color w:val="auto"/>
              </w:rPr>
            </w:pPr>
          </w:p>
        </w:tc>
        <w:tc>
          <w:tcPr>
            <w:tcW w:w="18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The accompanying notes to condensed consolidated financial statements are an integral part of the condensed consolidated financial statements.</w:t>
      </w:r>
    </w:p>
    <w:p>
      <w:pPr>
        <w:spacing w:after="0" w:line="360" w:lineRule="exact"/>
        <w:rPr>
          <w:sz w:val="20"/>
          <w:szCs w:val="20"/>
          <w:color w:val="auto"/>
        </w:rPr>
      </w:pPr>
    </w:p>
    <w:p>
      <w:pPr>
        <w:ind w:left="3100"/>
        <w:spacing w:after="0"/>
        <w:tabs>
          <w:tab w:leader="none" w:pos="4100" w:val="left"/>
        </w:tabs>
        <w:rPr>
          <w:sz w:val="20"/>
          <w:szCs w:val="20"/>
          <w:color w:val="auto"/>
        </w:rPr>
      </w:pPr>
      <w:r>
        <w:rPr>
          <w:rFonts w:ascii="Courier New" w:cs="Courier New" w:eastAsia="Courier New" w:hAnsi="Courier New"/>
          <w:sz w:val="16"/>
          <w:szCs w:val="16"/>
          <w:color w:val="auto"/>
        </w:rPr>
        <w:t>Page 2 of</w:t>
        <w:tab/>
        <w:t>12</w:t>
      </w:r>
    </w:p>
    <w:p>
      <w:pPr>
        <w:sectPr>
          <w:pgSz w:w="11900" w:h="16838" w:orient="portrait"/>
          <w:cols w:equalWidth="0" w:num="1">
            <w:col w:w="10219"/>
          </w:cols>
          <w:pgMar w:left="240" w:top="293"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ind w:left="1680"/>
        <w:spacing w:after="0"/>
        <w:rPr>
          <w:sz w:val="20"/>
          <w:szCs w:val="20"/>
          <w:color w:val="auto"/>
        </w:rPr>
      </w:pPr>
      <w:r>
        <w:rPr>
          <w:rFonts w:ascii="Courier New" w:cs="Courier New" w:eastAsia="Courier New" w:hAnsi="Courier New"/>
          <w:sz w:val="16"/>
          <w:szCs w:val="16"/>
          <w:color w:val="auto"/>
        </w:rPr>
        <w:t>PART I - FINANCIAL INFORMATION - CONTINUED</w:t>
      </w:r>
    </w:p>
    <w:p>
      <w:pPr>
        <w:ind w:left="940"/>
        <w:spacing w:after="0" w:line="237" w:lineRule="auto"/>
        <w:rPr>
          <w:sz w:val="20"/>
          <w:szCs w:val="20"/>
          <w:color w:val="auto"/>
        </w:rPr>
      </w:pPr>
      <w:r>
        <w:rPr>
          <w:rFonts w:ascii="Courier New" w:cs="Courier New" w:eastAsia="Courier New" w:hAnsi="Courier New"/>
          <w:sz w:val="16"/>
          <w:szCs w:val="16"/>
          <w:color w:val="auto"/>
        </w:rPr>
        <w:t>BASSETT FURNITURE INDUSTRIES, INCORPORATED AND SUBSIDIARIES</w:t>
      </w:r>
    </w:p>
    <w:p>
      <w:pPr>
        <w:ind w:left="1400"/>
        <w:spacing w:after="0"/>
        <w:rPr>
          <w:sz w:val="20"/>
          <w:szCs w:val="20"/>
          <w:color w:val="auto"/>
        </w:rPr>
      </w:pPr>
      <w:r>
        <w:rPr>
          <w:rFonts w:ascii="Courier New" w:cs="Courier New" w:eastAsia="Courier New" w:hAnsi="Courier New"/>
          <w:sz w:val="16"/>
          <w:szCs w:val="16"/>
          <w:color w:val="auto"/>
        </w:rPr>
        <w:t>CONDENSED CONSOLIDATED BALANCE SHEETS - UNAUDITED</w:t>
      </w:r>
    </w:p>
    <w:p>
      <w:pPr>
        <w:ind w:left="1880"/>
        <w:spacing w:after="0" w:line="238" w:lineRule="auto"/>
        <w:rPr>
          <w:sz w:val="20"/>
          <w:szCs w:val="20"/>
          <w:color w:val="auto"/>
        </w:rPr>
      </w:pPr>
      <w:r>
        <w:rPr>
          <w:rFonts w:ascii="Courier New" w:cs="Courier New" w:eastAsia="Courier New" w:hAnsi="Courier New"/>
          <w:sz w:val="16"/>
          <w:szCs w:val="16"/>
          <w:color w:val="auto"/>
        </w:rPr>
        <w:t>February 28, 1998 and November 30, 1997</w:t>
      </w:r>
    </w:p>
    <w:tbl>
      <w:tblPr>
        <w:tblLayout w:type="fixed"/>
        <w:tblInd w:w="0" w:type="dxa"/>
        <w:tblCellMar>
          <w:top w:w="0" w:type="dxa"/>
          <w:left w:w="0" w:type="dxa"/>
          <w:bottom w:w="0" w:type="dxa"/>
          <w:right w:w="0" w:type="dxa"/>
        </w:tblCellMar>
      </w:tblPr>
      <w:tr>
        <w:trPr>
          <w:trHeight w:val="181"/>
        </w:trPr>
        <w:tc>
          <w:tcPr>
            <w:tcW w:w="7460" w:type="dxa"/>
            <w:vAlign w:val="bottom"/>
            <w:gridSpan w:val="2"/>
          </w:tcPr>
          <w:p>
            <w:pPr>
              <w:ind w:left="2060"/>
              <w:spacing w:after="0"/>
              <w:rPr>
                <w:sz w:val="20"/>
                <w:szCs w:val="20"/>
                <w:color w:val="auto"/>
              </w:rPr>
            </w:pPr>
            <w:r>
              <w:rPr>
                <w:rFonts w:ascii="Courier New" w:cs="Courier New" w:eastAsia="Courier New" w:hAnsi="Courier New"/>
                <w:sz w:val="16"/>
                <w:szCs w:val="16"/>
                <w:color w:val="auto"/>
              </w:rPr>
              <w:t>(in thousands except per share data)</w:t>
            </w:r>
          </w:p>
        </w:tc>
        <w:tc>
          <w:tcPr>
            <w:tcW w:w="19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721"/>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Assets</w:t>
            </w:r>
          </w:p>
        </w:tc>
        <w:tc>
          <w:tcPr>
            <w:tcW w:w="3380" w:type="dxa"/>
            <w:vAlign w:val="bottom"/>
          </w:tcPr>
          <w:p>
            <w:pPr>
              <w:spacing w:after="0"/>
              <w:rPr>
                <w:sz w:val="24"/>
                <w:szCs w:val="24"/>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1998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Current assets:</w:t>
            </w:r>
          </w:p>
        </w:tc>
        <w:tc>
          <w:tcPr>
            <w:tcW w:w="3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Cash &amp; cash equivalents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$31,864</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$29,552</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Marketable securities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49,115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49,985</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Trade accounts receivable, net</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53,418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57,327</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Inventories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41,137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41,714</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Prepaid expenses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1,324</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1,405</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Refundable income taxes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4,904</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5,025</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Deferred income taxes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13,971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15,476</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Total current assets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195,733</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200,484</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Property &amp; equipment:</w:t>
            </w:r>
          </w:p>
        </w:tc>
        <w:tc>
          <w:tcPr>
            <w:tcW w:w="3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080" w:type="dxa"/>
            <w:vAlign w:val="bottom"/>
          </w:tcPr>
          <w:p>
            <w:pPr>
              <w:ind w:left="660"/>
              <w:spacing w:after="0"/>
              <w:rPr>
                <w:sz w:val="20"/>
                <w:szCs w:val="20"/>
                <w:color w:val="auto"/>
              </w:rPr>
            </w:pPr>
            <w:r>
              <w:rPr>
                <w:rFonts w:ascii="Courier New" w:cs="Courier New" w:eastAsia="Courier New" w:hAnsi="Courier New"/>
                <w:sz w:val="16"/>
                <w:szCs w:val="16"/>
                <w:color w:val="auto"/>
              </w:rPr>
              <w:t>Cost</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169,539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168,026</w:t>
            </w:r>
          </w:p>
        </w:tc>
      </w:tr>
      <w:tr>
        <w:trPr>
          <w:trHeight w:val="180"/>
        </w:trPr>
        <w:tc>
          <w:tcPr>
            <w:tcW w:w="4080" w:type="dxa"/>
            <w:vAlign w:val="bottom"/>
          </w:tcPr>
          <w:p>
            <w:pPr>
              <w:ind w:left="660"/>
              <w:spacing w:after="0"/>
              <w:rPr>
                <w:sz w:val="20"/>
                <w:szCs w:val="20"/>
                <w:color w:val="auto"/>
              </w:rPr>
            </w:pPr>
            <w:r>
              <w:rPr>
                <w:rFonts w:ascii="Courier New" w:cs="Courier New" w:eastAsia="Courier New" w:hAnsi="Courier New"/>
                <w:sz w:val="16"/>
                <w:szCs w:val="16"/>
                <w:color w:val="auto"/>
              </w:rPr>
              <w:t>Allowances for depreciation</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(126,308)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(124,547)</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Net property &amp; equipment</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43,231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43,479</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Other long-term assets:</w:t>
            </w:r>
          </w:p>
        </w:tc>
        <w:tc>
          <w:tcPr>
            <w:tcW w:w="3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Investment securities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30,308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29,922</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Investment in affiliated companies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31,667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30,502</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Deferred income taxes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1,946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1,866</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Assets held for sale</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3,623</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3,506</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Other</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10,679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10,566</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Total other long-term assets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78,223</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76,362</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$317,187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$320,325</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Liabilities and stockholders' equity</w:t>
            </w:r>
          </w:p>
        </w:tc>
        <w:tc>
          <w:tcPr>
            <w:tcW w:w="3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Current liabilities:</w:t>
            </w:r>
          </w:p>
        </w:tc>
        <w:tc>
          <w:tcPr>
            <w:tcW w:w="3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Accounts payable</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$17,091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$21,694</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Accrued compensation</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1,616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4,910</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Other accrued liabilities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24,255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21,303</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Total current liabilities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42,962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47,907</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Long-term liabilities:</w:t>
            </w:r>
          </w:p>
        </w:tc>
        <w:tc>
          <w:tcPr>
            <w:tcW w:w="3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Employee benefits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11,426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11,248</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Total long-term liabilities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11,426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11,248</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Stockholders' equity:</w:t>
            </w:r>
          </w:p>
        </w:tc>
        <w:tc>
          <w:tcPr>
            <w:tcW w:w="3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Common stock</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65,276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65,256</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Additional paid in capital</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2,508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2,438</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Retained earnings</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189,586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188,761</w:t>
            </w:r>
          </w:p>
        </w:tc>
      </w:tr>
      <w:tr>
        <w:trPr>
          <w:trHeight w:val="180"/>
        </w:trPr>
        <w:tc>
          <w:tcPr>
            <w:tcW w:w="746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Unrealized holding gains, net of income tax effect</w:t>
            </w: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6,245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5,575</w:t>
            </w:r>
          </w:p>
        </w:tc>
      </w:tr>
      <w:tr>
        <w:trPr>
          <w:trHeight w:val="180"/>
        </w:trPr>
        <w:tc>
          <w:tcPr>
            <w:tcW w:w="4080" w:type="dxa"/>
            <w:vAlign w:val="bottom"/>
          </w:tcPr>
          <w:p>
            <w:pPr>
              <w:ind w:left="560"/>
              <w:spacing w:after="0"/>
              <w:rPr>
                <w:sz w:val="20"/>
                <w:szCs w:val="20"/>
                <w:color w:val="auto"/>
              </w:rPr>
            </w:pPr>
            <w:r>
              <w:rPr>
                <w:rFonts w:ascii="Courier New" w:cs="Courier New" w:eastAsia="Courier New" w:hAnsi="Courier New"/>
                <w:sz w:val="16"/>
                <w:szCs w:val="16"/>
                <w:color w:val="auto"/>
              </w:rPr>
              <w:t>Unamortized stock compensation</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(816)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(860)</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Total stockholders' equity</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262,799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261,170</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w w:val="98"/>
              </w:rPr>
              <w:t>Total liabilities and stockholders' equity</w:t>
            </w: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$317,187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$320,325</w:t>
            </w:r>
          </w:p>
        </w:tc>
      </w:tr>
      <w:tr>
        <w:trPr>
          <w:trHeight w:val="180"/>
        </w:trPr>
        <w:tc>
          <w:tcPr>
            <w:tcW w:w="4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902"/>
        </w:trPr>
        <w:tc>
          <w:tcPr>
            <w:tcW w:w="7460" w:type="dxa"/>
            <w:vAlign w:val="bottom"/>
            <w:gridSpan w:val="2"/>
          </w:tcPr>
          <w:p>
            <w:pPr>
              <w:spacing w:after="0"/>
              <w:rPr>
                <w:sz w:val="20"/>
                <w:szCs w:val="20"/>
                <w:color w:val="auto"/>
              </w:rPr>
            </w:pPr>
            <w:r>
              <w:rPr>
                <w:rFonts w:ascii="Courier New" w:cs="Courier New" w:eastAsia="Courier New" w:hAnsi="Courier New"/>
                <w:sz w:val="16"/>
                <w:szCs w:val="16"/>
                <w:color w:val="auto"/>
              </w:rPr>
              <w:t>The accompanying notes to condensed consolidated financial statements are an</w:t>
            </w: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w w:val="98"/>
              </w:rPr>
              <w:t>integral part of the condensed consolidated</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w:t>
            </w:r>
          </w:p>
        </w:tc>
        <w:tc>
          <w:tcPr>
            <w:tcW w:w="19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61"/>
        </w:trPr>
        <w:tc>
          <w:tcPr>
            <w:tcW w:w="4080" w:type="dxa"/>
            <w:vAlign w:val="bottom"/>
          </w:tcPr>
          <w:p>
            <w:pPr>
              <w:ind w:left="3100"/>
              <w:spacing w:after="0"/>
              <w:rPr>
                <w:sz w:val="20"/>
                <w:szCs w:val="20"/>
                <w:color w:val="auto"/>
              </w:rPr>
            </w:pPr>
            <w:r>
              <w:rPr>
                <w:rFonts w:ascii="Courier New" w:cs="Courier New" w:eastAsia="Courier New" w:hAnsi="Courier New"/>
                <w:sz w:val="16"/>
                <w:szCs w:val="16"/>
                <w:color w:val="auto"/>
              </w:rPr>
              <w:t>Page 3 of</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980"/>
          </w:cols>
          <w:pgMar w:left="240" w:top="293" w:right="67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ind w:left="1680"/>
        <w:spacing w:after="0"/>
        <w:rPr>
          <w:sz w:val="20"/>
          <w:szCs w:val="20"/>
          <w:color w:val="auto"/>
        </w:rPr>
      </w:pPr>
      <w:r>
        <w:rPr>
          <w:rFonts w:ascii="Courier New" w:cs="Courier New" w:eastAsia="Courier New" w:hAnsi="Courier New"/>
          <w:sz w:val="16"/>
          <w:szCs w:val="16"/>
          <w:color w:val="auto"/>
        </w:rPr>
        <w:t>PART I - FINANCIAL INFORMATION - CONTINUED</w:t>
      </w:r>
    </w:p>
    <w:p>
      <w:pPr>
        <w:spacing w:after="0" w:line="3" w:lineRule="exact"/>
        <w:rPr>
          <w:sz w:val="20"/>
          <w:szCs w:val="20"/>
          <w:color w:val="auto"/>
        </w:rPr>
      </w:pPr>
    </w:p>
    <w:p>
      <w:pPr>
        <w:jc w:val="center"/>
        <w:ind w:right="3000"/>
        <w:spacing w:after="0" w:line="237" w:lineRule="auto"/>
        <w:rPr>
          <w:sz w:val="20"/>
          <w:szCs w:val="20"/>
          <w:color w:val="auto"/>
        </w:rPr>
      </w:pPr>
      <w:r>
        <w:rPr>
          <w:rFonts w:ascii="Courier New" w:cs="Courier New" w:eastAsia="Courier New" w:hAnsi="Courier New"/>
          <w:sz w:val="16"/>
          <w:szCs w:val="16"/>
          <w:color w:val="auto"/>
        </w:rPr>
        <w:t>BASSETT FURNITURE INDUSTRIES, INCORPORATED AND SUBSIDIARIES CONDENSED CONSOLIDATED STATEMENTS OF CASH FLOWS - UNAUDITED FOR THE 13 WEEKS ENDED FEBRUARY 28, 1998 AND THE THREE MONTHS ENDED FEBRUARY 28, 1997 (NOTE A)</w:t>
      </w:r>
    </w:p>
    <w:p>
      <w:pPr>
        <w:spacing w:after="0" w:line="1"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1998</w:t>
            </w:r>
          </w:p>
        </w:tc>
        <w:tc>
          <w:tcPr>
            <w:tcW w:w="17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40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100" w:type="dxa"/>
            <w:vAlign w:val="bottom"/>
          </w:tcPr>
          <w:p>
            <w:pPr>
              <w:spacing w:after="0"/>
              <w:rPr>
                <w:sz w:val="24"/>
                <w:szCs w:val="24"/>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$ 3,435</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$ 3,433</w:t>
            </w:r>
          </w:p>
        </w:tc>
      </w:tr>
      <w:tr>
        <w:trPr>
          <w:trHeight w:val="180"/>
        </w:trPr>
        <w:tc>
          <w:tcPr>
            <w:tcW w:w="71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provided by operating activities:</w:t>
            </w:r>
          </w:p>
        </w:tc>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4080" w:type="dxa"/>
            <w:vAlign w:val="bottom"/>
          </w:tcPr>
          <w:p>
            <w:pPr>
              <w:ind w:left="840"/>
              <w:spacing w:after="0"/>
              <w:rPr>
                <w:sz w:val="20"/>
                <w:szCs w:val="20"/>
                <w:color w:val="auto"/>
              </w:rPr>
            </w:pPr>
            <w:r>
              <w:rPr>
                <w:rFonts w:ascii="Courier New" w:cs="Courier New" w:eastAsia="Courier New" w:hAnsi="Courier New"/>
                <w:sz w:val="16"/>
                <w:szCs w:val="16"/>
                <w:color w:val="auto"/>
              </w:rPr>
              <w:t>Depreciation and amortization</w:t>
            </w: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1,611</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1,759</w:t>
            </w:r>
          </w:p>
        </w:tc>
      </w:tr>
      <w:tr>
        <w:trPr>
          <w:trHeight w:val="180"/>
        </w:trPr>
        <w:tc>
          <w:tcPr>
            <w:tcW w:w="718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Amortization of stock compensation expense</w:t>
            </w: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44</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18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Equity in undistributed income of affiliated companies</w:t>
            </w: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(1,165)</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(1,136)</w:t>
            </w:r>
          </w:p>
        </w:tc>
      </w:tr>
      <w:tr>
        <w:trPr>
          <w:trHeight w:val="180"/>
        </w:trPr>
        <w:tc>
          <w:tcPr>
            <w:tcW w:w="718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Provision for losses on trade accounts receivable</w:t>
            </w: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61</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w:t>
            </w:r>
          </w:p>
        </w:tc>
      </w:tr>
      <w:tr>
        <w:trPr>
          <w:trHeight w:val="180"/>
        </w:trPr>
        <w:tc>
          <w:tcPr>
            <w:tcW w:w="718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Net gain from sales of investment securities</w:t>
            </w: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(35)</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18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Net gain from sales of property &amp; equipment</w:t>
            </w: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(178)</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r>
      <w:tr>
        <w:trPr>
          <w:trHeight w:val="180"/>
        </w:trPr>
        <w:tc>
          <w:tcPr>
            <w:tcW w:w="4080" w:type="dxa"/>
            <w:vAlign w:val="bottom"/>
          </w:tcPr>
          <w:p>
            <w:pPr>
              <w:ind w:left="840"/>
              <w:spacing w:after="0"/>
              <w:rPr>
                <w:sz w:val="20"/>
                <w:szCs w:val="20"/>
                <w:color w:val="auto"/>
              </w:rPr>
            </w:pPr>
            <w:r>
              <w:rPr>
                <w:rFonts w:ascii="Courier New" w:cs="Courier New" w:eastAsia="Courier New" w:hAnsi="Courier New"/>
                <w:sz w:val="16"/>
                <w:szCs w:val="16"/>
                <w:color w:val="auto"/>
              </w:rPr>
              <w:t>Deferred income taxes</w:t>
            </w: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1,425</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w:t>
            </w:r>
          </w:p>
        </w:tc>
      </w:tr>
      <w:tr>
        <w:trPr>
          <w:trHeight w:val="180"/>
        </w:trPr>
        <w:tc>
          <w:tcPr>
            <w:tcW w:w="4080" w:type="dxa"/>
            <w:vAlign w:val="bottom"/>
          </w:tcPr>
          <w:p>
            <w:pPr>
              <w:ind w:left="840"/>
              <w:spacing w:after="0"/>
              <w:rPr>
                <w:sz w:val="20"/>
                <w:szCs w:val="20"/>
                <w:color w:val="auto"/>
              </w:rPr>
            </w:pPr>
            <w:r>
              <w:rPr>
                <w:rFonts w:ascii="Courier New" w:cs="Courier New" w:eastAsia="Courier New" w:hAnsi="Courier New"/>
                <w:sz w:val="16"/>
                <w:szCs w:val="16"/>
                <w:color w:val="auto"/>
              </w:rPr>
              <w:t>Refundable income taxes</w:t>
            </w: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121</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1,011</w:t>
            </w:r>
          </w:p>
        </w:tc>
      </w:tr>
      <w:tr>
        <w:trPr>
          <w:trHeight w:val="180"/>
        </w:trPr>
        <w:tc>
          <w:tcPr>
            <w:tcW w:w="4080" w:type="dxa"/>
            <w:vAlign w:val="bottom"/>
          </w:tcPr>
          <w:p>
            <w:pPr>
              <w:ind w:left="840"/>
              <w:spacing w:after="0"/>
              <w:rPr>
                <w:sz w:val="20"/>
                <w:szCs w:val="20"/>
                <w:color w:val="auto"/>
              </w:rPr>
            </w:pPr>
            <w:r>
              <w:rPr>
                <w:rFonts w:ascii="Courier New" w:cs="Courier New" w:eastAsia="Courier New" w:hAnsi="Courier New"/>
                <w:sz w:val="16"/>
                <w:szCs w:val="16"/>
                <w:color w:val="auto"/>
              </w:rPr>
              <w:t>Changes in deferred liabilities</w:t>
            </w: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178</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0"/>
        </w:trPr>
        <w:tc>
          <w:tcPr>
            <w:tcW w:w="718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Changes in operating assets &amp; liabilities:</w:t>
            </w: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4080" w:type="dxa"/>
            <w:vAlign w:val="bottom"/>
          </w:tcPr>
          <w:p>
            <w:pPr>
              <w:ind w:left="1600"/>
              <w:spacing w:after="0"/>
              <w:rPr>
                <w:sz w:val="20"/>
                <w:szCs w:val="20"/>
                <w:color w:val="auto"/>
              </w:rPr>
            </w:pPr>
            <w:r>
              <w:rPr>
                <w:rFonts w:ascii="Courier New" w:cs="Courier New" w:eastAsia="Courier New" w:hAnsi="Courier New"/>
                <w:sz w:val="16"/>
                <w:szCs w:val="16"/>
                <w:color w:val="auto"/>
              </w:rPr>
              <w:t>Trade accounts receivable</w:t>
            </w: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3,848</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(281)</w:t>
            </w:r>
          </w:p>
        </w:tc>
      </w:tr>
      <w:tr>
        <w:trPr>
          <w:trHeight w:val="180"/>
        </w:trPr>
        <w:tc>
          <w:tcPr>
            <w:tcW w:w="4080" w:type="dxa"/>
            <w:vAlign w:val="bottom"/>
          </w:tcPr>
          <w:p>
            <w:pPr>
              <w:ind w:left="1600"/>
              <w:spacing w:after="0"/>
              <w:rPr>
                <w:sz w:val="20"/>
                <w:szCs w:val="20"/>
                <w:color w:val="auto"/>
              </w:rPr>
            </w:pPr>
            <w:r>
              <w:rPr>
                <w:rFonts w:ascii="Courier New" w:cs="Courier New" w:eastAsia="Courier New" w:hAnsi="Courier New"/>
                <w:sz w:val="16"/>
                <w:szCs w:val="16"/>
                <w:color w:val="auto"/>
              </w:rPr>
              <w:t>Other receivables</w:t>
            </w:r>
          </w:p>
        </w:tc>
        <w:tc>
          <w:tcPr>
            <w:tcW w:w="3100" w:type="dxa"/>
            <w:vAlign w:val="bottom"/>
          </w:tcPr>
          <w:p>
            <w:pPr>
              <w:spacing w:after="0"/>
              <w:rPr>
                <w:sz w:val="15"/>
                <w:szCs w:val="15"/>
                <w:color w:val="auto"/>
              </w:rPr>
            </w:pP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(113)</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(1,101)</w:t>
            </w:r>
          </w:p>
        </w:tc>
      </w:tr>
      <w:tr>
        <w:trPr>
          <w:trHeight w:val="180"/>
        </w:trPr>
        <w:tc>
          <w:tcPr>
            <w:tcW w:w="4080" w:type="dxa"/>
            <w:vAlign w:val="bottom"/>
          </w:tcPr>
          <w:p>
            <w:pPr>
              <w:ind w:left="1600"/>
              <w:spacing w:after="0"/>
              <w:rPr>
                <w:sz w:val="20"/>
                <w:szCs w:val="20"/>
                <w:color w:val="auto"/>
              </w:rPr>
            </w:pPr>
            <w:r>
              <w:rPr>
                <w:rFonts w:ascii="Courier New" w:cs="Courier New" w:eastAsia="Courier New" w:hAnsi="Courier New"/>
                <w:sz w:val="16"/>
                <w:szCs w:val="16"/>
                <w:color w:val="auto"/>
              </w:rPr>
              <w:t>Inventory</w:t>
            </w: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577</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(822)</w:t>
            </w:r>
          </w:p>
        </w:tc>
      </w:tr>
      <w:tr>
        <w:trPr>
          <w:trHeight w:val="180"/>
        </w:trPr>
        <w:tc>
          <w:tcPr>
            <w:tcW w:w="4080" w:type="dxa"/>
            <w:vAlign w:val="bottom"/>
          </w:tcPr>
          <w:p>
            <w:pPr>
              <w:ind w:left="1600"/>
              <w:spacing w:after="0"/>
              <w:rPr>
                <w:sz w:val="20"/>
                <w:szCs w:val="20"/>
                <w:color w:val="auto"/>
              </w:rPr>
            </w:pPr>
            <w:r>
              <w:rPr>
                <w:rFonts w:ascii="Courier New" w:cs="Courier New" w:eastAsia="Courier New" w:hAnsi="Courier New"/>
                <w:sz w:val="16"/>
                <w:szCs w:val="16"/>
                <w:color w:val="auto"/>
              </w:rPr>
              <w:t>Prepaid expenses</w:t>
            </w: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81</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115</w:t>
            </w:r>
          </w:p>
        </w:tc>
      </w:tr>
      <w:tr>
        <w:trPr>
          <w:trHeight w:val="180"/>
        </w:trPr>
        <w:tc>
          <w:tcPr>
            <w:tcW w:w="7180" w:type="dxa"/>
            <w:vAlign w:val="bottom"/>
            <w:gridSpan w:val="2"/>
          </w:tcPr>
          <w:p>
            <w:pPr>
              <w:ind w:left="1600"/>
              <w:spacing w:after="0"/>
              <w:rPr>
                <w:sz w:val="20"/>
                <w:szCs w:val="20"/>
                <w:color w:val="auto"/>
              </w:rPr>
            </w:pPr>
            <w:r>
              <w:rPr>
                <w:rFonts w:ascii="Courier New" w:cs="Courier New" w:eastAsia="Courier New" w:hAnsi="Courier New"/>
                <w:sz w:val="16"/>
                <w:szCs w:val="16"/>
                <w:color w:val="auto"/>
              </w:rPr>
              <w:t>Accounts payable and accured liabilities</w:t>
            </w: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(7,555)</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(845)</w:t>
            </w:r>
          </w:p>
        </w:tc>
      </w:tr>
      <w:tr>
        <w:trPr>
          <w:trHeight w:val="180"/>
        </w:trPr>
        <w:tc>
          <w:tcPr>
            <w:tcW w:w="40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180" w:type="dxa"/>
            <w:vAlign w:val="bottom"/>
            <w:gridSpan w:val="2"/>
          </w:tcPr>
          <w:p>
            <w:pPr>
              <w:ind w:left="112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2,335</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1,885</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3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0"/>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Purchases of property and equipment</w:t>
            </w:r>
          </w:p>
        </w:tc>
        <w:tc>
          <w:tcPr>
            <w:tcW w:w="3100" w:type="dxa"/>
            <w:vAlign w:val="bottom"/>
          </w:tcPr>
          <w:p>
            <w:pPr>
              <w:spacing w:after="0"/>
              <w:rPr>
                <w:sz w:val="15"/>
                <w:szCs w:val="15"/>
                <w:color w:val="auto"/>
              </w:rPr>
            </w:pP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(2,416)</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(4,314)</w:t>
            </w:r>
          </w:p>
        </w:tc>
      </w:tr>
      <w:tr>
        <w:trPr>
          <w:trHeight w:val="180"/>
        </w:trPr>
        <w:tc>
          <w:tcPr>
            <w:tcW w:w="71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Proceeds from sales of property &amp; equipment</w:t>
            </w: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1,114</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333</w:t>
            </w:r>
          </w:p>
        </w:tc>
      </w:tr>
      <w:tr>
        <w:trPr>
          <w:trHeight w:val="180"/>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Purchases of investment securities</w:t>
            </w:r>
          </w:p>
        </w:tc>
        <w:tc>
          <w:tcPr>
            <w:tcW w:w="3100" w:type="dxa"/>
            <w:vAlign w:val="bottom"/>
          </w:tcPr>
          <w:p>
            <w:pPr>
              <w:spacing w:after="0"/>
              <w:rPr>
                <w:sz w:val="15"/>
                <w:szCs w:val="15"/>
                <w:color w:val="auto"/>
              </w:rPr>
            </w:pP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(414)</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Dividend from affiliated company</w:t>
            </w: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272</w:t>
            </w:r>
          </w:p>
        </w:tc>
      </w:tr>
      <w:tr>
        <w:trPr>
          <w:trHeight w:val="180"/>
        </w:trPr>
        <w:tc>
          <w:tcPr>
            <w:tcW w:w="71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Proceeds from sales of investment securities</w:t>
            </w: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733</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1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Proceeds from sales of marketable securities, net</w:t>
            </w: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870</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w:t>
            </w:r>
          </w:p>
        </w:tc>
      </w:tr>
      <w:tr>
        <w:trPr>
          <w:trHeight w:val="180"/>
        </w:trPr>
        <w:tc>
          <w:tcPr>
            <w:tcW w:w="40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180" w:type="dxa"/>
            <w:vAlign w:val="bottom"/>
            <w:gridSpan w:val="2"/>
          </w:tcPr>
          <w:p>
            <w:pPr>
              <w:ind w:left="1120"/>
              <w:spacing w:after="0"/>
              <w:rPr>
                <w:sz w:val="20"/>
                <w:szCs w:val="20"/>
                <w:color w:val="auto"/>
              </w:rPr>
            </w:pPr>
            <w:r>
              <w:rPr>
                <w:rFonts w:ascii="Courier New" w:cs="Courier New" w:eastAsia="Courier New" w:hAnsi="Courier New"/>
                <w:sz w:val="16"/>
                <w:szCs w:val="16"/>
                <w:color w:val="auto"/>
              </w:rPr>
              <w:t>Net cash used in investing activities</w:t>
            </w:r>
          </w:p>
        </w:tc>
        <w:tc>
          <w:tcPr>
            <w:tcW w:w="1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(113)</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(3,718)</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3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0"/>
        </w:trPr>
        <w:tc>
          <w:tcPr>
            <w:tcW w:w="7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Issuance of common stock under stock option plan</w:t>
            </w: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90</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18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90</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3100" w:type="dxa"/>
            <w:vAlign w:val="bottom"/>
          </w:tcPr>
          <w:p>
            <w:pPr>
              <w:spacing w:after="0"/>
              <w:rPr>
                <w:sz w:val="24"/>
                <w:szCs w:val="24"/>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2,312</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(1,833)</w:t>
            </w:r>
          </w:p>
        </w:tc>
      </w:tr>
      <w:tr>
        <w:trPr>
          <w:trHeight w:val="361"/>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29,552</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57,285</w:t>
            </w:r>
          </w:p>
        </w:tc>
      </w:tr>
      <w:tr>
        <w:trPr>
          <w:trHeight w:val="180"/>
        </w:trPr>
        <w:tc>
          <w:tcPr>
            <w:tcW w:w="40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3100" w:type="dxa"/>
            <w:vAlign w:val="bottom"/>
          </w:tcPr>
          <w:p>
            <w:pPr>
              <w:spacing w:after="0"/>
              <w:rPr>
                <w:sz w:val="24"/>
                <w:szCs w:val="24"/>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$31,864</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$55,452</w:t>
            </w:r>
          </w:p>
        </w:tc>
      </w:tr>
      <w:tr>
        <w:trPr>
          <w:trHeight w:val="180"/>
        </w:trPr>
        <w:tc>
          <w:tcPr>
            <w:tcW w:w="40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721"/>
        </w:trPr>
        <w:tc>
          <w:tcPr>
            <w:tcW w:w="4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0"/>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w w:val="98"/>
              </w:rPr>
              <w:t>The accompanying notes to condensed consolidated financial statements are an</w:t>
            </w: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w w:val="98"/>
              </w:rPr>
              <w:t>integral part of the condensed consolidated</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w:t>
            </w: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541"/>
        </w:trPr>
        <w:tc>
          <w:tcPr>
            <w:tcW w:w="4080" w:type="dxa"/>
            <w:vAlign w:val="bottom"/>
          </w:tcPr>
          <w:p>
            <w:pPr>
              <w:ind w:left="3100"/>
              <w:spacing w:after="0"/>
              <w:rPr>
                <w:sz w:val="20"/>
                <w:szCs w:val="20"/>
                <w:color w:val="auto"/>
              </w:rPr>
            </w:pPr>
            <w:r>
              <w:rPr>
                <w:rFonts w:ascii="Courier New" w:cs="Courier New" w:eastAsia="Courier New" w:hAnsi="Courier New"/>
                <w:sz w:val="16"/>
                <w:szCs w:val="16"/>
                <w:color w:val="auto"/>
              </w:rPr>
              <w:t>Page 4 of</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400"/>
          </w:cols>
          <w:pgMar w:left="240" w:top="293" w:right="1259" w:bottom="1440" w:gutter="0" w:footer="0" w:header="0"/>
        </w:sectPr>
      </w:pPr>
    </w:p>
    <w:bookmarkStart w:id="4" w:name="page5"/>
    <w:bookmarkEnd w:id="4"/>
    <w:p>
      <w:pPr>
        <w:spacing w:after="0" w:line="6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5</w:t>
      </w:r>
    </w:p>
    <w:p>
      <w:pPr>
        <w:ind w:left="1780"/>
        <w:spacing w:after="0"/>
        <w:rPr>
          <w:sz w:val="20"/>
          <w:szCs w:val="20"/>
          <w:color w:val="auto"/>
        </w:rPr>
      </w:pPr>
      <w:r>
        <w:rPr>
          <w:rFonts w:ascii="Courier New" w:cs="Courier New" w:eastAsia="Courier New" w:hAnsi="Courier New"/>
          <w:sz w:val="16"/>
          <w:szCs w:val="16"/>
          <w:color w:val="auto"/>
        </w:rPr>
        <w:t>PART I - FINANCIAL INFORMATION - CONTINUED</w:t>
      </w:r>
    </w:p>
    <w:p>
      <w:pPr>
        <w:spacing w:after="0" w:line="3" w:lineRule="exact"/>
        <w:rPr>
          <w:sz w:val="20"/>
          <w:szCs w:val="20"/>
          <w:color w:val="auto"/>
        </w:rPr>
      </w:pPr>
    </w:p>
    <w:p>
      <w:pPr>
        <w:jc w:val="center"/>
        <w:ind w:right="3120"/>
        <w:spacing w:after="0" w:line="259" w:lineRule="auto"/>
        <w:rPr>
          <w:sz w:val="20"/>
          <w:szCs w:val="20"/>
          <w:color w:val="auto"/>
        </w:rPr>
      </w:pPr>
      <w:r>
        <w:rPr>
          <w:rFonts w:ascii="Courier New" w:cs="Courier New" w:eastAsia="Courier New" w:hAnsi="Courier New"/>
          <w:sz w:val="15"/>
          <w:szCs w:val="15"/>
          <w:color w:val="auto"/>
        </w:rPr>
        <w:t>BASSETT FURNITURE INDUSTRIES, INCORPORATED AND SUBSIDIARIES NOTES TO CONDENSED CONSOLIDATED FINANCIAL STATEMENTS - UNAUDITED February 28, 1998  (in thousands except per share data)</w:t>
      </w:r>
    </w:p>
    <w:p>
      <w:pPr>
        <w:spacing w:after="0" w:line="16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A.</w:t>
      </w:r>
      <w:r>
        <w:rPr>
          <w:sz w:val="20"/>
          <w:szCs w:val="20"/>
          <w:color w:val="auto"/>
        </w:rPr>
        <w:tab/>
      </w:r>
      <w:r>
        <w:rPr>
          <w:rFonts w:ascii="Courier New" w:cs="Courier New" w:eastAsia="Courier New" w:hAnsi="Courier New"/>
          <w:sz w:val="15"/>
          <w:szCs w:val="15"/>
          <w:color w:val="auto"/>
        </w:rPr>
        <w:t>Change in Accounting Period:</w:t>
      </w:r>
    </w:p>
    <w:p>
      <w:pPr>
        <w:spacing w:after="0" w:line="185" w:lineRule="exact"/>
        <w:rPr>
          <w:sz w:val="20"/>
          <w:szCs w:val="20"/>
          <w:color w:val="auto"/>
        </w:rPr>
      </w:pPr>
    </w:p>
    <w:p>
      <w:pPr>
        <w:ind w:right="3560"/>
        <w:spacing w:after="0" w:line="237" w:lineRule="auto"/>
        <w:rPr>
          <w:sz w:val="20"/>
          <w:szCs w:val="20"/>
          <w:color w:val="auto"/>
        </w:rPr>
      </w:pPr>
      <w:r>
        <w:rPr>
          <w:rFonts w:ascii="Courier New" w:cs="Courier New" w:eastAsia="Courier New" w:hAnsi="Courier New"/>
          <w:sz w:val="16"/>
          <w:szCs w:val="16"/>
          <w:color w:val="auto"/>
        </w:rPr>
        <w:t>Effective December 1, 1997, the Company changed to a fiscal year end on the fifty-second Saturday after December 1. For previous years reported, the Company utilized a fiscal year ending on November 30.</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B.</w:t>
      </w:r>
      <w:r>
        <w:rPr>
          <w:sz w:val="20"/>
          <w:szCs w:val="20"/>
          <w:color w:val="auto"/>
        </w:rPr>
        <w:tab/>
      </w:r>
      <w:r>
        <w:rPr>
          <w:rFonts w:ascii="Courier New" w:cs="Courier New" w:eastAsia="Courier New" w:hAnsi="Courier New"/>
          <w:sz w:val="15"/>
          <w:szCs w:val="15"/>
          <w:color w:val="auto"/>
        </w:rPr>
        <w:t>Inventories:</w:t>
      </w:r>
    </w:p>
    <w:p>
      <w:pPr>
        <w:spacing w:after="0" w:line="185" w:lineRule="exact"/>
        <w:rPr>
          <w:sz w:val="20"/>
          <w:szCs w:val="20"/>
          <w:color w:val="auto"/>
        </w:rPr>
      </w:pPr>
    </w:p>
    <w:p>
      <w:pPr>
        <w:jc w:val="both"/>
        <w:ind w:right="3760"/>
        <w:spacing w:after="0" w:line="237" w:lineRule="auto"/>
        <w:rPr>
          <w:sz w:val="20"/>
          <w:szCs w:val="20"/>
          <w:color w:val="auto"/>
        </w:rPr>
      </w:pPr>
      <w:r>
        <w:rPr>
          <w:rFonts w:ascii="Courier New" w:cs="Courier New" w:eastAsia="Courier New" w:hAnsi="Courier New"/>
          <w:sz w:val="16"/>
          <w:szCs w:val="16"/>
          <w:color w:val="auto"/>
        </w:rPr>
        <w:t>Inventories are carried at last-in, first-out (LIFO) cost which is not in excess of market. Inventories at February 28, 1998 and November 30, 1997 consisted of the following:</w:t>
      </w:r>
    </w:p>
    <w:p>
      <w:pPr>
        <w:spacing w:after="0" w:line="360"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February 28,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November 30,</w:t>
            </w:r>
          </w:p>
        </w:tc>
      </w:tr>
      <w:tr>
        <w:trPr>
          <w:trHeight w:val="180"/>
        </w:trPr>
        <w:tc>
          <w:tcPr>
            <w:tcW w:w="4360" w:type="dxa"/>
            <w:vAlign w:val="bottom"/>
          </w:tcPr>
          <w:p>
            <w:pPr>
              <w:spacing w:after="0"/>
              <w:rPr>
                <w:sz w:val="15"/>
                <w:szCs w:val="15"/>
                <w:color w:val="auto"/>
              </w:rPr>
            </w:pPr>
          </w:p>
        </w:tc>
        <w:tc>
          <w:tcPr>
            <w:tcW w:w="22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1998</w:t>
            </w:r>
          </w:p>
        </w:tc>
        <w:tc>
          <w:tcPr>
            <w:tcW w:w="14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4360" w:type="dxa"/>
            <w:vAlign w:val="bottom"/>
          </w:tcPr>
          <w:p>
            <w:pPr>
              <w:spacing w:after="0"/>
              <w:rPr>
                <w:sz w:val="15"/>
                <w:szCs w:val="15"/>
                <w:color w:val="auto"/>
              </w:rPr>
            </w:pPr>
          </w:p>
        </w:tc>
        <w:tc>
          <w:tcPr>
            <w:tcW w:w="22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541"/>
        </w:trPr>
        <w:tc>
          <w:tcPr>
            <w:tcW w:w="43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22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$29,337</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$29,485</w:t>
            </w: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22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9,193</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9,025</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Raw materials and supplies</w:t>
            </w:r>
          </w:p>
        </w:tc>
        <w:tc>
          <w:tcPr>
            <w:tcW w:w="22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28,011</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28,420</w:t>
            </w:r>
          </w:p>
        </w:tc>
      </w:tr>
      <w:tr>
        <w:trPr>
          <w:trHeight w:val="180"/>
        </w:trPr>
        <w:tc>
          <w:tcPr>
            <w:tcW w:w="4360" w:type="dxa"/>
            <w:vAlign w:val="bottom"/>
          </w:tcPr>
          <w:p>
            <w:pPr>
              <w:spacing w:after="0"/>
              <w:rPr>
                <w:sz w:val="15"/>
                <w:szCs w:val="15"/>
                <w:color w:val="auto"/>
              </w:rPr>
            </w:pPr>
          </w:p>
        </w:tc>
        <w:tc>
          <w:tcPr>
            <w:tcW w:w="22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Total inventories valued at first-in,</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0"/>
        </w:trPr>
        <w:tc>
          <w:tcPr>
            <w:tcW w:w="4360" w:type="dxa"/>
            <w:vAlign w:val="bottom"/>
          </w:tcPr>
          <w:p>
            <w:pPr>
              <w:ind w:left="180"/>
              <w:spacing w:after="0"/>
              <w:rPr>
                <w:sz w:val="20"/>
                <w:szCs w:val="20"/>
                <w:color w:val="auto"/>
              </w:rPr>
            </w:pPr>
            <w:r>
              <w:rPr>
                <w:rFonts w:ascii="Courier New" w:cs="Courier New" w:eastAsia="Courier New" w:hAnsi="Courier New"/>
                <w:sz w:val="16"/>
                <w:szCs w:val="16"/>
                <w:color w:val="auto"/>
              </w:rPr>
              <w:t>first-out (FIFO) cost</w:t>
            </w:r>
          </w:p>
        </w:tc>
        <w:tc>
          <w:tcPr>
            <w:tcW w:w="22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66,541</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66,930</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LIFO adjustment</w:t>
            </w:r>
          </w:p>
        </w:tc>
        <w:tc>
          <w:tcPr>
            <w:tcW w:w="22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25,404</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25,216</w:t>
            </w:r>
          </w:p>
        </w:tc>
      </w:tr>
      <w:tr>
        <w:trPr>
          <w:trHeight w:val="180"/>
        </w:trPr>
        <w:tc>
          <w:tcPr>
            <w:tcW w:w="4360" w:type="dxa"/>
            <w:vAlign w:val="bottom"/>
          </w:tcPr>
          <w:p>
            <w:pPr>
              <w:spacing w:after="0"/>
              <w:rPr>
                <w:sz w:val="15"/>
                <w:szCs w:val="15"/>
                <w:color w:val="auto"/>
              </w:rPr>
            </w:pPr>
          </w:p>
        </w:tc>
        <w:tc>
          <w:tcPr>
            <w:tcW w:w="22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Total inventories</w:t>
            </w:r>
          </w:p>
        </w:tc>
        <w:tc>
          <w:tcPr>
            <w:tcW w:w="22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$41,137</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$41,714</w:t>
            </w:r>
          </w:p>
        </w:tc>
      </w:tr>
      <w:tr>
        <w:trPr>
          <w:trHeight w:val="180"/>
        </w:trPr>
        <w:tc>
          <w:tcPr>
            <w:tcW w:w="4360" w:type="dxa"/>
            <w:vAlign w:val="bottom"/>
          </w:tcPr>
          <w:p>
            <w:pPr>
              <w:spacing w:after="0"/>
              <w:rPr>
                <w:sz w:val="15"/>
                <w:szCs w:val="15"/>
                <w:color w:val="auto"/>
              </w:rPr>
            </w:pPr>
          </w:p>
        </w:tc>
        <w:tc>
          <w:tcPr>
            <w:tcW w:w="22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C.</w:t>
      </w:r>
      <w:r>
        <w:rPr>
          <w:sz w:val="20"/>
          <w:szCs w:val="20"/>
          <w:color w:val="auto"/>
        </w:rPr>
        <w:tab/>
      </w:r>
      <w:r>
        <w:rPr>
          <w:rFonts w:ascii="Courier New" w:cs="Courier New" w:eastAsia="Courier New" w:hAnsi="Courier New"/>
          <w:sz w:val="15"/>
          <w:szCs w:val="15"/>
          <w:color w:val="auto"/>
        </w:rPr>
        <w:t>Investment in affiliated companies:</w:t>
      </w:r>
    </w:p>
    <w:p>
      <w:pPr>
        <w:spacing w:after="0" w:line="185" w:lineRule="exact"/>
        <w:rPr>
          <w:sz w:val="20"/>
          <w:szCs w:val="20"/>
          <w:color w:val="auto"/>
        </w:rPr>
      </w:pPr>
    </w:p>
    <w:p>
      <w:pPr>
        <w:ind w:right="3200"/>
        <w:spacing w:after="0" w:line="237" w:lineRule="auto"/>
        <w:rPr>
          <w:sz w:val="20"/>
          <w:szCs w:val="20"/>
          <w:color w:val="auto"/>
        </w:rPr>
      </w:pPr>
      <w:r>
        <w:rPr>
          <w:rFonts w:ascii="Courier New" w:cs="Courier New" w:eastAsia="Courier New" w:hAnsi="Courier New"/>
          <w:sz w:val="16"/>
          <w:szCs w:val="16"/>
          <w:color w:val="auto"/>
        </w:rPr>
        <w:t>Summarized combined income statement information for the Company's equity method investments for the thirteen week period ended February 28, 1998 and the three month period ended February 28, 1997 is as follows:</w:t>
      </w:r>
    </w:p>
    <w:p>
      <w:pPr>
        <w:spacing w:after="0" w:line="360"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27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3740" w:type="dxa"/>
            <w:vAlign w:val="bottom"/>
          </w:tcPr>
          <w:p>
            <w:pPr>
              <w:spacing w:after="0"/>
              <w:rPr>
                <w:sz w:val="15"/>
                <w:szCs w:val="15"/>
                <w:color w:val="auto"/>
              </w:rPr>
            </w:pPr>
          </w:p>
        </w:tc>
        <w:tc>
          <w:tcPr>
            <w:tcW w:w="27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7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$7,841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$7,613</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7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4,660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4,639</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7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2,870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3,119</w:t>
            </w:r>
          </w:p>
        </w:tc>
      </w:tr>
    </w:tbl>
    <w:p>
      <w:pPr>
        <w:spacing w:after="0" w:line="365" w:lineRule="exact"/>
        <w:rPr>
          <w:sz w:val="20"/>
          <w:szCs w:val="20"/>
          <w:color w:val="auto"/>
        </w:rPr>
      </w:pPr>
    </w:p>
    <w:p>
      <w:pPr>
        <w:ind w:right="3860"/>
        <w:spacing w:after="0" w:line="236" w:lineRule="auto"/>
        <w:rPr>
          <w:sz w:val="20"/>
          <w:szCs w:val="20"/>
          <w:color w:val="auto"/>
        </w:rPr>
      </w:pPr>
      <w:r>
        <w:rPr>
          <w:rFonts w:ascii="Courier New" w:cs="Courier New" w:eastAsia="Courier New" w:hAnsi="Courier New"/>
          <w:sz w:val="16"/>
          <w:szCs w:val="16"/>
          <w:color w:val="auto"/>
        </w:rPr>
        <w:t>Information for each investee is summarized from the available financial information for each entity.</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D.</w:t>
      </w:r>
      <w:r>
        <w:rPr>
          <w:sz w:val="20"/>
          <w:szCs w:val="20"/>
          <w:color w:val="auto"/>
        </w:rPr>
        <w:tab/>
      </w:r>
      <w:r>
        <w:rPr>
          <w:rFonts w:ascii="Courier New" w:cs="Courier New" w:eastAsia="Courier New" w:hAnsi="Courier New"/>
          <w:sz w:val="15"/>
          <w:szCs w:val="15"/>
          <w:color w:val="auto"/>
        </w:rPr>
        <w:t>Restructuring, Impaired Assets and Nonrecurring Charges:</w:t>
      </w:r>
    </w:p>
    <w:p>
      <w:pPr>
        <w:spacing w:after="0" w:line="185" w:lineRule="exact"/>
        <w:rPr>
          <w:sz w:val="20"/>
          <w:szCs w:val="20"/>
          <w:color w:val="auto"/>
        </w:rPr>
      </w:pPr>
    </w:p>
    <w:p>
      <w:pPr>
        <w:ind w:right="3200"/>
        <w:spacing w:after="0" w:line="238" w:lineRule="auto"/>
        <w:rPr>
          <w:sz w:val="20"/>
          <w:szCs w:val="20"/>
          <w:color w:val="auto"/>
        </w:rPr>
      </w:pPr>
      <w:r>
        <w:rPr>
          <w:rFonts w:ascii="Courier New" w:cs="Courier New" w:eastAsia="Courier New" w:hAnsi="Courier New"/>
          <w:sz w:val="16"/>
          <w:szCs w:val="16"/>
          <w:color w:val="auto"/>
        </w:rPr>
        <w:t>During 1997, the Company commenced the restructuring of certain of its operations and recorded restructuring and impaired asset charges of $20,646. Of these charges, $14,397 was utilized during 1997, leaving $6,249 in reserves to be utilized in future periods as the remaining activities related to the restructuring charges are completed. The restructuring plans included the closure of 14 manufacturing facilities and the severance of approximately 1,000 employees. As of November 30, 1997, five of the 14 facilities were closed and approximately 600 employees had been severed. During the first quarter of fiscal 1998, the remaining nine facilities were closed and approximately 400 employees were severed.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Activity within the restructuring reserves was as follows:</w:t>
      </w:r>
    </w:p>
    <w:p>
      <w:pPr>
        <w:spacing w:after="0" w:line="200" w:lineRule="exact"/>
        <w:rPr>
          <w:sz w:val="20"/>
          <w:szCs w:val="20"/>
          <w:color w:val="auto"/>
        </w:rPr>
      </w:pPr>
    </w:p>
    <w:p>
      <w:pPr>
        <w:spacing w:after="0" w:line="340"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4260" w:type="dxa"/>
            <w:vAlign w:val="bottom"/>
          </w:tcPr>
          <w:p>
            <w:pPr>
              <w:spacing w:after="0"/>
              <w:rPr>
                <w:sz w:val="15"/>
                <w:szCs w:val="15"/>
                <w:color w:val="auto"/>
              </w:rPr>
            </w:pPr>
          </w:p>
        </w:tc>
        <w:tc>
          <w:tcPr>
            <w:tcW w:w="2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November 30,</w:t>
            </w:r>
          </w:p>
        </w:tc>
        <w:tc>
          <w:tcPr>
            <w:tcW w:w="18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Reserves</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February 28,</w:t>
            </w:r>
          </w:p>
        </w:tc>
      </w:tr>
      <w:tr>
        <w:trPr>
          <w:trHeight w:val="180"/>
        </w:trPr>
        <w:tc>
          <w:tcPr>
            <w:tcW w:w="4260" w:type="dxa"/>
            <w:vAlign w:val="bottom"/>
          </w:tcPr>
          <w:p>
            <w:pPr>
              <w:spacing w:after="0"/>
              <w:rPr>
                <w:sz w:val="15"/>
                <w:szCs w:val="15"/>
                <w:color w:val="auto"/>
              </w:rPr>
            </w:pPr>
          </w:p>
        </w:tc>
        <w:tc>
          <w:tcPr>
            <w:tcW w:w="2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 reserve</w:t>
            </w:r>
          </w:p>
        </w:tc>
        <w:tc>
          <w:tcPr>
            <w:tcW w:w="18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utilized in 1st</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1998 reserve</w:t>
            </w:r>
          </w:p>
        </w:tc>
      </w:tr>
      <w:tr>
        <w:trPr>
          <w:trHeight w:val="180"/>
        </w:trPr>
        <w:tc>
          <w:tcPr>
            <w:tcW w:w="4260" w:type="dxa"/>
            <w:vAlign w:val="bottom"/>
          </w:tcPr>
          <w:p>
            <w:pPr>
              <w:spacing w:after="0"/>
              <w:rPr>
                <w:sz w:val="15"/>
                <w:szCs w:val="15"/>
                <w:color w:val="auto"/>
              </w:rPr>
            </w:pPr>
          </w:p>
        </w:tc>
        <w:tc>
          <w:tcPr>
            <w:tcW w:w="29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balance</w:t>
            </w:r>
          </w:p>
        </w:tc>
        <w:tc>
          <w:tcPr>
            <w:tcW w:w="18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Qtr 1998</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balance</w:t>
            </w:r>
          </w:p>
        </w:tc>
      </w:tr>
      <w:tr>
        <w:trPr>
          <w:trHeight w:val="180"/>
        </w:trPr>
        <w:tc>
          <w:tcPr>
            <w:tcW w:w="4260" w:type="dxa"/>
            <w:vAlign w:val="bottom"/>
          </w:tcPr>
          <w:p>
            <w:pPr>
              <w:spacing w:after="0"/>
              <w:rPr>
                <w:sz w:val="15"/>
                <w:szCs w:val="15"/>
                <w:color w:val="auto"/>
              </w:rPr>
            </w:pPr>
          </w:p>
        </w:tc>
        <w:tc>
          <w:tcPr>
            <w:tcW w:w="6240" w:type="dxa"/>
            <w:vAlign w:val="bottom"/>
            <w:gridSpan w:val="3"/>
          </w:tcPr>
          <w:p>
            <w:pPr>
              <w:jc w:val="center"/>
              <w:ind w:left="146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4260" w:type="dxa"/>
            <w:vAlign w:val="bottom"/>
          </w:tcPr>
          <w:p>
            <w:pPr>
              <w:ind w:left="80"/>
              <w:spacing w:after="0"/>
              <w:rPr>
                <w:sz w:val="20"/>
                <w:szCs w:val="20"/>
                <w:color w:val="auto"/>
              </w:rPr>
            </w:pPr>
            <w:r>
              <w:rPr>
                <w:rFonts w:ascii="Courier New" w:cs="Courier New" w:eastAsia="Courier New" w:hAnsi="Courier New"/>
                <w:sz w:val="16"/>
                <w:szCs w:val="16"/>
                <w:color w:val="auto"/>
              </w:rPr>
              <w:t>Severance &amp; related employee</w:t>
            </w:r>
          </w:p>
        </w:tc>
        <w:tc>
          <w:tcPr>
            <w:tcW w:w="2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$4,910</w:t>
            </w:r>
          </w:p>
        </w:tc>
        <w:tc>
          <w:tcPr>
            <w:tcW w:w="18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$1,620</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$3,290</w:t>
            </w:r>
          </w:p>
        </w:tc>
      </w:tr>
      <w:tr>
        <w:trPr>
          <w:trHeight w:val="180"/>
        </w:trPr>
        <w:tc>
          <w:tcPr>
            <w:tcW w:w="4260" w:type="dxa"/>
            <w:vAlign w:val="bottom"/>
          </w:tcPr>
          <w:p>
            <w:pPr>
              <w:ind w:left="560"/>
              <w:spacing w:after="0"/>
              <w:rPr>
                <w:sz w:val="20"/>
                <w:szCs w:val="20"/>
                <w:color w:val="auto"/>
              </w:rPr>
            </w:pPr>
            <w:r>
              <w:rPr>
                <w:rFonts w:ascii="Courier New" w:cs="Courier New" w:eastAsia="Courier New" w:hAnsi="Courier New"/>
                <w:sz w:val="16"/>
                <w:szCs w:val="16"/>
                <w:color w:val="auto"/>
              </w:rPr>
              <w:t>benefit costs</w:t>
            </w:r>
          </w:p>
        </w:tc>
        <w:tc>
          <w:tcPr>
            <w:tcW w:w="2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Lease exit costs</w:t>
            </w:r>
          </w:p>
        </w:tc>
        <w:tc>
          <w:tcPr>
            <w:tcW w:w="2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614</w:t>
            </w:r>
          </w:p>
        </w:tc>
        <w:tc>
          <w:tcPr>
            <w:tcW w:w="18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32</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582</w:t>
            </w:r>
          </w:p>
        </w:tc>
      </w:tr>
      <w:tr>
        <w:trPr>
          <w:trHeight w:val="1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725</w:t>
            </w:r>
          </w:p>
        </w:tc>
        <w:tc>
          <w:tcPr>
            <w:tcW w:w="18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725</w:t>
            </w:r>
          </w:p>
        </w:tc>
      </w:tr>
      <w:tr>
        <w:trPr>
          <w:trHeight w:val="180"/>
        </w:trPr>
        <w:tc>
          <w:tcPr>
            <w:tcW w:w="4260" w:type="dxa"/>
            <w:vAlign w:val="bottom"/>
          </w:tcPr>
          <w:p>
            <w:pPr>
              <w:spacing w:after="0"/>
              <w:rPr>
                <w:sz w:val="15"/>
                <w:szCs w:val="15"/>
                <w:color w:val="auto"/>
              </w:rPr>
            </w:pPr>
          </w:p>
        </w:tc>
        <w:tc>
          <w:tcPr>
            <w:tcW w:w="6240" w:type="dxa"/>
            <w:vAlign w:val="bottom"/>
            <w:gridSpan w:val="3"/>
          </w:tcPr>
          <w:p>
            <w:pPr>
              <w:jc w:val="center"/>
              <w:ind w:left="146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$6,249</w:t>
            </w: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rPr>
              <w:t>$1,652</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$4,597</w:t>
            </w:r>
          </w:p>
        </w:tc>
      </w:tr>
      <w:tr>
        <w:trPr>
          <w:trHeight w:val="180"/>
        </w:trPr>
        <w:tc>
          <w:tcPr>
            <w:tcW w:w="4260" w:type="dxa"/>
            <w:vAlign w:val="bottom"/>
          </w:tcPr>
          <w:p>
            <w:pPr>
              <w:spacing w:after="0"/>
              <w:rPr>
                <w:sz w:val="15"/>
                <w:szCs w:val="15"/>
                <w:color w:val="auto"/>
              </w:rPr>
            </w:pPr>
          </w:p>
        </w:tc>
        <w:tc>
          <w:tcPr>
            <w:tcW w:w="6240" w:type="dxa"/>
            <w:vAlign w:val="bottom"/>
            <w:gridSpan w:val="3"/>
          </w:tcPr>
          <w:p>
            <w:pPr>
              <w:jc w:val="center"/>
              <w:ind w:left="1462"/>
              <w:spacing w:after="0"/>
              <w:rPr>
                <w:sz w:val="20"/>
                <w:szCs w:val="20"/>
                <w:color w:val="auto"/>
              </w:rPr>
            </w:pPr>
            <w:r>
              <w:rPr>
                <w:rFonts w:ascii="Courier New" w:cs="Courier New" w:eastAsia="Courier New" w:hAnsi="Courier New"/>
                <w:sz w:val="16"/>
                <w:szCs w:val="16"/>
                <w:color w:val="auto"/>
                <w:w w:val="97"/>
              </w:rPr>
              <w:t>--------------------------------------------------</w:t>
            </w:r>
          </w:p>
        </w:tc>
      </w:tr>
    </w:tbl>
    <w:p>
      <w:pPr>
        <w:spacing w:after="0" w:line="200" w:lineRule="exact"/>
        <w:rPr>
          <w:sz w:val="20"/>
          <w:szCs w:val="20"/>
          <w:color w:val="auto"/>
        </w:rPr>
      </w:pPr>
    </w:p>
    <w:p>
      <w:pPr>
        <w:sectPr>
          <w:pgSz w:w="11900" w:h="16902" w:orient="portrait"/>
          <w:cols w:equalWidth="0" w:num="1">
            <w:col w:w="10600"/>
          </w:cols>
          <w:pgMar w:left="240" w:top="293" w:right="1059" w:bottom="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projected at November 30, 1997, that it would incur an additional</w:t>
      </w:r>
    </w:p>
    <w:p>
      <w:pPr>
        <w:sectPr>
          <w:pgSz w:w="11900" w:h="16902" w:orient="portrait"/>
          <w:cols w:equalWidth="0" w:num="1">
            <w:col w:w="10600"/>
          </w:cols>
          <w:pgMar w:left="240" w:top="293" w:right="1059" w:bottom="0" w:gutter="0" w:footer="0" w:header="0"/>
          <w:type w:val="continuous"/>
        </w:sectPr>
      </w:pPr>
    </w:p>
    <w:bookmarkStart w:id="5" w:name="page6"/>
    <w:bookmarkEnd w:id="5"/>
    <w:p>
      <w:pPr>
        <w:ind w:right="2999"/>
        <w:spacing w:after="0" w:line="237" w:lineRule="auto"/>
        <w:rPr>
          <w:sz w:val="20"/>
          <w:szCs w:val="20"/>
          <w:color w:val="auto"/>
        </w:rPr>
      </w:pPr>
      <w:r>
        <w:rPr>
          <w:rFonts w:ascii="Courier New" w:cs="Courier New" w:eastAsia="Courier New" w:hAnsi="Courier New"/>
          <w:sz w:val="16"/>
          <w:szCs w:val="16"/>
          <w:color w:val="auto"/>
        </w:rPr>
        <w:t>$10,540 of charges during 1998 as a result of (1) operating inefficiencies at plants involved in consolidations and (2) costs incurred at idle facilities. The total of these expenses incurred during the 13 week period ended February 28, 1998, was $1,469.</w:t>
      </w:r>
    </w:p>
    <w:p>
      <w:pPr>
        <w:spacing w:after="0" w:line="36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Page 5 of 12</w:t>
      </w:r>
    </w:p>
    <w:p>
      <w:pPr>
        <w:sectPr>
          <w:pgSz w:w="11900" w:h="16838" w:orient="portrait"/>
          <w:cols w:equalWidth="0" w:num="1">
            <w:col w:w="10219"/>
          </w:cols>
          <w:pgMar w:left="240" w:top="142" w:right="1440" w:bottom="1440" w:gutter="0" w:footer="0" w:header="0"/>
        </w:sectPr>
      </w:pPr>
    </w:p>
    <w:bookmarkStart w:id="6" w:name="page7"/>
    <w:bookmarkEnd w:id="6"/>
    <w:p>
      <w:pPr>
        <w:spacing w:after="0" w:line="6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6</w:t>
      </w:r>
    </w:p>
    <w:p>
      <w:pPr>
        <w:ind w:left="1780"/>
        <w:spacing w:after="0"/>
        <w:rPr>
          <w:sz w:val="20"/>
          <w:szCs w:val="20"/>
          <w:color w:val="auto"/>
        </w:rPr>
      </w:pPr>
      <w:r>
        <w:rPr>
          <w:rFonts w:ascii="Courier New" w:cs="Courier New" w:eastAsia="Courier New" w:hAnsi="Courier New"/>
          <w:sz w:val="16"/>
          <w:szCs w:val="16"/>
          <w:color w:val="auto"/>
        </w:rPr>
        <w:t>PART I - FINANCIAL INFORMATION - CONTINUED</w:t>
      </w:r>
    </w:p>
    <w:p>
      <w:pPr>
        <w:ind w:left="940"/>
        <w:spacing w:after="0" w:line="237" w:lineRule="auto"/>
        <w:rPr>
          <w:sz w:val="20"/>
          <w:szCs w:val="20"/>
          <w:color w:val="auto"/>
        </w:rPr>
      </w:pPr>
      <w:r>
        <w:rPr>
          <w:rFonts w:ascii="Courier New" w:cs="Courier New" w:eastAsia="Courier New" w:hAnsi="Courier New"/>
          <w:sz w:val="16"/>
          <w:szCs w:val="16"/>
          <w:color w:val="auto"/>
        </w:rPr>
        <w:t>BASSETT FURNITURE INDUSTRIES, INCORPORATED AND SUBSIDIARIES</w:t>
      </w:r>
    </w:p>
    <w:p>
      <w:pPr>
        <w:ind w:left="1680"/>
        <w:spacing w:after="0"/>
        <w:tabs>
          <w:tab w:leader="none" w:pos="3440" w:val="left"/>
        </w:tabs>
        <w:rPr>
          <w:sz w:val="20"/>
          <w:szCs w:val="20"/>
          <w:color w:val="auto"/>
        </w:rPr>
      </w:pPr>
      <w:r>
        <w:rPr>
          <w:rFonts w:ascii="Courier New" w:cs="Courier New" w:eastAsia="Courier New" w:hAnsi="Courier New"/>
          <w:sz w:val="16"/>
          <w:szCs w:val="16"/>
          <w:color w:val="auto"/>
        </w:rPr>
        <w:t>February 28, 1998</w:t>
      </w:r>
      <w:r>
        <w:rPr>
          <w:sz w:val="20"/>
          <w:szCs w:val="20"/>
          <w:color w:val="auto"/>
        </w:rPr>
        <w:tab/>
      </w:r>
      <w:r>
        <w:rPr>
          <w:rFonts w:ascii="Courier New" w:cs="Courier New" w:eastAsia="Courier New" w:hAnsi="Courier New"/>
          <w:sz w:val="15"/>
          <w:szCs w:val="15"/>
          <w:color w:val="auto"/>
        </w:rPr>
        <w:t>(in thousands of dollars)</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E.</w:t>
      </w:r>
      <w:r>
        <w:rPr>
          <w:sz w:val="20"/>
          <w:szCs w:val="20"/>
          <w:color w:val="auto"/>
        </w:rPr>
        <w:tab/>
      </w:r>
      <w:r>
        <w:rPr>
          <w:rFonts w:ascii="Courier New" w:cs="Courier New" w:eastAsia="Courier New" w:hAnsi="Courier New"/>
          <w:sz w:val="15"/>
          <w:szCs w:val="15"/>
          <w:color w:val="auto"/>
        </w:rPr>
        <w:t>Contingencies:</w:t>
      </w:r>
    </w:p>
    <w:p>
      <w:pPr>
        <w:spacing w:after="0" w:line="185" w:lineRule="exact"/>
        <w:rPr>
          <w:sz w:val="20"/>
          <w:szCs w:val="20"/>
          <w:color w:val="auto"/>
        </w:rPr>
      </w:pPr>
    </w:p>
    <w:p>
      <w:pPr>
        <w:ind w:right="4120"/>
        <w:spacing w:after="0" w:line="255" w:lineRule="auto"/>
        <w:rPr>
          <w:sz w:val="20"/>
          <w:szCs w:val="20"/>
          <w:color w:val="auto"/>
        </w:rPr>
      </w:pPr>
      <w:r>
        <w:rPr>
          <w:rFonts w:ascii="Courier New" w:cs="Courier New" w:eastAsia="Courier New" w:hAnsi="Courier New"/>
          <w:sz w:val="15"/>
          <w:szCs w:val="15"/>
          <w:color w:val="auto"/>
        </w:rPr>
        <w:t>A suit was filed last June in the Superior Court of the State of California for the County of Los Angeles (the "Superior Court") against the Company, two major retailers and certain current and former employees of the Company. The suit sought certification of a class consisting of all consumers who purchased from the major retailers certain mattresses and box springs which were manufactured by a subsidiary of the Company, E. B. Malone Corporation, with different specifications than those originally manufactured for sale by these retailers. The suit alleged various causes of action, including negligent misrepresentation, breach of warranty, violations of deceptive practices laws and fraud, and sought compensatory damages of $100 million and punitive damages. In September, 1997, the Superior Court sustained the Company's demurrer seeking to dismiss several of plaintiffs' causes of action, but gave plaintiffs leave to amend. Plaintiffs' Second Amended Complaint added certain independent retailers as additional plaintiffs. In December, 1997, the Superior Court sustained the Company's second demurrer as to several causes of action, but again gave plaintiffs leave to amend. The plaintiffs filed a Third Amended Complaint, and in February, 1998, the Superior Court sustained the Company's third demurrer as to the class allegations and to many of the individual claims, this time without giving the plaintiffs leave to amend. Plaintiffs have filed a notice of appeal from the most recent demurrer rulings.</w:t>
      </w:r>
    </w:p>
    <w:p>
      <w:pPr>
        <w:spacing w:after="0" w:line="177" w:lineRule="exact"/>
        <w:rPr>
          <w:sz w:val="20"/>
          <w:szCs w:val="20"/>
          <w:color w:val="auto"/>
        </w:rPr>
      </w:pPr>
    </w:p>
    <w:p>
      <w:pPr>
        <w:ind w:right="4200"/>
        <w:spacing w:after="0" w:line="255" w:lineRule="auto"/>
        <w:rPr>
          <w:sz w:val="20"/>
          <w:szCs w:val="20"/>
          <w:color w:val="auto"/>
        </w:rPr>
      </w:pPr>
      <w:r>
        <w:rPr>
          <w:rFonts w:ascii="Courier New" w:cs="Courier New" w:eastAsia="Courier New" w:hAnsi="Courier New"/>
          <w:sz w:val="15"/>
          <w:szCs w:val="15"/>
          <w:color w:val="auto"/>
        </w:rPr>
        <w:t>The suit has been transferred out of the Superior Court's class action department, and recently was transferred out of the Superior Court for the County of Los Angeles to the Superior Court for Orange County. Although it is impossible to predict the ultimate outcome of this litigation, the Company intends to vigorously defend this suit because it believes that the damages sought are unjustified and because class certification is unnecessary and inappropriate in this case. Because the Company believes that the two major retailers were unaware of the changes in product specifications, the Company has agreed to indemnify the two major retailers with respect to the above.</w:t>
      </w:r>
    </w:p>
    <w:p>
      <w:pPr>
        <w:spacing w:after="0" w:line="179" w:lineRule="exact"/>
        <w:rPr>
          <w:sz w:val="20"/>
          <w:szCs w:val="20"/>
          <w:color w:val="auto"/>
        </w:rPr>
      </w:pPr>
    </w:p>
    <w:p>
      <w:pPr>
        <w:ind w:right="4120"/>
        <w:spacing w:after="0" w:line="238" w:lineRule="auto"/>
        <w:rPr>
          <w:sz w:val="20"/>
          <w:szCs w:val="20"/>
          <w:color w:val="auto"/>
        </w:rPr>
      </w:pPr>
      <w:r>
        <w:rPr>
          <w:rFonts w:ascii="Courier New" w:cs="Courier New" w:eastAsia="Courier New" w:hAnsi="Courier New"/>
          <w:sz w:val="16"/>
          <w:szCs w:val="16"/>
          <w:color w:val="auto"/>
        </w:rPr>
        <w:t>The Company is also involved in various other claims and actions, including environmental matters at certain of its plant facilities, which arise in the normal course of business. Although the final outcome of these legal and environmental matters cannot be determined, based on the facts presently known, it it management's opinion that the final resolution of these matters will not have a material adverse effect on the Company's financial position or future results of operations.</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F.</w:t>
      </w:r>
      <w:r>
        <w:rPr>
          <w:sz w:val="20"/>
          <w:szCs w:val="20"/>
          <w:color w:val="auto"/>
        </w:rPr>
        <w:tab/>
      </w:r>
      <w:r>
        <w:rPr>
          <w:rFonts w:ascii="Courier New" w:cs="Courier New" w:eastAsia="Courier New" w:hAnsi="Courier New"/>
          <w:sz w:val="15"/>
          <w:szCs w:val="15"/>
          <w:color w:val="auto"/>
        </w:rPr>
        <w:t>Earnings per share:</w:t>
      </w:r>
    </w:p>
    <w:p>
      <w:pPr>
        <w:spacing w:after="0" w:line="185" w:lineRule="exact"/>
        <w:rPr>
          <w:sz w:val="20"/>
          <w:szCs w:val="20"/>
          <w:color w:val="auto"/>
        </w:rPr>
      </w:pPr>
    </w:p>
    <w:p>
      <w:pPr>
        <w:ind w:right="4300"/>
        <w:spacing w:after="0" w:line="237" w:lineRule="auto"/>
        <w:rPr>
          <w:sz w:val="20"/>
          <w:szCs w:val="20"/>
          <w:color w:val="auto"/>
        </w:rPr>
      </w:pPr>
      <w:r>
        <w:rPr>
          <w:rFonts w:ascii="Courier New" w:cs="Courier New" w:eastAsia="Courier New" w:hAnsi="Courier New"/>
          <w:sz w:val="16"/>
          <w:szCs w:val="16"/>
          <w:color w:val="auto"/>
        </w:rPr>
        <w:t>The Company adopted SFAS No. 128, "Earnings per Share," effective December 1, 1997. As a result, the Company's reported earnings per share for 1997 have been restated. The effect of this accounting change on previously reported earnings per share (EPS) data was not material.</w:t>
      </w:r>
    </w:p>
    <w:p>
      <w:pPr>
        <w:spacing w:after="0" w:line="200" w:lineRule="exact"/>
        <w:rPr>
          <w:sz w:val="20"/>
          <w:szCs w:val="20"/>
          <w:color w:val="auto"/>
        </w:r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4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w w:val="98"/>
              </w:rPr>
              <w:t>For the thirteen weeks ended February 28, 1998</w:t>
            </w:r>
          </w:p>
        </w:tc>
      </w:tr>
      <w:tr>
        <w:trPr>
          <w:trHeight w:val="180"/>
        </w:trPr>
        <w:tc>
          <w:tcPr>
            <w:tcW w:w="4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4960" w:type="dxa"/>
            <w:vAlign w:val="bottom"/>
          </w:tcPr>
          <w:p>
            <w:pPr>
              <w:spacing w:after="0"/>
              <w:rPr>
                <w:sz w:val="15"/>
                <w:szCs w:val="15"/>
                <w:color w:val="auto"/>
              </w:rPr>
            </w:pP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Income</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Shares</w:t>
            </w:r>
          </w:p>
        </w:tc>
        <w:tc>
          <w:tcPr>
            <w:tcW w:w="190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6"/>
              </w:rPr>
              <w:t>Per share amount</w:t>
            </w:r>
          </w:p>
        </w:tc>
      </w:tr>
      <w:tr>
        <w:trPr>
          <w:trHeight w:val="180"/>
        </w:trPr>
        <w:tc>
          <w:tcPr>
            <w:tcW w:w="4960" w:type="dxa"/>
            <w:vAlign w:val="bottom"/>
          </w:tcPr>
          <w:p>
            <w:pPr>
              <w:spacing w:after="0"/>
              <w:rPr>
                <w:sz w:val="15"/>
                <w:szCs w:val="15"/>
                <w:color w:val="auto"/>
              </w:rPr>
            </w:pP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6"/>
              </w:rPr>
              <w:t>----------------</w:t>
            </w:r>
          </w:p>
        </w:tc>
      </w:tr>
      <w:tr>
        <w:trPr>
          <w:trHeight w:val="541"/>
        </w:trPr>
        <w:tc>
          <w:tcPr>
            <w:tcW w:w="496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$3,435</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13,022,883</w:t>
            </w:r>
          </w:p>
        </w:tc>
        <w:tc>
          <w:tcPr>
            <w:tcW w:w="1900" w:type="dxa"/>
            <w:vAlign w:val="bottom"/>
          </w:tcPr>
          <w:p>
            <w:pPr>
              <w:jc w:val="center"/>
              <w:ind w:left="362"/>
              <w:spacing w:after="0"/>
              <w:rPr>
                <w:sz w:val="20"/>
                <w:szCs w:val="20"/>
                <w:color w:val="auto"/>
              </w:rPr>
            </w:pPr>
            <w:r>
              <w:rPr>
                <w:rFonts w:ascii="Courier New" w:cs="Courier New" w:eastAsia="Courier New" w:hAnsi="Courier New"/>
                <w:sz w:val="16"/>
                <w:szCs w:val="16"/>
                <w:color w:val="auto"/>
                <w:w w:val="98"/>
              </w:rPr>
              <w:t>$.26</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2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0"/>
        </w:trPr>
        <w:tc>
          <w:tcPr>
            <w:tcW w:w="4960" w:type="dxa"/>
            <w:vAlign w:val="bottom"/>
          </w:tcPr>
          <w:p>
            <w:pPr>
              <w:ind w:left="460"/>
              <w:spacing w:after="0"/>
              <w:rPr>
                <w:sz w:val="20"/>
                <w:szCs w:val="20"/>
                <w:color w:val="auto"/>
              </w:rPr>
            </w:pPr>
            <w:r>
              <w:rPr>
                <w:rFonts w:ascii="Courier New" w:cs="Courier New" w:eastAsia="Courier New" w:hAnsi="Courier New"/>
                <w:sz w:val="16"/>
                <w:szCs w:val="16"/>
                <w:color w:val="auto"/>
              </w:rPr>
              <w:t>Options issued to directors and employees</w:t>
            </w:r>
          </w:p>
        </w:tc>
        <w:tc>
          <w:tcPr>
            <w:tcW w:w="1260" w:type="dxa"/>
            <w:vAlign w:val="bottom"/>
          </w:tcPr>
          <w:p>
            <w:pPr>
              <w:ind w:left="840"/>
              <w:spacing w:after="0"/>
              <w:rPr>
                <w:sz w:val="20"/>
                <w:szCs w:val="20"/>
                <w:color w:val="auto"/>
              </w:rPr>
            </w:pPr>
            <w:r>
              <w:rPr>
                <w:rFonts w:ascii="Courier New" w:cs="Courier New" w:eastAsia="Courier New" w:hAnsi="Courier New"/>
                <w:sz w:val="16"/>
                <w:szCs w:val="16"/>
                <w:color w:val="auto"/>
              </w:rPr>
              <w:t>0</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88,988</w:t>
            </w:r>
          </w:p>
        </w:tc>
        <w:tc>
          <w:tcPr>
            <w:tcW w:w="19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r>
      <w:tr>
        <w:trPr>
          <w:trHeight w:val="180"/>
        </w:trPr>
        <w:tc>
          <w:tcPr>
            <w:tcW w:w="4960" w:type="dxa"/>
            <w:vAlign w:val="bottom"/>
          </w:tcPr>
          <w:p>
            <w:pPr>
              <w:ind w:left="460"/>
              <w:spacing w:after="0"/>
              <w:rPr>
                <w:sz w:val="20"/>
                <w:szCs w:val="20"/>
                <w:color w:val="auto"/>
              </w:rPr>
            </w:pPr>
            <w:r>
              <w:rPr>
                <w:rFonts w:ascii="Courier New" w:cs="Courier New" w:eastAsia="Courier New" w:hAnsi="Courier New"/>
                <w:sz w:val="16"/>
                <w:szCs w:val="16"/>
                <w:color w:val="auto"/>
              </w:rPr>
              <w:t>Restricted stock issued to employees</w:t>
            </w:r>
          </w:p>
        </w:tc>
        <w:tc>
          <w:tcPr>
            <w:tcW w:w="1260" w:type="dxa"/>
            <w:vAlign w:val="bottom"/>
          </w:tcPr>
          <w:p>
            <w:pPr>
              <w:ind w:left="840"/>
              <w:spacing w:after="0"/>
              <w:rPr>
                <w:sz w:val="20"/>
                <w:szCs w:val="20"/>
                <w:color w:val="auto"/>
              </w:rPr>
            </w:pPr>
            <w:r>
              <w:rPr>
                <w:rFonts w:ascii="Courier New" w:cs="Courier New" w:eastAsia="Courier New" w:hAnsi="Courier New"/>
                <w:sz w:val="16"/>
                <w:szCs w:val="16"/>
                <w:color w:val="auto"/>
              </w:rPr>
              <w:t>0</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1,661</w:t>
            </w:r>
          </w:p>
        </w:tc>
        <w:tc>
          <w:tcPr>
            <w:tcW w:w="19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r>
      <w:tr>
        <w:trPr>
          <w:trHeight w:val="180"/>
        </w:trPr>
        <w:tc>
          <w:tcPr>
            <w:tcW w:w="4960" w:type="dxa"/>
            <w:vAlign w:val="bottom"/>
          </w:tcPr>
          <w:p>
            <w:pPr>
              <w:spacing w:after="0"/>
              <w:rPr>
                <w:sz w:val="15"/>
                <w:szCs w:val="15"/>
                <w:color w:val="auto"/>
              </w:rPr>
            </w:pPr>
          </w:p>
        </w:tc>
        <w:tc>
          <w:tcPr>
            <w:tcW w:w="126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$3,435</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13,113,532</w:t>
            </w:r>
          </w:p>
        </w:tc>
        <w:tc>
          <w:tcPr>
            <w:tcW w:w="1900" w:type="dxa"/>
            <w:vAlign w:val="bottom"/>
          </w:tcPr>
          <w:p>
            <w:pPr>
              <w:jc w:val="center"/>
              <w:ind w:left="362"/>
              <w:spacing w:after="0"/>
              <w:rPr>
                <w:sz w:val="20"/>
                <w:szCs w:val="20"/>
                <w:color w:val="auto"/>
              </w:rPr>
            </w:pPr>
            <w:r>
              <w:rPr>
                <w:rFonts w:ascii="Courier New" w:cs="Courier New" w:eastAsia="Courier New" w:hAnsi="Courier New"/>
                <w:sz w:val="16"/>
                <w:szCs w:val="16"/>
                <w:color w:val="auto"/>
                <w:w w:val="98"/>
              </w:rPr>
              <w:t>$.26</w:t>
            </w:r>
          </w:p>
        </w:tc>
      </w:tr>
      <w:tr>
        <w:trPr>
          <w:trHeight w:val="180"/>
        </w:trPr>
        <w:tc>
          <w:tcPr>
            <w:tcW w:w="4960" w:type="dxa"/>
            <w:vAlign w:val="bottom"/>
          </w:tcPr>
          <w:p>
            <w:pPr>
              <w:spacing w:after="0"/>
              <w:rPr>
                <w:sz w:val="15"/>
                <w:szCs w:val="15"/>
                <w:color w:val="auto"/>
              </w:rPr>
            </w:pP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center"/>
              <w:ind w:left="362"/>
              <w:spacing w:after="0"/>
              <w:rPr>
                <w:sz w:val="20"/>
                <w:szCs w:val="20"/>
                <w:color w:val="auto"/>
              </w:rPr>
            </w:pPr>
            <w:r>
              <w:rPr>
                <w:rFonts w:ascii="Courier New" w:cs="Courier New" w:eastAsia="Courier New" w:hAnsi="Courier New"/>
                <w:sz w:val="16"/>
                <w:szCs w:val="16"/>
                <w:color w:val="auto"/>
                <w:w w:val="98"/>
              </w:rPr>
              <w:t>====</w:t>
            </w:r>
          </w:p>
        </w:tc>
      </w:tr>
      <w:tr>
        <w:trPr>
          <w:trHeight w:val="902"/>
        </w:trPr>
        <w:tc>
          <w:tcPr>
            <w:tcW w:w="4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0" w:type="dxa"/>
            <w:vAlign w:val="bottom"/>
            <w:gridSpan w:val="2"/>
          </w:tcPr>
          <w:p>
            <w:pPr>
              <w:jc w:val="right"/>
              <w:ind w:right="1122"/>
              <w:spacing w:after="0"/>
              <w:rPr>
                <w:sz w:val="20"/>
                <w:szCs w:val="20"/>
                <w:color w:val="auto"/>
              </w:rPr>
            </w:pPr>
            <w:r>
              <w:rPr>
                <w:rFonts w:ascii="Courier New" w:cs="Courier New" w:eastAsia="Courier New" w:hAnsi="Courier New"/>
                <w:sz w:val="16"/>
                <w:szCs w:val="16"/>
                <w:color w:val="auto"/>
              </w:rPr>
              <w:t>For the quarter ended February 28, 1997</w:t>
            </w:r>
          </w:p>
        </w:tc>
      </w:tr>
      <w:tr>
        <w:trPr>
          <w:trHeight w:val="180"/>
        </w:trPr>
        <w:tc>
          <w:tcPr>
            <w:tcW w:w="4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0" w:type="dxa"/>
            <w:vAlign w:val="bottom"/>
            <w:gridSpan w:val="2"/>
          </w:tcPr>
          <w:p>
            <w:pPr>
              <w:jc w:val="right"/>
              <w:ind w:right="1122"/>
              <w:spacing w:after="0"/>
              <w:rPr>
                <w:sz w:val="20"/>
                <w:szCs w:val="20"/>
                <w:color w:val="auto"/>
              </w:rPr>
            </w:pPr>
            <w:r>
              <w:rPr>
                <w:rFonts w:ascii="Courier New" w:cs="Courier New" w:eastAsia="Courier New" w:hAnsi="Courier New"/>
                <w:sz w:val="16"/>
                <w:szCs w:val="16"/>
                <w:color w:val="auto"/>
              </w:rPr>
              <w:t>---------------------------------------</w:t>
            </w:r>
          </w:p>
        </w:tc>
      </w:tr>
      <w:tr>
        <w:trPr>
          <w:trHeight w:val="361"/>
        </w:trPr>
        <w:tc>
          <w:tcPr>
            <w:tcW w:w="4960" w:type="dxa"/>
            <w:vAlign w:val="bottom"/>
          </w:tcPr>
          <w:p>
            <w:pPr>
              <w:spacing w:after="0"/>
              <w:rPr>
                <w:sz w:val="24"/>
                <w:szCs w:val="24"/>
                <w:color w:val="auto"/>
              </w:rPr>
            </w:pP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Income</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Shares</w:t>
            </w:r>
          </w:p>
        </w:tc>
        <w:tc>
          <w:tcPr>
            <w:tcW w:w="190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6"/>
              </w:rPr>
              <w:t>Per share amount</w:t>
            </w:r>
          </w:p>
        </w:tc>
      </w:tr>
      <w:tr>
        <w:trPr>
          <w:trHeight w:val="180"/>
        </w:trPr>
        <w:tc>
          <w:tcPr>
            <w:tcW w:w="4960" w:type="dxa"/>
            <w:vAlign w:val="bottom"/>
          </w:tcPr>
          <w:p>
            <w:pPr>
              <w:spacing w:after="0"/>
              <w:rPr>
                <w:sz w:val="15"/>
                <w:szCs w:val="15"/>
                <w:color w:val="auto"/>
              </w:rPr>
            </w:pP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496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$3,433</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13,075,595</w:t>
            </w:r>
          </w:p>
        </w:tc>
        <w:tc>
          <w:tcPr>
            <w:tcW w:w="1900" w:type="dxa"/>
            <w:vAlign w:val="bottom"/>
          </w:tcPr>
          <w:p>
            <w:pPr>
              <w:jc w:val="center"/>
              <w:ind w:left="362"/>
              <w:spacing w:after="0"/>
              <w:rPr>
                <w:sz w:val="20"/>
                <w:szCs w:val="20"/>
                <w:color w:val="auto"/>
              </w:rPr>
            </w:pPr>
            <w:r>
              <w:rPr>
                <w:rFonts w:ascii="Courier New" w:cs="Courier New" w:eastAsia="Courier New" w:hAnsi="Courier New"/>
                <w:sz w:val="16"/>
                <w:szCs w:val="16"/>
                <w:color w:val="auto"/>
                <w:w w:val="98"/>
              </w:rPr>
              <w:t>$.26</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2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0"/>
        </w:trPr>
        <w:tc>
          <w:tcPr>
            <w:tcW w:w="4960" w:type="dxa"/>
            <w:vAlign w:val="bottom"/>
          </w:tcPr>
          <w:p>
            <w:pPr>
              <w:ind w:left="460"/>
              <w:spacing w:after="0"/>
              <w:rPr>
                <w:sz w:val="20"/>
                <w:szCs w:val="20"/>
                <w:color w:val="auto"/>
              </w:rPr>
            </w:pPr>
            <w:r>
              <w:rPr>
                <w:rFonts w:ascii="Courier New" w:cs="Courier New" w:eastAsia="Courier New" w:hAnsi="Courier New"/>
                <w:sz w:val="16"/>
                <w:szCs w:val="16"/>
                <w:color w:val="auto"/>
              </w:rPr>
              <w:t>Options issued to directors and employees</w:t>
            </w:r>
          </w:p>
        </w:tc>
        <w:tc>
          <w:tcPr>
            <w:tcW w:w="1260" w:type="dxa"/>
            <w:vAlign w:val="bottom"/>
          </w:tcPr>
          <w:p>
            <w:pPr>
              <w:ind w:left="840"/>
              <w:spacing w:after="0"/>
              <w:rPr>
                <w:sz w:val="20"/>
                <w:szCs w:val="20"/>
                <w:color w:val="auto"/>
              </w:rPr>
            </w:pPr>
            <w:r>
              <w:rPr>
                <w:rFonts w:ascii="Courier New" w:cs="Courier New" w:eastAsia="Courier New" w:hAnsi="Courier New"/>
                <w:sz w:val="16"/>
                <w:szCs w:val="16"/>
                <w:color w:val="auto"/>
              </w:rPr>
              <w:t>0</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0</w:t>
            </w:r>
          </w:p>
        </w:tc>
        <w:tc>
          <w:tcPr>
            <w:tcW w:w="19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r>
      <w:tr>
        <w:trPr>
          <w:trHeight w:val="180"/>
        </w:trPr>
        <w:tc>
          <w:tcPr>
            <w:tcW w:w="4960" w:type="dxa"/>
            <w:vAlign w:val="bottom"/>
          </w:tcPr>
          <w:p>
            <w:pPr>
              <w:ind w:left="460"/>
              <w:spacing w:after="0"/>
              <w:rPr>
                <w:sz w:val="20"/>
                <w:szCs w:val="20"/>
                <w:color w:val="auto"/>
              </w:rPr>
            </w:pPr>
            <w:r>
              <w:rPr>
                <w:rFonts w:ascii="Courier New" w:cs="Courier New" w:eastAsia="Courier New" w:hAnsi="Courier New"/>
                <w:sz w:val="16"/>
                <w:szCs w:val="16"/>
                <w:color w:val="auto"/>
              </w:rPr>
              <w:t>Restricted stock issued to employees</w:t>
            </w:r>
          </w:p>
        </w:tc>
        <w:tc>
          <w:tcPr>
            <w:tcW w:w="1260" w:type="dxa"/>
            <w:vAlign w:val="bottom"/>
          </w:tcPr>
          <w:p>
            <w:pPr>
              <w:ind w:left="840"/>
              <w:spacing w:after="0"/>
              <w:rPr>
                <w:sz w:val="20"/>
                <w:szCs w:val="20"/>
                <w:color w:val="auto"/>
              </w:rPr>
            </w:pPr>
            <w:r>
              <w:rPr>
                <w:rFonts w:ascii="Courier New" w:cs="Courier New" w:eastAsia="Courier New" w:hAnsi="Courier New"/>
                <w:sz w:val="16"/>
                <w:szCs w:val="16"/>
                <w:color w:val="auto"/>
              </w:rPr>
              <w:t>0</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0</w:t>
            </w:r>
          </w:p>
        </w:tc>
        <w:tc>
          <w:tcPr>
            <w:tcW w:w="19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r>
      <w:tr>
        <w:trPr>
          <w:trHeight w:val="180"/>
        </w:trPr>
        <w:tc>
          <w:tcPr>
            <w:tcW w:w="4960" w:type="dxa"/>
            <w:vAlign w:val="bottom"/>
          </w:tcPr>
          <w:p>
            <w:pPr>
              <w:spacing w:after="0"/>
              <w:rPr>
                <w:sz w:val="15"/>
                <w:szCs w:val="15"/>
                <w:color w:val="auto"/>
              </w:rPr>
            </w:pPr>
          </w:p>
        </w:tc>
        <w:tc>
          <w:tcPr>
            <w:tcW w:w="126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$3,433</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13,075,595</w:t>
            </w:r>
          </w:p>
        </w:tc>
        <w:tc>
          <w:tcPr>
            <w:tcW w:w="1900" w:type="dxa"/>
            <w:vAlign w:val="bottom"/>
          </w:tcPr>
          <w:p>
            <w:pPr>
              <w:jc w:val="center"/>
              <w:ind w:left="362"/>
              <w:spacing w:after="0"/>
              <w:rPr>
                <w:sz w:val="20"/>
                <w:szCs w:val="20"/>
                <w:color w:val="auto"/>
              </w:rPr>
            </w:pPr>
            <w:r>
              <w:rPr>
                <w:rFonts w:ascii="Courier New" w:cs="Courier New" w:eastAsia="Courier New" w:hAnsi="Courier New"/>
                <w:sz w:val="16"/>
                <w:szCs w:val="16"/>
                <w:color w:val="auto"/>
                <w:w w:val="98"/>
              </w:rPr>
              <w:t>$.26</w:t>
            </w:r>
          </w:p>
        </w:tc>
      </w:tr>
      <w:tr>
        <w:trPr>
          <w:trHeight w:val="180"/>
        </w:trPr>
        <w:tc>
          <w:tcPr>
            <w:tcW w:w="4960" w:type="dxa"/>
            <w:vAlign w:val="bottom"/>
          </w:tcPr>
          <w:p>
            <w:pPr>
              <w:spacing w:after="0"/>
              <w:rPr>
                <w:sz w:val="15"/>
                <w:szCs w:val="15"/>
                <w:color w:val="auto"/>
              </w:rPr>
            </w:pP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3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center"/>
              <w:ind w:left="362"/>
              <w:spacing w:after="0"/>
              <w:rPr>
                <w:sz w:val="20"/>
                <w:szCs w:val="20"/>
                <w:color w:val="auto"/>
              </w:rPr>
            </w:pPr>
            <w:r>
              <w:rPr>
                <w:rFonts w:ascii="Courier New" w:cs="Courier New" w:eastAsia="Courier New" w:hAnsi="Courier New"/>
                <w:sz w:val="16"/>
                <w:szCs w:val="16"/>
                <w:color w:val="auto"/>
                <w:w w:val="98"/>
              </w:rPr>
              <w:t>====</w:t>
            </w:r>
          </w:p>
        </w:tc>
      </w:tr>
    </w:tbl>
    <w:p>
      <w:pPr>
        <w:spacing w:after="0" w:line="365" w:lineRule="exact"/>
        <w:rPr>
          <w:sz w:val="20"/>
          <w:szCs w:val="20"/>
          <w:color w:val="auto"/>
        </w:rPr>
      </w:pPr>
    </w:p>
    <w:p>
      <w:pPr>
        <w:ind w:right="4120"/>
        <w:spacing w:after="0" w:line="237" w:lineRule="auto"/>
        <w:rPr>
          <w:sz w:val="20"/>
          <w:szCs w:val="20"/>
          <w:color w:val="auto"/>
        </w:rPr>
      </w:pPr>
      <w:r>
        <w:rPr>
          <w:rFonts w:ascii="Courier New" w:cs="Courier New" w:eastAsia="Courier New" w:hAnsi="Courier New"/>
          <w:sz w:val="16"/>
          <w:szCs w:val="16"/>
          <w:color w:val="auto"/>
        </w:rPr>
        <w:t>Options to purchase 149,067 shares of common stock at $37.40 per share were outstanding during the first quarter of 1998 but were not included in the computation of diluted EPS because the options' exercise price was greater than the average market price of the common shares.</w:t>
      </w:r>
    </w:p>
    <w:p>
      <w:pPr>
        <w:sectPr>
          <w:pgSz w:w="11900" w:h="16907" w:orient="portrait"/>
          <w:cols w:equalWidth="0" w:num="1">
            <w:col w:w="11520"/>
          </w:cols>
          <w:pgMar w:left="240" w:top="293" w:right="139" w:bottom="0" w:gutter="0" w:footer="0" w:header="0"/>
        </w:sectPr>
      </w:pPr>
    </w:p>
    <w:bookmarkStart w:id="7" w:name="page8"/>
    <w:bookmarkEnd w:id="7"/>
    <w:p>
      <w:pPr>
        <w:ind w:left="1980"/>
        <w:spacing w:after="0"/>
        <w:rPr>
          <w:sz w:val="20"/>
          <w:szCs w:val="20"/>
          <w:color w:val="auto"/>
        </w:rPr>
      </w:pPr>
      <w:r>
        <w:rPr>
          <w:rFonts w:ascii="Courier New" w:cs="Courier New" w:eastAsia="Courier New" w:hAnsi="Courier New"/>
          <w:sz w:val="15"/>
          <w:szCs w:val="15"/>
          <w:color w:val="auto"/>
        </w:rPr>
        <w:t>Page 6 of 12</w:t>
      </w:r>
    </w:p>
    <w:p>
      <w:pPr>
        <w:sectPr>
          <w:pgSz w:w="11900" w:h="16838" w:orient="portrait"/>
          <w:cols w:equalWidth="0" w:num="1">
            <w:col w:w="9019"/>
          </w:cols>
          <w:pgMar w:left="1440" w:top="502" w:right="1440" w:bottom="1440" w:gutter="0" w:footer="0" w:header="0"/>
        </w:sectPr>
      </w:pPr>
    </w:p>
    <w:bookmarkStart w:id="8" w:name="page9"/>
    <w:bookmarkEnd w:id="8"/>
    <w:p>
      <w:pPr>
        <w:spacing w:after="0" w:line="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7</w:t>
      </w:r>
    </w:p>
    <w:p>
      <w:pPr>
        <w:ind w:left="1780"/>
        <w:spacing w:after="0"/>
        <w:rPr>
          <w:sz w:val="20"/>
          <w:szCs w:val="20"/>
          <w:color w:val="auto"/>
        </w:rPr>
      </w:pPr>
      <w:r>
        <w:rPr>
          <w:rFonts w:ascii="Courier New" w:cs="Courier New" w:eastAsia="Courier New" w:hAnsi="Courier New"/>
          <w:sz w:val="16"/>
          <w:szCs w:val="16"/>
          <w:color w:val="auto"/>
        </w:rPr>
        <w:t>PART I - FINANCIAL INFORMATION - CONTINUED</w:t>
      </w:r>
    </w:p>
    <w:p>
      <w:pPr>
        <w:spacing w:after="0" w:line="3" w:lineRule="exact"/>
        <w:rPr>
          <w:sz w:val="20"/>
          <w:szCs w:val="20"/>
          <w:color w:val="auto"/>
        </w:rPr>
      </w:pPr>
    </w:p>
    <w:p>
      <w:pPr>
        <w:ind w:left="1680" w:right="3759" w:hanging="739"/>
        <w:spacing w:after="0" w:line="263" w:lineRule="auto"/>
        <w:tabs>
          <w:tab w:leader="none" w:pos="1660" w:val="left"/>
        </w:tabs>
        <w:rPr>
          <w:sz w:val="20"/>
          <w:szCs w:val="20"/>
          <w:color w:val="auto"/>
        </w:rPr>
      </w:pPr>
      <w:r>
        <w:rPr>
          <w:rFonts w:ascii="Courier New" w:cs="Courier New" w:eastAsia="Courier New" w:hAnsi="Courier New"/>
          <w:sz w:val="15"/>
          <w:szCs w:val="15"/>
          <w:color w:val="auto"/>
        </w:rPr>
        <w:t>BASSETT</w:t>
        <w:tab/>
        <w:t>FURNITURE INDUSTRIES, INCORPORATED AND SUBSIDIARIES February 28, 1998 (in thousands of dollars)</w:t>
      </w:r>
    </w:p>
    <w:p>
      <w:pPr>
        <w:spacing w:after="0" w:line="34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F.</w:t>
      </w:r>
      <w:r>
        <w:rPr>
          <w:sz w:val="20"/>
          <w:szCs w:val="20"/>
          <w:color w:val="auto"/>
        </w:rPr>
        <w:tab/>
      </w:r>
      <w:r>
        <w:rPr>
          <w:rFonts w:ascii="Courier New" w:cs="Courier New" w:eastAsia="Courier New" w:hAnsi="Courier New"/>
          <w:sz w:val="15"/>
          <w:szCs w:val="15"/>
          <w:color w:val="auto"/>
        </w:rPr>
        <w:t>Earnings per share: (continued)</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Basic earnings per common share was computed by dividing net income by the weighted average number of shares of common stock outstanding during the year. Diluted earnings per common share reflect the potential dilution that could occur if securities or other contracts to issue common stock were exercised or converted into common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8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175"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major components of net income expressed as a percentage of net sales were as follows. The proforma data excludes the effect of sales from closed operations and the effect of nonrecurring charges.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4700" w:type="dxa"/>
            <w:vAlign w:val="bottom"/>
            <w:gridSpan w:val="5"/>
          </w:tcPr>
          <w:p>
            <w:pPr>
              <w:jc w:val="right"/>
              <w:ind w:right="162"/>
              <w:spacing w:after="0"/>
              <w:rPr>
                <w:sz w:val="20"/>
                <w:szCs w:val="20"/>
                <w:color w:val="auto"/>
              </w:rPr>
            </w:pPr>
            <w:r>
              <w:rPr>
                <w:rFonts w:ascii="Courier New" w:cs="Courier New" w:eastAsia="Courier New" w:hAnsi="Courier New"/>
                <w:sz w:val="16"/>
                <w:szCs w:val="16"/>
                <w:color w:val="auto"/>
              </w:rPr>
              <w:t>First Quarter Ended February 28,</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3320" w:type="dxa"/>
            <w:vAlign w:val="bottom"/>
          </w:tcPr>
          <w:p>
            <w:pPr>
              <w:spacing w:after="0"/>
              <w:rPr>
                <w:sz w:val="15"/>
                <w:szCs w:val="15"/>
                <w:color w:val="auto"/>
              </w:rPr>
            </w:pPr>
          </w:p>
        </w:tc>
        <w:tc>
          <w:tcPr>
            <w:tcW w:w="4700" w:type="dxa"/>
            <w:vAlign w:val="bottom"/>
            <w:gridSpan w:val="5"/>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33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1998 Actual</w:t>
            </w:r>
          </w:p>
        </w:tc>
        <w:tc>
          <w:tcPr>
            <w:tcW w:w="380" w:type="dxa"/>
            <w:vAlign w:val="bottom"/>
          </w:tcPr>
          <w:p>
            <w:pPr>
              <w:spacing w:after="0"/>
              <w:rPr>
                <w:sz w:val="15"/>
                <w:szCs w:val="15"/>
                <w:color w:val="auto"/>
              </w:rPr>
            </w:pPr>
          </w:p>
        </w:tc>
        <w:tc>
          <w:tcPr>
            <w:tcW w:w="17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1998 Proforma</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52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5"/>
                <w:szCs w:val="15"/>
                <w:color w:val="auto"/>
              </w:rPr>
            </w:pPr>
          </w:p>
        </w:tc>
      </w:tr>
      <w:tr>
        <w:trPr>
          <w:trHeight w:val="180"/>
        </w:trPr>
        <w:tc>
          <w:tcPr>
            <w:tcW w:w="33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7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r>
      <w:tr>
        <w:trPr>
          <w:trHeight w:val="361"/>
        </w:trPr>
        <w:tc>
          <w:tcPr>
            <w:tcW w:w="33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82.1</w:t>
            </w:r>
          </w:p>
        </w:tc>
        <w:tc>
          <w:tcPr>
            <w:tcW w:w="38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80.7</w:t>
            </w:r>
          </w:p>
        </w:tc>
        <w:tc>
          <w:tcPr>
            <w:tcW w:w="6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83.4</w:t>
            </w:r>
          </w:p>
        </w:tc>
        <w:tc>
          <w:tcPr>
            <w:tcW w:w="5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84.1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17.9</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c>
          <w:tcPr>
            <w:tcW w:w="52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15.9</w:t>
            </w:r>
          </w:p>
        </w:tc>
        <w:tc>
          <w:tcPr>
            <w:tcW w:w="200" w:type="dxa"/>
            <w:vAlign w:val="bottom"/>
          </w:tcPr>
          <w:p>
            <w:pPr>
              <w:spacing w:after="0"/>
              <w:rPr>
                <w:sz w:val="15"/>
                <w:szCs w:val="15"/>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SG&amp;A expenses</w:t>
            </w:r>
          </w:p>
        </w:tc>
        <w:tc>
          <w:tcPr>
            <w:tcW w:w="1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16.0</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16.0</w:t>
            </w: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c>
          <w:tcPr>
            <w:tcW w:w="52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13.8</w:t>
            </w:r>
          </w:p>
        </w:tc>
        <w:tc>
          <w:tcPr>
            <w:tcW w:w="200" w:type="dxa"/>
            <w:vAlign w:val="bottom"/>
          </w:tcPr>
          <w:p>
            <w:pPr>
              <w:spacing w:after="0"/>
              <w:rPr>
                <w:sz w:val="15"/>
                <w:szCs w:val="15"/>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52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c>
          <w:tcPr>
            <w:tcW w:w="200" w:type="dxa"/>
            <w:vAlign w:val="bottom"/>
          </w:tcPr>
          <w:p>
            <w:pPr>
              <w:spacing w:after="0"/>
              <w:rPr>
                <w:sz w:val="15"/>
                <w:szCs w:val="15"/>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1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2.8</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52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w:t>
            </w:r>
          </w:p>
        </w:tc>
        <w:tc>
          <w:tcPr>
            <w:tcW w:w="200" w:type="dxa"/>
            <w:vAlign w:val="bottom"/>
          </w:tcPr>
          <w:p>
            <w:pPr>
              <w:spacing w:after="0"/>
              <w:rPr>
                <w:sz w:val="15"/>
                <w:szCs w:val="15"/>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52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w:t>
            </w:r>
          </w:p>
        </w:tc>
        <w:tc>
          <w:tcPr>
            <w:tcW w:w="200" w:type="dxa"/>
            <w:vAlign w:val="bottom"/>
          </w:tcPr>
          <w:p>
            <w:pPr>
              <w:spacing w:after="0"/>
              <w:rPr>
                <w:sz w:val="15"/>
                <w:szCs w:val="15"/>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52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w:t>
            </w:r>
          </w:p>
        </w:tc>
        <w:tc>
          <w:tcPr>
            <w:tcW w:w="200" w:type="dxa"/>
            <w:vAlign w:val="bottom"/>
          </w:tcPr>
          <w:p>
            <w:pPr>
              <w:spacing w:after="0"/>
              <w:rPr>
                <w:sz w:val="15"/>
                <w:szCs w:val="15"/>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52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w:t>
            </w:r>
          </w:p>
        </w:tc>
        <w:tc>
          <w:tcPr>
            <w:tcW w:w="200" w:type="dxa"/>
            <w:vAlign w:val="bottom"/>
          </w:tcPr>
          <w:p>
            <w:pPr>
              <w:spacing w:after="0"/>
              <w:rPr>
                <w:sz w:val="15"/>
                <w:szCs w:val="15"/>
                <w:color w:val="auto"/>
              </w:rPr>
            </w:pP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for the first quarter compared with prior years was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1600" w:type="dxa"/>
            <w:vAlign w:val="bottom"/>
          </w:tcPr>
          <w:p>
            <w:pPr>
              <w:ind w:left="460"/>
              <w:spacing w:after="0"/>
              <w:rPr>
                <w:sz w:val="20"/>
                <w:szCs w:val="20"/>
                <w:color w:val="auto"/>
              </w:rPr>
            </w:pPr>
            <w:r>
              <w:rPr>
                <w:rFonts w:ascii="Courier New" w:cs="Courier New" w:eastAsia="Courier New" w:hAnsi="Courier New"/>
                <w:sz w:val="16"/>
                <w:szCs w:val="16"/>
                <w:color w:val="auto"/>
              </w:rPr>
              <w:t>1998</w:t>
            </w:r>
          </w:p>
        </w:tc>
        <w:tc>
          <w:tcPr>
            <w:tcW w:w="1640" w:type="dxa"/>
            <w:vAlign w:val="bottom"/>
          </w:tcPr>
          <w:p>
            <w:pPr>
              <w:ind w:left="460"/>
              <w:spacing w:after="0"/>
              <w:rPr>
                <w:sz w:val="20"/>
                <w:szCs w:val="20"/>
                <w:color w:val="auto"/>
              </w:rPr>
            </w:pPr>
            <w:r>
              <w:rPr>
                <w:rFonts w:ascii="Courier New" w:cs="Courier New" w:eastAsia="Courier New" w:hAnsi="Courier New"/>
                <w:sz w:val="16"/>
                <w:szCs w:val="16"/>
                <w:color w:val="auto"/>
              </w:rPr>
              <w:t>1997</w:t>
            </w:r>
          </w:p>
        </w:tc>
        <w:tc>
          <w:tcPr>
            <w:tcW w:w="1160" w:type="dxa"/>
            <w:vAlign w:val="bottom"/>
          </w:tcPr>
          <w:p>
            <w:pPr>
              <w:ind w:left="420"/>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2720" w:type="dxa"/>
            <w:vAlign w:val="bottom"/>
          </w:tcPr>
          <w:p>
            <w:pPr>
              <w:spacing w:after="0"/>
              <w:rPr>
                <w:sz w:val="15"/>
                <w:szCs w:val="15"/>
                <w:color w:val="auto"/>
              </w:rPr>
            </w:pPr>
          </w:p>
        </w:tc>
        <w:tc>
          <w:tcPr>
            <w:tcW w:w="16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00" w:type="dxa"/>
            <w:vAlign w:val="bottom"/>
          </w:tcPr>
          <w:p>
            <w:pPr>
              <w:ind w:left="460"/>
              <w:spacing w:after="0"/>
              <w:rPr>
                <w:sz w:val="20"/>
                <w:szCs w:val="20"/>
                <w:color w:val="auto"/>
              </w:rPr>
            </w:pPr>
            <w:r>
              <w:rPr>
                <w:rFonts w:ascii="Courier New" w:cs="Courier New" w:eastAsia="Courier New" w:hAnsi="Courier New"/>
                <w:sz w:val="16"/>
                <w:szCs w:val="16"/>
                <w:color w:val="auto"/>
              </w:rPr>
              <w:t>$98,333</w:t>
            </w:r>
          </w:p>
        </w:tc>
        <w:tc>
          <w:tcPr>
            <w:tcW w:w="1640" w:type="dxa"/>
            <w:vAlign w:val="bottom"/>
          </w:tcPr>
          <w:p>
            <w:pPr>
              <w:ind w:left="460"/>
              <w:spacing w:after="0"/>
              <w:rPr>
                <w:sz w:val="20"/>
                <w:szCs w:val="20"/>
                <w:color w:val="auto"/>
              </w:rPr>
            </w:pPr>
            <w:r>
              <w:rPr>
                <w:rFonts w:ascii="Courier New" w:cs="Courier New" w:eastAsia="Courier New" w:hAnsi="Courier New"/>
                <w:sz w:val="16"/>
                <w:szCs w:val="16"/>
                <w:color w:val="auto"/>
              </w:rPr>
              <w:t>$109,806</w:t>
            </w:r>
          </w:p>
        </w:tc>
        <w:tc>
          <w:tcPr>
            <w:tcW w:w="1160" w:type="dxa"/>
            <w:vAlign w:val="bottom"/>
          </w:tcPr>
          <w:p>
            <w:pPr>
              <w:ind w:left="420"/>
              <w:spacing w:after="0"/>
              <w:rPr>
                <w:sz w:val="20"/>
                <w:szCs w:val="20"/>
                <w:color w:val="auto"/>
              </w:rPr>
            </w:pPr>
            <w:r>
              <w:rPr>
                <w:rFonts w:ascii="Courier New" w:cs="Courier New" w:eastAsia="Courier New" w:hAnsi="Courier New"/>
                <w:sz w:val="16"/>
                <w:szCs w:val="16"/>
                <w:color w:val="auto"/>
                <w:w w:val="93"/>
              </w:rPr>
              <w:t>$111,951</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change from prior year</w:t>
            </w:r>
          </w:p>
        </w:tc>
        <w:tc>
          <w:tcPr>
            <w:tcW w:w="1600" w:type="dxa"/>
            <w:vAlign w:val="bottom"/>
          </w:tcPr>
          <w:p>
            <w:pPr>
              <w:ind w:left="460"/>
              <w:spacing w:after="0"/>
              <w:rPr>
                <w:sz w:val="20"/>
                <w:szCs w:val="20"/>
                <w:color w:val="auto"/>
              </w:rPr>
            </w:pPr>
            <w:r>
              <w:rPr>
                <w:rFonts w:ascii="Courier New" w:cs="Courier New" w:eastAsia="Courier New" w:hAnsi="Courier New"/>
                <w:sz w:val="16"/>
                <w:szCs w:val="16"/>
                <w:color w:val="auto"/>
              </w:rPr>
              <w:t>(10.4)%</w:t>
            </w:r>
          </w:p>
        </w:tc>
        <w:tc>
          <w:tcPr>
            <w:tcW w:w="1640" w:type="dxa"/>
            <w:vAlign w:val="bottom"/>
          </w:tcPr>
          <w:p>
            <w:pPr>
              <w:ind w:left="460"/>
              <w:spacing w:after="0"/>
              <w:rPr>
                <w:sz w:val="20"/>
                <w:szCs w:val="20"/>
                <w:color w:val="auto"/>
              </w:rPr>
            </w:pPr>
            <w:r>
              <w:rPr>
                <w:rFonts w:ascii="Courier New" w:cs="Courier New" w:eastAsia="Courier New" w:hAnsi="Courier New"/>
                <w:sz w:val="16"/>
                <w:szCs w:val="16"/>
                <w:color w:val="auto"/>
              </w:rPr>
              <w:t>(1.92)%</w:t>
            </w:r>
          </w:p>
        </w:tc>
        <w:tc>
          <w:tcPr>
            <w:tcW w:w="1160" w:type="dxa"/>
            <w:vAlign w:val="bottom"/>
          </w:tcPr>
          <w:p>
            <w:pPr>
              <w:ind w:left="420"/>
              <w:spacing w:after="0"/>
              <w:rPr>
                <w:sz w:val="20"/>
                <w:szCs w:val="20"/>
                <w:color w:val="auto"/>
              </w:rPr>
            </w:pPr>
            <w:r>
              <w:rPr>
                <w:rFonts w:ascii="Courier New" w:cs="Courier New" w:eastAsia="Courier New" w:hAnsi="Courier New"/>
                <w:sz w:val="16"/>
                <w:szCs w:val="16"/>
                <w:color w:val="auto"/>
              </w:rPr>
              <w:t>(9.4)%</w:t>
            </w:r>
          </w:p>
        </w:tc>
      </w:tr>
    </w:tbl>
    <w:p>
      <w:pPr>
        <w:spacing w:after="0" w:line="36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Wood Division sales were very strong throughout the quarter, increasing 12% over prior year levels. However, Upholstery Division and Mattress Division sales decreased significantly below the 1997 first quarter volume. Certain recently introduced suites produced by the Wood Division, combined with improvements in overall quality, account for the significant sales increase. The sales decline in the Upholstery Division is generally attributable to the consolidation of motion furniture manufacturing into the Dumas, Arkansas plant. The consolidation resulted in the elimination of numerous SKU's and related sales. Mattress Division sales are down due to the loss of Levitz Furniture as a customer in late 1997. Overall, the net decrease in sales resulted primarily from the discontinuance of the National/Mt. Airy and Impact product lines, which accounted for $11,197 of sales in the first quarter of 1997 compared to $846 in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and expenses</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Company showed marked improvement in operating efficiencies in the first quarter as gross profit margin increased to 17.9% of net sales from 16.6% in 1997. However, the 1998 percentage includes $1,270 in operating expenses related to continuing costs of closed facilities. Excluding these continuing costs, the gross profit margin was 19.3%. This improvement is a direct result of the efficiencies gained through the Company's restructuring activities of 1997 and early 1998. Gross profit margins have improved in virtually every facility compared to a year ago. In addition, production volumes and operating margins have also improved in virtually every facility, except those involved in consolidations from closed facilities.</w:t>
      </w:r>
    </w:p>
    <w:p>
      <w:pPr>
        <w:spacing w:after="0" w:line="187" w:lineRule="exact"/>
        <w:rPr>
          <w:sz w:val="20"/>
          <w:szCs w:val="20"/>
          <w:color w:val="auto"/>
        </w:rPr>
      </w:pPr>
    </w:p>
    <w:p>
      <w:pPr>
        <w:jc w:val="both"/>
        <w:ind w:right="3279"/>
        <w:spacing w:after="0" w:line="259" w:lineRule="auto"/>
        <w:rPr>
          <w:sz w:val="20"/>
          <w:szCs w:val="20"/>
          <w:color w:val="auto"/>
        </w:rPr>
      </w:pPr>
      <w:r>
        <w:rPr>
          <w:rFonts w:ascii="Courier New" w:cs="Courier New" w:eastAsia="Courier New" w:hAnsi="Courier New"/>
          <w:sz w:val="15"/>
          <w:szCs w:val="15"/>
          <w:color w:val="auto"/>
        </w:rPr>
        <w:t>The 1997 cost of sales percentages were down from 1996 as the Company made improvements in its material cost component, which was more than offset by increases in the labor component due to an initiative to increase</w:t>
      </w:r>
    </w:p>
    <w:p>
      <w:pPr>
        <w:sectPr>
          <w:pgSz w:w="11900" w:h="16921" w:orient="portrait"/>
          <w:cols w:equalWidth="0" w:num="1">
            <w:col w:w="10219"/>
          </w:cols>
          <w:pgMar w:left="240" w:top="293"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competitiveness of production employees' compensation rates.</w:t>
      </w:r>
    </w:p>
    <w:p>
      <w:pPr>
        <w:sectPr>
          <w:pgSz w:w="11900" w:h="16838" w:orient="portrait"/>
          <w:cols w:equalWidth="0" w:num="1">
            <w:col w:w="10219"/>
          </w:cols>
          <w:pgMar w:left="240" w:top="142" w:right="1440" w:bottom="1440" w:gutter="0" w:footer="0" w:header="0"/>
        </w:sectPr>
      </w:pPr>
    </w:p>
    <w:p>
      <w:pPr>
        <w:spacing w:after="0" w:line="186" w:lineRule="exact"/>
        <w:rPr>
          <w:sz w:val="20"/>
          <w:szCs w:val="20"/>
          <w:color w:val="auto"/>
        </w:rPr>
      </w:pPr>
    </w:p>
    <w:p>
      <w:pPr>
        <w:ind w:left="3100"/>
        <w:spacing w:after="0"/>
        <w:tabs>
          <w:tab w:leader="none" w:pos="4100" w:val="left"/>
        </w:tabs>
        <w:rPr>
          <w:sz w:val="20"/>
          <w:szCs w:val="20"/>
          <w:color w:val="auto"/>
        </w:rPr>
      </w:pPr>
      <w:r>
        <w:rPr>
          <w:rFonts w:ascii="Courier New" w:cs="Courier New" w:eastAsia="Courier New" w:hAnsi="Courier New"/>
          <w:sz w:val="16"/>
          <w:szCs w:val="16"/>
          <w:color w:val="auto"/>
        </w:rPr>
        <w:t>Page 7 of</w:t>
        <w:tab/>
        <w:t>12</w:t>
      </w:r>
    </w:p>
    <w:p>
      <w:pPr>
        <w:sectPr>
          <w:pgSz w:w="11900" w:h="16838" w:orient="portrait"/>
          <w:cols w:equalWidth="0" w:num="1">
            <w:col w:w="10219"/>
          </w:cols>
          <w:pgMar w:left="240" w:top="142"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8</w:t>
      </w:r>
    </w:p>
    <w:p>
      <w:pPr>
        <w:ind w:left="1780"/>
        <w:spacing w:after="0"/>
        <w:rPr>
          <w:sz w:val="20"/>
          <w:szCs w:val="20"/>
          <w:color w:val="auto"/>
        </w:rPr>
      </w:pPr>
      <w:r>
        <w:rPr>
          <w:rFonts w:ascii="Courier New" w:cs="Courier New" w:eastAsia="Courier New" w:hAnsi="Courier New"/>
          <w:sz w:val="16"/>
          <w:szCs w:val="16"/>
          <w:color w:val="auto"/>
        </w:rPr>
        <w:t>PART I - FINANCIAL INFORMATION - CONTINUED</w:t>
      </w:r>
    </w:p>
    <w:p>
      <w:pPr>
        <w:ind w:left="940"/>
        <w:spacing w:after="0" w:line="237" w:lineRule="auto"/>
        <w:rPr>
          <w:sz w:val="20"/>
          <w:szCs w:val="20"/>
          <w:color w:val="auto"/>
        </w:rPr>
      </w:pPr>
      <w:r>
        <w:rPr>
          <w:rFonts w:ascii="Courier New" w:cs="Courier New" w:eastAsia="Courier New" w:hAnsi="Courier New"/>
          <w:sz w:val="16"/>
          <w:szCs w:val="16"/>
          <w:color w:val="auto"/>
        </w:rPr>
        <w:t>BASSETT FURNITURE INDUSTRIES, INCORPORATED AND SUBSIDIARIES</w:t>
      </w:r>
    </w:p>
    <w:p>
      <w:pPr>
        <w:ind w:left="1600"/>
        <w:spacing w:after="0"/>
        <w:tabs>
          <w:tab w:leader="none" w:pos="3440" w:val="left"/>
        </w:tabs>
        <w:rPr>
          <w:sz w:val="20"/>
          <w:szCs w:val="20"/>
          <w:color w:val="auto"/>
        </w:rPr>
      </w:pPr>
      <w:r>
        <w:rPr>
          <w:rFonts w:ascii="Courier New" w:cs="Courier New" w:eastAsia="Courier New" w:hAnsi="Courier New"/>
          <w:sz w:val="16"/>
          <w:szCs w:val="16"/>
          <w:color w:val="auto"/>
        </w:rPr>
        <w:t>February 28, 1998</w:t>
      </w:r>
      <w:r>
        <w:rPr>
          <w:sz w:val="20"/>
          <w:szCs w:val="20"/>
          <w:color w:val="auto"/>
        </w:rPr>
        <w:tab/>
      </w:r>
      <w:r>
        <w:rPr>
          <w:rFonts w:ascii="Courier New" w:cs="Courier New" w:eastAsia="Courier New" w:hAnsi="Courier New"/>
          <w:sz w:val="15"/>
          <w:szCs w:val="15"/>
          <w:color w:val="auto"/>
        </w:rPr>
        <w:t>(In thousands of dollars)</w:t>
      </w:r>
    </w:p>
    <w:p>
      <w:pPr>
        <w:spacing w:after="0" w:line="184"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(Continued)</w:t>
      </w:r>
    </w:p>
    <w:p>
      <w:pPr>
        <w:spacing w:after="0" w:line="185" w:lineRule="exact"/>
        <w:rPr>
          <w:sz w:val="20"/>
          <w:szCs w:val="20"/>
          <w:color w:val="auto"/>
        </w:rPr>
      </w:pPr>
    </w:p>
    <w:p>
      <w:pPr>
        <w:ind w:right="2999"/>
        <w:spacing w:after="0" w:line="238" w:lineRule="auto"/>
        <w:rPr>
          <w:sz w:val="20"/>
          <w:szCs w:val="20"/>
          <w:color w:val="auto"/>
        </w:rPr>
      </w:pPr>
      <w:r>
        <w:rPr>
          <w:rFonts w:ascii="Courier New" w:cs="Courier New" w:eastAsia="Courier New" w:hAnsi="Courier New"/>
          <w:sz w:val="16"/>
          <w:szCs w:val="16"/>
          <w:color w:val="auto"/>
        </w:rPr>
        <w:t>SG&amp;A expenses increased in 1998 compared to 1997 as the Company added key senior management positions to grow the business, increased expenditures to promote the Bassett brand name and continued expenditures to grow the Bassett Furniture Direct ("BFD") stores and Gallery stores. Expenses related to BFD stores and Gallery stores continues to escalate as the total number of these stores grows. Although SG&amp;A expenses as a percentage of sales in 1998 was higher than in prior years, it is in line with the Company's expectations for the quarter.</w:t>
      </w:r>
    </w:p>
    <w:p>
      <w:pPr>
        <w:spacing w:after="0" w:line="18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SG&amp;A expenses as a percentage of sales for 1997 were up 60 basis points over 1996 due to costs associated with product promotion, BFD and Gallery store programs and the Company's focus on customer service.</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net</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Other income increased 32% from $2,078 in 1997 to $2,747 in 1998. The increase in cash, cash equivalents and marketable securities by $23,000 over the prior year allowed the Company to increase its investment income. In addition, the change in investment strategy announced in the fourth quarter of 1997 accounted for increased income in the quarter.</w:t>
      </w:r>
    </w:p>
    <w:p>
      <w:pPr>
        <w:spacing w:after="0" w:line="187"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In the first quarter of 1997, other income was down $1,964 from the first quarter of 1996, when the Company generated $2,115 in income from gains on the sale of investment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effective income tax rate for the first quarter of 1998 was 24.5 % compared to 23.1 % in 1997. The rate increase occurred because many of the items in the current investment portfolio, under the new investment strategy, have higher tax rates than investments under the previous strategy. The new portfolio strategy is, however, generating a higher net income.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provided by operating activities was $ 2,335 in 1998 compared to $ 1,885</w:t>
      </w:r>
    </w:p>
    <w:p>
      <w:pPr>
        <w:spacing w:after="0"/>
        <w:tabs>
          <w:tab w:leader="none" w:pos="920" w:val="left"/>
        </w:tabs>
        <w:rPr>
          <w:sz w:val="20"/>
          <w:szCs w:val="20"/>
          <w:color w:val="auto"/>
        </w:rPr>
      </w:pPr>
      <w:r>
        <w:rPr>
          <w:rFonts w:ascii="Courier New" w:cs="Courier New" w:eastAsia="Courier New" w:hAnsi="Courier New"/>
          <w:sz w:val="16"/>
          <w:szCs w:val="16"/>
          <w:color w:val="auto"/>
        </w:rPr>
        <w:t>in 1997.</w:t>
      </w:r>
      <w:r>
        <w:rPr>
          <w:sz w:val="20"/>
          <w:szCs w:val="20"/>
          <w:color w:val="auto"/>
        </w:rPr>
        <w:tab/>
      </w:r>
      <w:r>
        <w:rPr>
          <w:rFonts w:ascii="Courier New" w:cs="Courier New" w:eastAsia="Courier New" w:hAnsi="Courier New"/>
          <w:sz w:val="15"/>
          <w:szCs w:val="15"/>
          <w:color w:val="auto"/>
        </w:rPr>
        <w:t>The current ratio as of February 28, 1998 and 1997, respectively, was</w:t>
      </w:r>
    </w:p>
    <w:p>
      <w:pPr>
        <w:spacing w:after="0"/>
        <w:tabs>
          <w:tab w:leader="none" w:pos="2420" w:val="left"/>
        </w:tabs>
        <w:rPr>
          <w:sz w:val="20"/>
          <w:szCs w:val="20"/>
          <w:color w:val="auto"/>
        </w:rPr>
      </w:pPr>
      <w:r>
        <w:rPr>
          <w:rFonts w:ascii="Courier New" w:cs="Courier New" w:eastAsia="Courier New" w:hAnsi="Courier New"/>
          <w:sz w:val="16"/>
          <w:szCs w:val="16"/>
          <w:color w:val="auto"/>
        </w:rPr>
        <w:t>4.55 to 1 and 5.53 to 1.</w:t>
      </w:r>
      <w:r>
        <w:rPr>
          <w:sz w:val="20"/>
          <w:szCs w:val="20"/>
          <w:color w:val="auto"/>
        </w:rPr>
        <w:tab/>
      </w:r>
      <w:r>
        <w:rPr>
          <w:rFonts w:ascii="Courier New" w:cs="Courier New" w:eastAsia="Courier New" w:hAnsi="Courier New"/>
          <w:sz w:val="15"/>
          <w:szCs w:val="15"/>
          <w:color w:val="auto"/>
        </w:rPr>
        <w:t>Working capital for 1998 was $ 152,771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$158,190 in 1997. There are no material commitments for capital expenditures at</w:t>
      </w:r>
    </w:p>
    <w:p>
      <w:pPr>
        <w:spacing w:after="0" w:line="5"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6"/>
          <w:szCs w:val="16"/>
          <w:color w:val="auto"/>
        </w:rPr>
        <w:t>February 28, 1998.</w:t>
      </w:r>
      <w:r>
        <w:rPr>
          <w:sz w:val="20"/>
          <w:szCs w:val="20"/>
          <w:color w:val="auto"/>
        </w:rPr>
        <w:tab/>
      </w:r>
      <w:r>
        <w:rPr>
          <w:rFonts w:ascii="Courier New" w:cs="Courier New" w:eastAsia="Courier New" w:hAnsi="Courier New"/>
          <w:sz w:val="15"/>
          <w:szCs w:val="15"/>
          <w:color w:val="auto"/>
        </w:rPr>
        <w:t>Capital expenditures made in the future for normal</w:t>
      </w:r>
    </w:p>
    <w:p>
      <w:pPr>
        <w:spacing w:after="0"/>
        <w:rPr>
          <w:sz w:val="20"/>
          <w:szCs w:val="20"/>
          <w:color w:val="auto"/>
        </w:rPr>
      </w:pPr>
      <w:r>
        <w:rPr>
          <w:rFonts w:ascii="Courier New" w:cs="Courier New" w:eastAsia="Courier New" w:hAnsi="Courier New"/>
          <w:sz w:val="16"/>
          <w:szCs w:val="16"/>
          <w:color w:val="auto"/>
        </w:rPr>
        <w:t>expansion are anticipated to be made from funds generated by operating</w:t>
      </w:r>
    </w:p>
    <w:p>
      <w:pPr>
        <w:spacing w:after="0" w:line="237" w:lineRule="auto"/>
        <w:tabs>
          <w:tab w:leader="none" w:pos="1200" w:val="left"/>
        </w:tabs>
        <w:rPr>
          <w:sz w:val="20"/>
          <w:szCs w:val="20"/>
          <w:color w:val="auto"/>
        </w:rPr>
      </w:pPr>
      <w:r>
        <w:rPr>
          <w:rFonts w:ascii="Courier New" w:cs="Courier New" w:eastAsia="Courier New" w:hAnsi="Courier New"/>
          <w:sz w:val="16"/>
          <w:szCs w:val="16"/>
          <w:color w:val="auto"/>
        </w:rPr>
        <w:t>activities.</w:t>
        <w:tab/>
        <w:t>The Company has not typically used the debt or equity markets as</w:t>
      </w:r>
    </w:p>
    <w:p>
      <w:pPr>
        <w:spacing w:after="0"/>
        <w:rPr>
          <w:sz w:val="20"/>
          <w:szCs w:val="20"/>
          <w:color w:val="auto"/>
        </w:rPr>
      </w:pPr>
      <w:r>
        <w:rPr>
          <w:rFonts w:ascii="Courier New" w:cs="Courier New" w:eastAsia="Courier New" w:hAnsi="Courier New"/>
          <w:sz w:val="16"/>
          <w:szCs w:val="16"/>
          <w:color w:val="auto"/>
        </w:rPr>
        <w:t>sources of funds or capital.</w:t>
      </w:r>
    </w:p>
    <w:p>
      <w:pPr>
        <w:spacing w:after="0" w:line="184"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The Company's consolidated financial statements are prepared on the basis of historical dollars and are not intended to show the impact of inflation or changing prices. Neither inflation nor changing prices has had a material effect on the Company's consolidated financial position and results of operations in prior years.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Company is involved in various claims and litigation, including a lawsuit concerning a subsidiary, E. B. Malone Corporation, as well as environmental matters at certain plant facilities, which arise in the normal course of business. The details of these matters are described in Note E in the Notes to Condensed Consolidated Financial Statements.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100"/>
        <w:spacing w:after="0"/>
        <w:tabs>
          <w:tab w:leader="none" w:pos="4100" w:val="left"/>
        </w:tabs>
        <w:rPr>
          <w:sz w:val="20"/>
          <w:szCs w:val="20"/>
          <w:color w:val="auto"/>
        </w:rPr>
      </w:pPr>
      <w:r>
        <w:rPr>
          <w:rFonts w:ascii="Courier New" w:cs="Courier New" w:eastAsia="Courier New" w:hAnsi="Courier New"/>
          <w:sz w:val="16"/>
          <w:szCs w:val="16"/>
          <w:color w:val="auto"/>
        </w:rPr>
        <w:t>Page 8 of</w:t>
        <w:tab/>
        <w:t>12</w:t>
      </w:r>
    </w:p>
    <w:p>
      <w:pPr>
        <w:sectPr>
          <w:pgSz w:w="11900" w:h="16838" w:orient="portrait"/>
          <w:cols w:equalWidth="0" w:num="1">
            <w:col w:w="10219"/>
          </w:cols>
          <w:pgMar w:left="240" w:top="293"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9</w:t>
      </w:r>
    </w:p>
    <w:p>
      <w:pPr>
        <w:ind w:left="1780"/>
        <w:spacing w:after="0"/>
        <w:rPr>
          <w:sz w:val="20"/>
          <w:szCs w:val="20"/>
          <w:color w:val="auto"/>
        </w:rPr>
      </w:pPr>
      <w:r>
        <w:rPr>
          <w:rFonts w:ascii="Courier New" w:cs="Courier New" w:eastAsia="Courier New" w:hAnsi="Courier New"/>
          <w:sz w:val="16"/>
          <w:szCs w:val="16"/>
          <w:color w:val="auto"/>
        </w:rPr>
        <w:t>PART I - FINANCIAL INFORMATION - CONTINUED</w:t>
      </w:r>
    </w:p>
    <w:p>
      <w:pPr>
        <w:spacing w:after="0" w:line="3" w:lineRule="exact"/>
        <w:rPr>
          <w:sz w:val="20"/>
          <w:szCs w:val="20"/>
          <w:color w:val="auto"/>
        </w:rPr>
      </w:pPr>
    </w:p>
    <w:p>
      <w:pPr>
        <w:ind w:left="1680" w:right="3759" w:hanging="739"/>
        <w:spacing w:after="0" w:line="263" w:lineRule="auto"/>
        <w:tabs>
          <w:tab w:leader="none" w:pos="1660" w:val="left"/>
        </w:tabs>
        <w:rPr>
          <w:sz w:val="20"/>
          <w:szCs w:val="20"/>
          <w:color w:val="auto"/>
        </w:rPr>
      </w:pPr>
      <w:r>
        <w:rPr>
          <w:rFonts w:ascii="Courier New" w:cs="Courier New" w:eastAsia="Courier New" w:hAnsi="Courier New"/>
          <w:sz w:val="15"/>
          <w:szCs w:val="15"/>
          <w:color w:val="auto"/>
        </w:rPr>
        <w:t>BASSETT</w:t>
        <w:tab/>
        <w:t>FURNITURE INDUSTRIES, INCORPORATED AND SUBSIDIARIES February 28, 1998 (in thousands of dollars)</w:t>
      </w:r>
    </w:p>
    <w:p>
      <w:pPr>
        <w:spacing w:after="0" w:line="169"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(Continued)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Over the past few years, the Company has been steadily reengineering its business processes and information systems to prepare for the conversion to year 2000. This effort has incorporated an analysis of Year 2000 issues, and management believes that appropriate and timely action has been taken to minimize the negative impact of this event. The Year 2000 issue results from the inability of many computer systems and applications to recognize the year 2000 as the year following 1999. This could cause systems to process critical information incorrectly. The Company plans to implement new systems and technologies in 1998 and 1999 that will provide solutions to these issues. The most significant step in accomplishing this goal was completed in the first quarter of 1998 when a comprehensive enterprise system was purchased; implementation began immediately and should be completed in the third quarter of 1999. The system has been installed in over 4,400 companies and is Year 2000 compliant. The Company continues to work with its customers, suppliers and third-party service providers to identify external weaknesses and provide solutions which will prevent the disruption of business activities at that time. The Company does not expect the cost of implementation to have a material adverse effect on its future results of operations, liquidity or capital resources.</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Safe-harbor forward-looking statements</w:t>
      </w:r>
    </w:p>
    <w:p>
      <w:pPr>
        <w:spacing w:after="0" w:line="18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This discussion contains certain forward-looking statements within the meaning of the Private Securities Litigation Reform Act of 1995 with respect to the financial condition, results of operations and business of Bassett Furniture Industries, Incorporated. These forward-looking statements involve certain risks and uncertainties. No assurance can be given that any such matters will be realized. Factors that may cause actual results to differ materially from those contemplated by such forward-looking statements include, among others, the following possibilities: (I) competitive conditions in the industry in which the Company operates; and (II) general economic conditions that are less favorable than expected.</w:t>
      </w:r>
    </w:p>
    <w:p>
      <w:pPr>
        <w:spacing w:after="0" w:line="200" w:lineRule="exact"/>
        <w:rPr>
          <w:sz w:val="20"/>
          <w:szCs w:val="20"/>
          <w:color w:val="auto"/>
        </w:rPr>
      </w:pPr>
    </w:p>
    <w:p>
      <w:pPr>
        <w:spacing w:after="0" w:line="342" w:lineRule="exact"/>
        <w:rPr>
          <w:sz w:val="20"/>
          <w:szCs w:val="20"/>
          <w:color w:val="auto"/>
        </w:rPr>
      </w:pPr>
    </w:p>
    <w:p>
      <w:pPr>
        <w:ind w:left="3100"/>
        <w:spacing w:after="0"/>
        <w:tabs>
          <w:tab w:leader="none" w:pos="4100" w:val="left"/>
        </w:tabs>
        <w:rPr>
          <w:sz w:val="20"/>
          <w:szCs w:val="20"/>
          <w:color w:val="auto"/>
        </w:rPr>
      </w:pPr>
      <w:r>
        <w:rPr>
          <w:rFonts w:ascii="Courier New" w:cs="Courier New" w:eastAsia="Courier New" w:hAnsi="Courier New"/>
          <w:sz w:val="16"/>
          <w:szCs w:val="16"/>
          <w:color w:val="auto"/>
        </w:rPr>
        <w:t>Page 9 of</w:t>
        <w:tab/>
        <w:t>12</w:t>
      </w:r>
    </w:p>
    <w:p>
      <w:pPr>
        <w:sectPr>
          <w:pgSz w:w="11900" w:h="16838" w:orient="portrait"/>
          <w:cols w:equalWidth="0" w:num="1">
            <w:col w:w="10219"/>
          </w:cols>
          <w:pgMar w:left="240" w:top="293" w:right="1440" w:bottom="1440" w:gutter="0" w:footer="0" w:header="0"/>
        </w:sectPr>
      </w:pPr>
    </w:p>
    <w:bookmarkStart w:id="12" w:name="page13"/>
    <w:bookmarkEnd w:id="12"/>
    <w:p>
      <w:pPr>
        <w:ind w:left="284"/>
        <w:spacing w:after="0"/>
        <w:rPr>
          <w:sz w:val="20"/>
          <w:szCs w:val="20"/>
          <w:color w:val="auto"/>
        </w:rPr>
      </w:pPr>
      <w:r>
        <w:rPr>
          <w:rFonts w:ascii="Courier New" w:cs="Courier New" w:eastAsia="Courier New" w:hAnsi="Courier New"/>
          <w:sz w:val="16"/>
          <w:szCs w:val="16"/>
          <w:color w:val="auto"/>
        </w:rPr>
        <w:t>10</w:t>
      </w:r>
    </w:p>
    <w:p>
      <w:pPr>
        <w:jc w:val="center"/>
        <w:ind w:right="4116"/>
        <w:spacing w:after="0"/>
        <w:rPr>
          <w:sz w:val="20"/>
          <w:szCs w:val="20"/>
          <w:color w:val="auto"/>
        </w:rPr>
      </w:pPr>
      <w:r>
        <w:rPr>
          <w:rFonts w:ascii="Courier New" w:cs="Courier New" w:eastAsia="Courier New" w:hAnsi="Courier New"/>
          <w:sz w:val="16"/>
          <w:szCs w:val="16"/>
          <w:color w:val="auto"/>
        </w:rPr>
        <w:t>PART II - OTHER INFORMATION</w:t>
      </w:r>
    </w:p>
    <w:p>
      <w:pPr>
        <w:jc w:val="center"/>
        <w:ind w:right="4116"/>
        <w:spacing w:after="0" w:line="237" w:lineRule="auto"/>
        <w:rPr>
          <w:sz w:val="20"/>
          <w:szCs w:val="20"/>
          <w:color w:val="auto"/>
        </w:rPr>
      </w:pPr>
      <w:r>
        <w:rPr>
          <w:rFonts w:ascii="Courier New" w:cs="Courier New" w:eastAsia="Courier New" w:hAnsi="Courier New"/>
          <w:sz w:val="16"/>
          <w:szCs w:val="16"/>
          <w:color w:val="auto"/>
        </w:rPr>
        <w:t>BASSETT FURNITURE INDUSTRIES, INCORPORATED AND SUBSIDIARIES</w:t>
      </w:r>
    </w:p>
    <w:p>
      <w:pPr>
        <w:jc w:val="center"/>
        <w:ind w:right="4116"/>
        <w:spacing w:after="0"/>
        <w:rPr>
          <w:sz w:val="20"/>
          <w:szCs w:val="20"/>
          <w:color w:val="auto"/>
        </w:rPr>
      </w:pPr>
      <w:r>
        <w:rPr>
          <w:rFonts w:ascii="Courier New" w:cs="Courier New" w:eastAsia="Courier New" w:hAnsi="Courier New"/>
          <w:sz w:val="16"/>
          <w:szCs w:val="16"/>
          <w:color w:val="auto"/>
        </w:rPr>
        <w:t>February 28, 1998</w:t>
      </w:r>
    </w:p>
    <w:p>
      <w:pPr>
        <w:spacing w:after="0" w:line="359"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5" w:lineRule="exact"/>
        <w:rPr>
          <w:sz w:val="20"/>
          <w:szCs w:val="20"/>
          <w:color w:val="auto"/>
        </w:rPr>
      </w:pPr>
    </w:p>
    <w:p>
      <w:pPr>
        <w:ind w:left="4" w:right="4120"/>
        <w:spacing w:after="0" w:line="237" w:lineRule="auto"/>
        <w:rPr>
          <w:sz w:val="20"/>
          <w:szCs w:val="20"/>
          <w:color w:val="auto"/>
        </w:rPr>
      </w:pPr>
      <w:r>
        <w:rPr>
          <w:rFonts w:ascii="Courier New" w:cs="Courier New" w:eastAsia="Courier New" w:hAnsi="Courier New"/>
          <w:sz w:val="16"/>
          <w:szCs w:val="16"/>
          <w:color w:val="auto"/>
        </w:rPr>
        <w:t>The stockholders were asked to vote on four proposals for the Annual Meeting of Stockholders: (1 ) nomination of thirteen directors, (2) approval of the Company's 1997 Employee Stock Plan, (3) ratification of selection of Arthur Andersen LLP as independent public accountants and (4) a stockholder proposal regarding an independent chairperson.</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The results of the votes by the stockholders was as follows: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 Election of directors:</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Voted for</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Withheld vote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Abstained</w:t>
            </w:r>
          </w:p>
        </w:tc>
      </w:tr>
      <w:tr>
        <w:trPr>
          <w:trHeight w:val="180"/>
        </w:trPr>
        <w:tc>
          <w:tcPr>
            <w:tcW w:w="1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460" w:type="dxa"/>
            <w:vAlign w:val="bottom"/>
          </w:tcPr>
          <w:p>
            <w:pPr>
              <w:spacing w:after="0"/>
              <w:rPr>
                <w:sz w:val="20"/>
                <w:szCs w:val="20"/>
                <w:color w:val="auto"/>
              </w:rPr>
            </w:pPr>
            <w:r>
              <w:rPr>
                <w:rFonts w:ascii="Courier New" w:cs="Courier New" w:eastAsia="Courier New" w:hAnsi="Courier New"/>
                <w:sz w:val="16"/>
                <w:szCs w:val="16"/>
                <w:color w:val="auto"/>
              </w:rPr>
              <w:t>Paul Fulton</w:t>
            </w:r>
          </w:p>
        </w:tc>
        <w:tc>
          <w:tcPr>
            <w:tcW w:w="3460" w:type="dxa"/>
            <w:vAlign w:val="bottom"/>
          </w:tcPr>
          <w:p>
            <w:pPr>
              <w:spacing w:after="0"/>
              <w:rPr>
                <w:sz w:val="24"/>
                <w:szCs w:val="24"/>
                <w:color w:val="auto"/>
              </w:rPr>
            </w:pP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12,728,034</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185,557</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Amy W. Brinkley</w:t>
            </w:r>
          </w:p>
        </w:tc>
        <w:tc>
          <w:tcPr>
            <w:tcW w:w="3460" w:type="dxa"/>
            <w:vAlign w:val="bottom"/>
          </w:tcPr>
          <w:p>
            <w:pPr>
              <w:spacing w:after="0"/>
              <w:rPr>
                <w:sz w:val="15"/>
                <w:szCs w:val="15"/>
                <w:color w:val="auto"/>
              </w:rPr>
            </w:pP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12,688,392</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225,199</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Peter W. Brown,</w:t>
            </w:r>
          </w:p>
        </w:tc>
        <w:tc>
          <w:tcPr>
            <w:tcW w:w="3460" w:type="dxa"/>
            <w:vAlign w:val="bottom"/>
          </w:tcPr>
          <w:p>
            <w:pPr>
              <w:ind w:left="40"/>
              <w:spacing w:after="0"/>
              <w:rPr>
                <w:sz w:val="20"/>
                <w:szCs w:val="20"/>
                <w:color w:val="auto"/>
              </w:rPr>
            </w:pPr>
            <w:r>
              <w:rPr>
                <w:rFonts w:ascii="Courier New" w:cs="Courier New" w:eastAsia="Courier New" w:hAnsi="Courier New"/>
                <w:sz w:val="16"/>
                <w:szCs w:val="16"/>
                <w:color w:val="auto"/>
              </w:rPr>
              <w:t>M.D.</w:t>
            </w: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12,728,060</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185,531</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Thomas E. Capps</w:t>
            </w:r>
          </w:p>
        </w:tc>
        <w:tc>
          <w:tcPr>
            <w:tcW w:w="3460" w:type="dxa"/>
            <w:vAlign w:val="bottom"/>
          </w:tcPr>
          <w:p>
            <w:pPr>
              <w:spacing w:after="0"/>
              <w:rPr>
                <w:sz w:val="15"/>
                <w:szCs w:val="15"/>
                <w:color w:val="auto"/>
              </w:rPr>
            </w:pP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12,727,567</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186,024</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Willie D. Davis</w:t>
            </w:r>
          </w:p>
        </w:tc>
        <w:tc>
          <w:tcPr>
            <w:tcW w:w="3460" w:type="dxa"/>
            <w:vAlign w:val="bottom"/>
          </w:tcPr>
          <w:p>
            <w:pPr>
              <w:spacing w:after="0"/>
              <w:rPr>
                <w:sz w:val="15"/>
                <w:szCs w:val="15"/>
                <w:color w:val="auto"/>
              </w:rPr>
            </w:pP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12,682,074</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231,517</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Alan T. Dickson</w:t>
            </w:r>
          </w:p>
        </w:tc>
        <w:tc>
          <w:tcPr>
            <w:tcW w:w="3460" w:type="dxa"/>
            <w:vAlign w:val="bottom"/>
          </w:tcPr>
          <w:p>
            <w:pPr>
              <w:spacing w:after="0"/>
              <w:rPr>
                <w:sz w:val="15"/>
                <w:szCs w:val="15"/>
                <w:color w:val="auto"/>
              </w:rPr>
            </w:pP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12,726,567</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187,024</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William H. Goodwin, Jr.</w:t>
            </w: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12,729,434</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184,157</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Howard H. Haworth</w:t>
            </w: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12,691,396</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222,195</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James W. McGlothin</w:t>
            </w: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12,716,009</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197,582</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Thomas W. Moss,</w:t>
            </w:r>
          </w:p>
        </w:tc>
        <w:tc>
          <w:tcPr>
            <w:tcW w:w="3460" w:type="dxa"/>
            <w:vAlign w:val="bottom"/>
          </w:tcPr>
          <w:p>
            <w:pPr>
              <w:ind w:left="40"/>
              <w:spacing w:after="0"/>
              <w:rPr>
                <w:sz w:val="20"/>
                <w:szCs w:val="20"/>
                <w:color w:val="auto"/>
              </w:rPr>
            </w:pPr>
            <w:r>
              <w:rPr>
                <w:rFonts w:ascii="Courier New" w:cs="Courier New" w:eastAsia="Courier New" w:hAnsi="Courier New"/>
                <w:sz w:val="16"/>
                <w:szCs w:val="16"/>
                <w:color w:val="auto"/>
              </w:rPr>
              <w:t>Jr.</w:t>
            </w: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12,700,905</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212,686</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Michael E. Murphy</w:t>
            </w: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12,729,633</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183,958</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Albert F. Sloan</w:t>
            </w:r>
          </w:p>
        </w:tc>
        <w:tc>
          <w:tcPr>
            <w:tcW w:w="3460" w:type="dxa"/>
            <w:vAlign w:val="bottom"/>
          </w:tcPr>
          <w:p>
            <w:pPr>
              <w:spacing w:after="0"/>
              <w:rPr>
                <w:sz w:val="15"/>
                <w:szCs w:val="15"/>
                <w:color w:val="auto"/>
              </w:rPr>
            </w:pP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12,726,467</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187,124</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180"/>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Robert H. Spilman, Jr.</w:t>
            </w: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12,874,000</w:t>
            </w:r>
          </w:p>
        </w:tc>
        <w:tc>
          <w:tcPr>
            <w:tcW w:w="24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39,591</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137,688</w:t>
            </w:r>
          </w:p>
        </w:tc>
      </w:tr>
      <w:tr>
        <w:trPr>
          <w:trHeight w:val="721"/>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(2) Approval of</w:t>
            </w:r>
          </w:p>
        </w:tc>
        <w:tc>
          <w:tcPr>
            <w:tcW w:w="3460" w:type="dxa"/>
            <w:vAlign w:val="bottom"/>
          </w:tcPr>
          <w:p>
            <w:pPr>
              <w:ind w:left="40"/>
              <w:spacing w:after="0"/>
              <w:rPr>
                <w:sz w:val="20"/>
                <w:szCs w:val="20"/>
                <w:color w:val="auto"/>
              </w:rPr>
            </w:pPr>
            <w:r>
              <w:rPr>
                <w:rFonts w:ascii="Courier New" w:cs="Courier New" w:eastAsia="Courier New" w:hAnsi="Courier New"/>
                <w:sz w:val="16"/>
                <w:szCs w:val="16"/>
                <w:color w:val="auto"/>
              </w:rPr>
              <w:t>1997 Employee Stock Plan:</w:t>
            </w:r>
          </w:p>
        </w:tc>
        <w:tc>
          <w:tcPr>
            <w:tcW w:w="2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ind w:left="4"/>
        <w:spacing w:after="0"/>
        <w:rPr>
          <w:sz w:val="20"/>
          <w:szCs w:val="20"/>
          <w:color w:val="auto"/>
        </w:rPr>
      </w:pPr>
      <w:r>
        <w:rPr>
          <w:rFonts w:ascii="Courier New" w:cs="Courier New" w:eastAsia="Courier New" w:hAnsi="Courier New"/>
          <w:sz w:val="16"/>
          <w:szCs w:val="16"/>
          <w:color w:val="auto"/>
        </w:rPr>
        <w:t>voted for - 11,283,650; withheld vote - 1,146,765; abstained - 620,864</w:t>
      </w:r>
    </w:p>
    <w:p>
      <w:pPr>
        <w:spacing w:after="0" w:line="184" w:lineRule="exact"/>
        <w:rPr>
          <w:sz w:val="20"/>
          <w:szCs w:val="20"/>
          <w:color w:val="auto"/>
        </w:rPr>
      </w:pPr>
    </w:p>
    <w:p>
      <w:pPr>
        <w:ind w:left="104" w:right="4580" w:hanging="104"/>
        <w:spacing w:after="0" w:line="263" w:lineRule="auto"/>
        <w:tabs>
          <w:tab w:leader="none" w:pos="3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Arthur Andersen LLP as independent public accountants: voted for - 13,027,418; withheld vote - 9,432; abstained - 14,429</w:t>
      </w:r>
    </w:p>
    <w:p>
      <w:pPr>
        <w:spacing w:after="0" w:line="163"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proposal regarding an independent chairperson:</w:t>
      </w:r>
    </w:p>
    <w:p>
      <w:pPr>
        <w:ind w:left="4"/>
        <w:spacing w:after="0"/>
        <w:rPr>
          <w:sz w:val="20"/>
          <w:szCs w:val="20"/>
          <w:color w:val="auto"/>
        </w:rPr>
      </w:pPr>
      <w:r>
        <w:rPr>
          <w:rFonts w:ascii="Courier New" w:cs="Courier New" w:eastAsia="Courier New" w:hAnsi="Courier New"/>
          <w:sz w:val="16"/>
          <w:szCs w:val="16"/>
          <w:color w:val="auto"/>
        </w:rPr>
        <w:t>voted for - 3,282,446; withheld vote - 9,654,967; abstained - 113,866</w:t>
      </w:r>
    </w:p>
    <w:p>
      <w:pPr>
        <w:spacing w:after="0" w:line="359"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79" w:lineRule="exact"/>
        <w:rPr>
          <w:sz w:val="20"/>
          <w:szCs w:val="20"/>
          <w:color w:val="auto"/>
        </w:rPr>
      </w:pPr>
    </w:p>
    <w:p>
      <w:pPr>
        <w:ind w:left="464" w:hanging="464"/>
        <w:spacing w:after="0"/>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1997 Employee Stock Plan</w:t>
      </w:r>
    </w:p>
    <w:p>
      <w:pPr>
        <w:ind w:left="944" w:hanging="475"/>
        <w:spacing w:after="0"/>
        <w:tabs>
          <w:tab w:leader="none" w:pos="94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78"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4" w:lineRule="exact"/>
        <w:rPr>
          <w:sz w:val="20"/>
          <w:szCs w:val="20"/>
          <w:color w:val="auto"/>
        </w:rPr>
      </w:pPr>
    </w:p>
    <w:p>
      <w:pPr>
        <w:ind w:left="4" w:right="4580"/>
        <w:spacing w:after="0" w:line="263" w:lineRule="auto"/>
        <w:rPr>
          <w:sz w:val="20"/>
          <w:szCs w:val="20"/>
          <w:color w:val="auto"/>
        </w:rPr>
      </w:pPr>
      <w:r>
        <w:rPr>
          <w:rFonts w:ascii="Courier New" w:cs="Courier New" w:eastAsia="Courier New" w:hAnsi="Courier New"/>
          <w:sz w:val="15"/>
          <w:szCs w:val="15"/>
          <w:color w:val="auto"/>
        </w:rPr>
        <w:t>Reports on Form 8-K were filed on December 1, 1997, December 10, 1997 and December 18, 1997 reporting the change in Registrant's public accountants.</w:t>
      </w:r>
    </w:p>
    <w:p>
      <w:pPr>
        <w:spacing w:after="0" w:line="344" w:lineRule="exact"/>
        <w:rPr>
          <w:sz w:val="20"/>
          <w:szCs w:val="20"/>
          <w:color w:val="auto"/>
        </w:rPr>
      </w:pPr>
    </w:p>
    <w:p>
      <w:pPr>
        <w:ind w:left="3104"/>
        <w:spacing w:after="0"/>
        <w:tabs>
          <w:tab w:leader="none" w:pos="4203" w:val="left"/>
        </w:tabs>
        <w:rPr>
          <w:sz w:val="20"/>
          <w:szCs w:val="20"/>
          <w:color w:val="auto"/>
        </w:rPr>
      </w:pPr>
      <w:r>
        <w:rPr>
          <w:rFonts w:ascii="Courier New" w:cs="Courier New" w:eastAsia="Courier New" w:hAnsi="Courier New"/>
          <w:sz w:val="16"/>
          <w:szCs w:val="16"/>
          <w:color w:val="auto"/>
        </w:rPr>
        <w:t>Page 10 of</w:t>
      </w:r>
      <w:r>
        <w:rPr>
          <w:sz w:val="20"/>
          <w:szCs w:val="20"/>
          <w:color w:val="auto"/>
        </w:rPr>
        <w:tab/>
      </w:r>
      <w:r>
        <w:rPr>
          <w:rFonts w:ascii="Courier New" w:cs="Courier New" w:eastAsia="Courier New" w:hAnsi="Courier New"/>
          <w:sz w:val="15"/>
          <w:szCs w:val="15"/>
          <w:color w:val="auto"/>
        </w:rPr>
        <w:t>12</w:t>
      </w:r>
    </w:p>
    <w:p>
      <w:pPr>
        <w:sectPr>
          <w:pgSz w:w="11900" w:h="16838" w:orient="portrait"/>
          <w:cols w:equalWidth="0" w:num="1">
            <w:col w:w="11524"/>
          </w:cols>
          <w:pgMar w:left="236" w:top="293" w:right="139" w:bottom="1440" w:gutter="0" w:footer="0" w:header="0"/>
        </w:sectPr>
      </w:pPr>
    </w:p>
    <w:bookmarkStart w:id="13" w:name="page14"/>
    <w:bookmarkEnd w:id="13"/>
    <w:p>
      <w:pPr>
        <w:ind w:left="284"/>
        <w:spacing w:after="0"/>
        <w:rPr>
          <w:sz w:val="20"/>
          <w:szCs w:val="20"/>
          <w:color w:val="auto"/>
        </w:rPr>
      </w:pPr>
      <w:r>
        <w:rPr>
          <w:rFonts w:ascii="Courier New" w:cs="Courier New" w:eastAsia="Courier New" w:hAnsi="Courier New"/>
          <w:sz w:val="16"/>
          <w:szCs w:val="16"/>
          <w:color w:val="auto"/>
        </w:rPr>
        <w:t>11</w:t>
      </w:r>
    </w:p>
    <w:p>
      <w:pPr>
        <w:spacing w:after="0" w:line="36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jc w:val="both"/>
        <w:ind w:left="4" w:right="347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4" w:hanging="184"/>
        <w:spacing w:after="0"/>
        <w:tabs>
          <w:tab w:leader="none" w:pos="1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Douglas W. Miller, Vice President, Chief Financial Officer</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w:t>
      </w:r>
    </w:p>
    <w:p>
      <w:pPr>
        <w:ind w:left="464"/>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104"/>
        <w:spacing w:after="0"/>
        <w:tabs>
          <w:tab w:leader="none" w:pos="4203" w:val="left"/>
        </w:tabs>
        <w:rPr>
          <w:sz w:val="20"/>
          <w:szCs w:val="20"/>
          <w:color w:val="auto"/>
        </w:rPr>
      </w:pPr>
      <w:r>
        <w:rPr>
          <w:rFonts w:ascii="Courier New" w:cs="Courier New" w:eastAsia="Courier New" w:hAnsi="Courier New"/>
          <w:sz w:val="16"/>
          <w:szCs w:val="16"/>
          <w:color w:val="auto"/>
        </w:rPr>
        <w:t>Page 11 of</w:t>
      </w:r>
      <w:r>
        <w:rPr>
          <w:sz w:val="20"/>
          <w:szCs w:val="20"/>
          <w:color w:val="auto"/>
        </w:rPr>
        <w:tab/>
      </w:r>
      <w:r>
        <w:rPr>
          <w:rFonts w:ascii="Courier New" w:cs="Courier New" w:eastAsia="Courier New" w:hAnsi="Courier New"/>
          <w:sz w:val="15"/>
          <w:szCs w:val="15"/>
          <w:color w:val="auto"/>
        </w:rPr>
        <w:t>12</w:t>
      </w:r>
    </w:p>
    <w:p>
      <w:pPr>
        <w:sectPr>
          <w:pgSz w:w="11900" w:h="16838" w:orient="portrait"/>
          <w:cols w:equalWidth="0" w:num="1">
            <w:col w:w="10223"/>
          </w:cols>
          <w:pgMar w:left="236" w:top="293" w:right="1440" w:bottom="1440" w:gutter="0" w:footer="0" w:header="0"/>
        </w:sectPr>
      </w:pPr>
    </w:p>
    <w:bookmarkStart w:id="14" w:name="page15"/>
    <w:bookmarkEnd w:id="14"/>
    <w:p>
      <w:pPr>
        <w:ind w:left="180"/>
        <w:spacing w:after="0"/>
        <w:rPr>
          <w:sz w:val="20"/>
          <w:szCs w:val="20"/>
          <w:color w:val="auto"/>
        </w:rPr>
      </w:pPr>
      <w:r>
        <w:rPr>
          <w:rFonts w:ascii="Courier New" w:cs="Courier New" w:eastAsia="Courier New" w:hAnsi="Courier New"/>
          <w:sz w:val="16"/>
          <w:szCs w:val="16"/>
          <w:color w:val="auto"/>
        </w:rPr>
        <w:t>12</w:t>
      </w:r>
    </w:p>
    <w:p>
      <w:pPr>
        <w:spacing w:after="0" w:line="36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FORM 10-Q</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QUARTERLY REPORT</w:t>
      </w:r>
    </w:p>
    <w:p>
      <w:pPr>
        <w:sectPr>
          <w:pgSz w:w="11900" w:h="16838" w:orient="portrait"/>
          <w:cols w:equalWidth="0" w:num="1">
            <w:col w:w="10119"/>
          </w:cols>
          <w:pgMar w:left="340" w:top="293" w:right="1440" w:bottom="1440" w:gutter="0" w:footer="0" w:header="0"/>
        </w:sectPr>
      </w:pPr>
    </w:p>
    <w:p>
      <w:pPr>
        <w:spacing w:after="0" w:line="36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 the quarter ended</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February 28, 1998</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5"/>
          <w:szCs w:val="15"/>
          <w:color w:val="auto"/>
        </w:rPr>
        <w:t>Commission File Number</w:t>
      </w:r>
    </w:p>
    <w:p>
      <w:pPr>
        <w:spacing w:after="0" w:line="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6"/>
          <w:szCs w:val="16"/>
          <w:color w:val="auto"/>
        </w:rPr>
        <w:t>0-209</w:t>
      </w:r>
    </w:p>
    <w:p>
      <w:pPr>
        <w:spacing w:after="0" w:line="200" w:lineRule="exact"/>
        <w:rPr>
          <w:sz w:val="20"/>
          <w:szCs w:val="20"/>
          <w:color w:val="auto"/>
        </w:rPr>
      </w:pPr>
    </w:p>
    <w:p>
      <w:pPr>
        <w:sectPr>
          <w:pgSz w:w="11900" w:h="16838" w:orient="portrait"/>
          <w:cols w:equalWidth="0" w:num="2">
            <w:col w:w="4060" w:space="720"/>
            <w:col w:w="5339"/>
          </w:cols>
          <w:pgMar w:left="340" w:top="293" w:right="1440" w:bottom="1440" w:gutter="0" w:footer="0" w:header="0"/>
          <w:type w:val="continuous"/>
        </w:sectPr>
      </w:pPr>
    </w:p>
    <w:p>
      <w:pPr>
        <w:spacing w:after="0" w:line="16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119"/>
          </w:cols>
          <w:pgMar w:left="340" w:top="293"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ind w:left="46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Exhibit Description</w:t>
      </w:r>
    </w:p>
    <w:p>
      <w:pPr>
        <w:jc w:val="center"/>
        <w:ind w:right="8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5"/>
          <w:szCs w:val="15"/>
          <w:color w:val="auto"/>
        </w:rPr>
        <w:t>Financial Data Schedule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page 9</w:t>
      </w:r>
    </w:p>
    <w:p>
      <w:pPr>
        <w:spacing w:after="0" w:line="207" w:lineRule="exact"/>
        <w:rPr>
          <w:sz w:val="20"/>
          <w:szCs w:val="20"/>
          <w:color w:val="auto"/>
        </w:rPr>
      </w:pPr>
    </w:p>
    <w:p>
      <w:pPr>
        <w:sectPr>
          <w:pgSz w:w="11900" w:h="16838" w:orient="portrait"/>
          <w:cols w:equalWidth="0" w:num="3">
            <w:col w:w="1620" w:space="720"/>
            <w:col w:w="3020" w:space="720"/>
            <w:col w:w="4039"/>
          </w:cols>
          <w:pgMar w:left="340" w:top="293" w:right="1440" w:bottom="1440" w:gutter="0" w:footer="0" w:header="0"/>
          <w:type w:val="continuous"/>
        </w:sectPr>
      </w:pPr>
    </w:p>
    <w:p>
      <w:pPr>
        <w:spacing w:after="0" w:line="16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Page 12 of 12</w:t>
      </w:r>
    </w:p>
    <w:p>
      <w:pPr>
        <w:sectPr>
          <w:pgSz w:w="11900" w:h="16838" w:orient="portrait"/>
          <w:cols w:equalWidth="0" w:num="1">
            <w:col w:w="10119"/>
          </w:cols>
          <w:pgMar w:left="340" w:top="293"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1</w:t>
      </w:r>
    </w:p>
    <w:p>
      <w:pPr>
        <w:spacing w:after="0" w:line="36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EXHIBIT 10</w:t>
      </w:r>
    </w:p>
    <w:p>
      <w:pPr>
        <w:spacing w:after="0" w:line="18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1997 EMPLOYEE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Effective Date: November 5, 1997</w:t>
      </w:r>
    </w:p>
    <w:p>
      <w:pPr>
        <w:sectPr>
          <w:pgSz w:w="11900" w:h="16838" w:orient="portrait"/>
          <w:cols w:equalWidth="0" w:num="1">
            <w:col w:w="9939"/>
          </w:cols>
          <w:pgMar w:left="520" w:top="137"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2</w:t>
      </w:r>
    </w:p>
    <w:tbl>
      <w:tblPr>
        <w:tblLayout w:type="fixed"/>
        <w:tblInd w:w="0" w:type="dxa"/>
        <w:tblCellMar>
          <w:top w:w="0" w:type="dxa"/>
          <w:left w:w="0" w:type="dxa"/>
          <w:bottom w:w="0" w:type="dxa"/>
          <w:right w:w="0" w:type="dxa"/>
        </w:tblCellMar>
      </w:tblP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rPr>
              <w:t>CONTENTS</w:t>
            </w:r>
          </w:p>
        </w:tc>
        <w:tc>
          <w:tcPr>
            <w:tcW w:w="2020" w:type="dxa"/>
            <w:vAlign w:val="bottom"/>
          </w:tcPr>
          <w:p>
            <w:pPr>
              <w:spacing w:after="0"/>
              <w:rPr>
                <w:sz w:val="15"/>
                <w:szCs w:val="15"/>
                <w:color w:val="auto"/>
              </w:rPr>
            </w:pPr>
          </w:p>
        </w:tc>
      </w:tr>
      <w:tr>
        <w:trPr>
          <w:trHeight w:val="902"/>
        </w:trPr>
        <w:tc>
          <w:tcPr>
            <w:tcW w:w="65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 Establishment, Purpose, and Duration</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2. Definitions</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3. Administration</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4. Shares Subject to the Plan</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5. Eligibility and Participation</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6. Stock Options</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7. Stock Appreciation Rights</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8. Payment Shares and Restricted Stock</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9. Performance Shares</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10. Performance Measures</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11. Beneficiary Designation</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12. Deferrals</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13. Rights of Key Employees</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14. Change in Control</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15. Amendment, Modification, and Termination</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16. Withholding</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17. Indemnification</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18. Successors</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w:t>
            </w:r>
          </w:p>
        </w:tc>
      </w:tr>
      <w:tr>
        <w:trPr>
          <w:trHeight w:val="361"/>
        </w:trPr>
        <w:tc>
          <w:tcPr>
            <w:tcW w:w="6520" w:type="dxa"/>
            <w:vAlign w:val="bottom"/>
          </w:tcPr>
          <w:p>
            <w:pPr>
              <w:spacing w:after="0"/>
              <w:rPr>
                <w:sz w:val="20"/>
                <w:szCs w:val="20"/>
                <w:color w:val="auto"/>
              </w:rPr>
            </w:pPr>
            <w:r>
              <w:rPr>
                <w:rFonts w:ascii="Courier New" w:cs="Courier New" w:eastAsia="Courier New" w:hAnsi="Courier New"/>
                <w:sz w:val="16"/>
                <w:szCs w:val="16"/>
                <w:color w:val="auto"/>
              </w:rPr>
              <w:t>Article 19. Legal Construction</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w:t>
            </w:r>
          </w:p>
        </w:tc>
      </w:tr>
    </w:tbl>
    <w:p>
      <w:pPr>
        <w:sectPr>
          <w:pgSz w:w="11900" w:h="16838" w:orient="portrait"/>
          <w:cols w:equalWidth="0" w:num="1">
            <w:col w:w="10219"/>
          </w:cols>
          <w:pgMar w:left="240" w:top="293"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3</w:t>
      </w:r>
    </w:p>
    <w:p>
      <w:pPr>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37" w:lineRule="auto"/>
        <w:rPr>
          <w:sz w:val="20"/>
          <w:szCs w:val="20"/>
          <w:color w:val="auto"/>
        </w:rPr>
      </w:pPr>
      <w:r>
        <w:rPr>
          <w:rFonts w:ascii="Courier New" w:cs="Courier New" w:eastAsia="Courier New" w:hAnsi="Courier New"/>
          <w:sz w:val="16"/>
          <w:szCs w:val="16"/>
          <w:color w:val="auto"/>
        </w:rPr>
        <w:t>1997 EMPLOYEE STOCK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 ESTABLISHMENT, PURPOSE, AND DURATION</w:t>
      </w:r>
    </w:p>
    <w:p>
      <w:pPr>
        <w:spacing w:after="0" w:line="185"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1.1 ESTABLISHMENT OF THE PLAN. Bassett Furniture Industries, Incorporated, a Virginia corporation (hereinafter referred to as the "Company"), hereby establishes an incentive compensation plan to be known as the "Bassett Furniture Industries, Incorporated Employee Stock Plan" (hereinafter referred to as the "Plan"), as set forth in this document. The Plan permits the payment of compensation in shares of the Company's common stock in lieu of cash and the grant of Nonqualified Stock Options, Incentive Stock Options, Stock Appreciation Rights, Restricted Stock, and Performance Shares.</w:t>
      </w:r>
    </w:p>
    <w:p>
      <w:pPr>
        <w:spacing w:after="0" w:line="186"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Subject to approval by the Company's shareholders, the Plan shall become effective as of November 5, 1997 (the "Effective Date") and shall remain in effect as provided in Section 1.3 hereof. The Plan shall not become effective unless shareholder approval is obtained.</w:t>
      </w:r>
    </w:p>
    <w:p>
      <w:pPr>
        <w:spacing w:after="0" w:line="186"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1.2 PURPOSE OF THE PLAN. The purpose of the Plan is to promote the success and enhance the value of the Company by linking the personal interests of Participants to those of the Company's shareholders, and by providing Participants with an incentive for outstanding performance.</w:t>
      </w:r>
    </w:p>
    <w:p>
      <w:pPr>
        <w:spacing w:after="0" w:line="186"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The Plan is further intended to provide flexibility to the Company in its ability to motivate, attract, and retain the services of Participants upon whose judgment, interest and special effort the successful conduct of its operation largely is dependent.</w:t>
      </w:r>
    </w:p>
    <w:p>
      <w:pPr>
        <w:spacing w:after="0" w:line="186"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1.3 DURATION OF THE PLAN. The Plan shall commence on the Effective Date, as described in Section 1.1 hereof, and shall remain in effect, subject to the right of the Board of Directors to amend or terminate the Plan at any time pursuant to Article 15 hereof, until all Shares subject to it shall have been purchased or acquired according to the Plan's provisions. However, in no event may an Award of an ISO be granted under the Plan after November 4, 2007.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2. DEFINITIONS</w:t>
      </w:r>
    </w:p>
    <w:p>
      <w:pPr>
        <w:spacing w:after="0" w:line="185"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Whenever used in the Plan, the following terms shall have the meanings set forth below and, when the meaning is intended, the initial letter of the word is capitalized:</w:t>
      </w:r>
    </w:p>
    <w:p>
      <w:pPr>
        <w:spacing w:after="0" w:line="185" w:lineRule="exact"/>
        <w:rPr>
          <w:sz w:val="20"/>
          <w:szCs w:val="20"/>
          <w:color w:val="auto"/>
        </w:rPr>
      </w:pPr>
    </w:p>
    <w:p>
      <w:pPr>
        <w:ind w:right="2999" w:firstLine="938"/>
        <w:spacing w:after="0" w:line="259" w:lineRule="auto"/>
        <w:rPr>
          <w:sz w:val="20"/>
          <w:szCs w:val="20"/>
          <w:color w:val="auto"/>
        </w:rPr>
      </w:pPr>
      <w:r>
        <w:rPr>
          <w:rFonts w:ascii="Courier New" w:cs="Courier New" w:eastAsia="Courier New" w:hAnsi="Courier New"/>
          <w:sz w:val="15"/>
          <w:szCs w:val="15"/>
          <w:color w:val="auto"/>
        </w:rPr>
        <w:t>2.1 "AWARD" means, individually or collectively, a grant under this Plan of Nonqualified Stock Options, Incentive Stock Options, Stock Appreciation Rights, Restricted Stock, Payment Shares or Performance Shares.</w:t>
      </w:r>
    </w:p>
    <w:p>
      <w:pPr>
        <w:spacing w:after="0" w:line="34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93"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jc w:val="both"/>
        <w:ind w:right="2899" w:firstLine="938"/>
        <w:spacing w:after="0" w:line="237" w:lineRule="auto"/>
        <w:rPr>
          <w:sz w:val="20"/>
          <w:szCs w:val="20"/>
          <w:color w:val="auto"/>
        </w:rPr>
      </w:pPr>
      <w:r>
        <w:rPr>
          <w:rFonts w:ascii="Courier New" w:cs="Courier New" w:eastAsia="Courier New" w:hAnsi="Courier New"/>
          <w:sz w:val="16"/>
          <w:szCs w:val="16"/>
          <w:color w:val="auto"/>
        </w:rPr>
        <w:t>2.2 "AWARD AGREEMENT" means an agreement entered into by the Company and each Participant setting forth the terms and provisions applicable to Awards granted under this Plan.</w:t>
      </w:r>
    </w:p>
    <w:p>
      <w:pPr>
        <w:spacing w:after="0" w:line="185" w:lineRule="exact"/>
        <w:rPr>
          <w:sz w:val="20"/>
          <w:szCs w:val="20"/>
          <w:color w:val="auto"/>
        </w:rPr>
      </w:pPr>
    </w:p>
    <w:p>
      <w:pPr>
        <w:ind w:right="3479" w:firstLine="938"/>
        <w:spacing w:after="0" w:line="236" w:lineRule="auto"/>
        <w:rPr>
          <w:sz w:val="20"/>
          <w:szCs w:val="20"/>
          <w:color w:val="auto"/>
        </w:rPr>
      </w:pPr>
      <w:r>
        <w:rPr>
          <w:rFonts w:ascii="Courier New" w:cs="Courier New" w:eastAsia="Courier New" w:hAnsi="Courier New"/>
          <w:sz w:val="16"/>
          <w:szCs w:val="16"/>
          <w:color w:val="auto"/>
        </w:rPr>
        <w:t>2.3 "BOARD" or "BOARD OF DIRECTORS" means the Board of Directors of the Company.</w:t>
      </w:r>
    </w:p>
    <w:p>
      <w:pPr>
        <w:spacing w:after="0" w:line="185" w:lineRule="exact"/>
        <w:rPr>
          <w:sz w:val="20"/>
          <w:szCs w:val="20"/>
          <w:color w:val="auto"/>
        </w:rPr>
      </w:pPr>
    </w:p>
    <w:p>
      <w:pPr>
        <w:ind w:right="3179" w:firstLine="938"/>
        <w:spacing w:after="0" w:line="236" w:lineRule="auto"/>
        <w:rPr>
          <w:sz w:val="20"/>
          <w:szCs w:val="20"/>
          <w:color w:val="auto"/>
        </w:rPr>
      </w:pPr>
      <w:r>
        <w:rPr>
          <w:rFonts w:ascii="Courier New" w:cs="Courier New" w:eastAsia="Courier New" w:hAnsi="Courier New"/>
          <w:sz w:val="16"/>
          <w:szCs w:val="16"/>
          <w:color w:val="auto"/>
        </w:rPr>
        <w:t>2.4 "CHANGE IN CONTROL" means and shall be deemed to have occurred upon, any of the following events:</w:t>
      </w:r>
    </w:p>
    <w:p>
      <w:pPr>
        <w:spacing w:after="0" w:line="185" w:lineRule="exact"/>
        <w:rPr>
          <w:sz w:val="20"/>
          <w:szCs w:val="20"/>
          <w:color w:val="auto"/>
        </w:rPr>
      </w:pPr>
    </w:p>
    <w:p>
      <w:pPr>
        <w:ind w:left="2520" w:hanging="460"/>
        <w:spacing w:after="0"/>
        <w:tabs>
          <w:tab w:leader="none" w:pos="2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individual, entity or</w:t>
      </w:r>
    </w:p>
    <w:p>
      <w:pPr>
        <w:spacing w:after="0" w:line="10" w:lineRule="exact"/>
        <w:rPr>
          <w:rFonts w:ascii="Courier New" w:cs="Courier New" w:eastAsia="Courier New" w:hAnsi="Courier New"/>
          <w:sz w:val="15"/>
          <w:szCs w:val="15"/>
          <w:color w:val="auto"/>
        </w:rPr>
      </w:pPr>
    </w:p>
    <w:p>
      <w:pPr>
        <w:ind w:right="281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"group" (within the meaning of Section 13(d)(3) or 14(d)(2) of the Exchange Act) (collectively, "Persons") of beneficial ownership (the phrases "beneficial ownership," "beneficial owners" and "beneficially owned" as used herein being within the meaning of Rule 13d-3 promulgated under the Exchange Act) of 30% or more of either (i) the then outstanding shares of Common Stock (the "Outstanding Common Stock") or (ii) the combined voting power of the then outstanding voting securities of the Company entitled to vote generally in the election of directors (the "Outstanding Voting Securities"); provided, however, that the following acquisitions shall not constitute a Change in Control: (i) any acquisition directly from the Company, (ii) any acquisition by the Company or any of its subsidiaries, (iii) any acquisition by any employee benefit plan (or related trust) sponsored or maintained by the Company or any of its subsidiaries, (iv) any acquisition by any corporation with respect to which, following such acquisition, more than 75% of, respectively, the then outstanding shares of common stock of such corporation and the combined voting power of the then outstanding voting securities of such corporation entitled to vote generally in the election of directors are then beneficially owned by all or substantially all of the Persons who were the beneficial owners, respectively, of the Outstanding Common Stock and Outstanding Voting Securities immediately prior to such acquisition in substantially the same proportions as their beneficial ownership, immediately prior to such acquisition, of the Outstanding Common Stock and Outstanding Voting Securities, as the case may be; or</w:t>
      </w:r>
    </w:p>
    <w:p>
      <w:pPr>
        <w:spacing w:after="0" w:line="194" w:lineRule="exact"/>
        <w:rPr>
          <w:rFonts w:ascii="Courier New" w:cs="Courier New" w:eastAsia="Courier New" w:hAnsi="Courier New"/>
          <w:sz w:val="15"/>
          <w:szCs w:val="15"/>
          <w:color w:val="auto"/>
        </w:rPr>
      </w:pPr>
    </w:p>
    <w:p>
      <w:pPr>
        <w:ind w:left="2620" w:hanging="560"/>
        <w:spacing w:after="0"/>
        <w:tabs>
          <w:tab w:leader="none" w:pos="2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November 5, 1997, constitute</w:t>
      </w:r>
    </w:p>
    <w:p>
      <w:pPr>
        <w:spacing w:after="0" w:line="10" w:lineRule="exact"/>
        <w:rPr>
          <w:rFonts w:ascii="Courier New" w:cs="Courier New" w:eastAsia="Courier New" w:hAnsi="Courier New"/>
          <w:sz w:val="15"/>
          <w:szCs w:val="15"/>
          <w:color w:val="auto"/>
        </w:rPr>
      </w:pPr>
    </w:p>
    <w:p>
      <w:pPr>
        <w:ind w:right="289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Board of Directors of the Company (the "Incumbent Board") cease for any reason to constitute at least a majority of the Board of Directors; provided, however, that any individual who becomes a director subsequent to November 5, 1997 and whose election, or whose nomination for election by the Company's shareholders, to the Board of Directors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other actual or threatened solicitation of proxies or consents or an actual or threatened tender offer; or</w:t>
      </w:r>
    </w:p>
    <w:p>
      <w:pPr>
        <w:spacing w:after="0" w:line="182" w:lineRule="exact"/>
        <w:rPr>
          <w:rFonts w:ascii="Courier New" w:cs="Courier New" w:eastAsia="Courier New" w:hAnsi="Courier New"/>
          <w:sz w:val="15"/>
          <w:szCs w:val="15"/>
          <w:color w:val="auto"/>
        </w:rPr>
      </w:pPr>
    </w:p>
    <w:p>
      <w:pPr>
        <w:ind w:left="2720" w:hanging="660"/>
        <w:spacing w:after="0"/>
        <w:tabs>
          <w:tab w:leader="none" w:pos="27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shareholders of the Company of a</w:t>
      </w:r>
    </w:p>
    <w:p>
      <w:pPr>
        <w:spacing w:after="0" w:line="4" w:lineRule="exact"/>
        <w:rPr>
          <w:rFonts w:ascii="Courier New" w:cs="Courier New" w:eastAsia="Courier New" w:hAnsi="Courier New"/>
          <w:sz w:val="16"/>
          <w:szCs w:val="16"/>
          <w:color w:val="auto"/>
        </w:rPr>
      </w:pPr>
    </w:p>
    <w:p>
      <w:pPr>
        <w:ind w:right="30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 merger or consolidation, in each case, with respect to which all or substantially all of the Persons who were the beneficial owners, respectively, of the Outstanding Common Stock and</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3"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Outstanding Voting Securities immediately prior to such reorganization, merger or consolidation do not, following such reorganization, merger or consolidation, beneficially own more than 75% of, respectively, the then outstanding shares of common stock and the combined voting power of the then outstanding voting securities entitled to vote generally in the election of directors, as the case may be, of the corporation resulting from such reorganization, merger or consolidation in substantially the same proportions as their beneficial ownership, immediately prior to such reorganization, merger or consolidation, of the Outstanding Common Stock and Outstanding Voting Securities, as the case may be; or</w:t>
      </w:r>
    </w:p>
    <w:p>
      <w:pPr>
        <w:spacing w:after="0" w:line="187" w:lineRule="exact"/>
        <w:rPr>
          <w:sz w:val="20"/>
          <w:szCs w:val="20"/>
          <w:color w:val="auto"/>
        </w:rPr>
      </w:pPr>
    </w:p>
    <w:p>
      <w:pPr>
        <w:ind w:right="2819" w:firstLine="2060"/>
        <w:spacing w:after="0" w:line="238" w:lineRule="auto"/>
        <w:tabs>
          <w:tab w:leader="none" w:pos="262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shareholders of the Company of (i) a complete liquidation or dissolution of the Company or (ii) the sale or other disposition of all or substantially all of the assets of the Company, other than to a corporation, with respect to which following such sale or other disposition, more than 75% of, respectively, the then outstanding shares of common stock of such corporation and the combined voting power of the then outstanding voting securities of such corporation entitled to vote generally in the election of directors is then beneficially owned by all or substantially all of the Persons who were the beneficial owners, respectively, of the Outstanding Common Stock and Outstanding Voting Securities immediately prior to such sale or other disposition in substantially the same proportion as their beneficial ownership, immediately prior to such sale or other disposition, of the Outstanding Common Stock and Outstanding Voting Securities, as the case may be.</w:t>
      </w:r>
    </w:p>
    <w:p>
      <w:pPr>
        <w:spacing w:after="0" w:line="189"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2.5 "CODE" means the Internal Revenue Code of 1986, as amended from time to time. References to the Code shall include the valid and binding governmental regulations, court decisions and other regulatory and judicial authority issued or rendered thereunder.</w:t>
      </w:r>
    </w:p>
    <w:p>
      <w:pPr>
        <w:spacing w:after="0" w:line="186" w:lineRule="exact"/>
        <w:rPr>
          <w:sz w:val="20"/>
          <w:szCs w:val="20"/>
          <w:color w:val="auto"/>
        </w:rPr>
      </w:pPr>
    </w:p>
    <w:p>
      <w:pPr>
        <w:ind w:right="2899" w:firstLine="938"/>
        <w:spacing w:after="0" w:line="259" w:lineRule="auto"/>
        <w:rPr>
          <w:sz w:val="20"/>
          <w:szCs w:val="20"/>
          <w:color w:val="auto"/>
        </w:rPr>
      </w:pPr>
      <w:r>
        <w:rPr>
          <w:rFonts w:ascii="Courier New" w:cs="Courier New" w:eastAsia="Courier New" w:hAnsi="Courier New"/>
          <w:sz w:val="15"/>
          <w:szCs w:val="15"/>
          <w:color w:val="auto"/>
        </w:rPr>
        <w:t>2.6 "COMMITTEE" means the Organization, Compensation and Nominating Committee of the Board, as specified in Article 3 herein, appointed by the Board to administer the Plan with respect to grants of Awards.</w:t>
      </w:r>
    </w:p>
    <w:p>
      <w:pPr>
        <w:spacing w:after="0" w:line="166" w:lineRule="exact"/>
        <w:rPr>
          <w:sz w:val="20"/>
          <w:szCs w:val="20"/>
          <w:color w:val="auto"/>
        </w:rPr>
      </w:pPr>
    </w:p>
    <w:p>
      <w:pPr>
        <w:ind w:left="940"/>
        <w:spacing w:after="0"/>
        <w:tabs>
          <w:tab w:leader="none" w:pos="204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5"/>
          <w:szCs w:val="15"/>
          <w:color w:val="auto"/>
        </w:rPr>
        <w:t>"COMMON STOCK" means the common stock of the Company.</w:t>
      </w:r>
    </w:p>
    <w:p>
      <w:pPr>
        <w:spacing w:after="0" w:line="185" w:lineRule="exact"/>
        <w:rPr>
          <w:sz w:val="20"/>
          <w:szCs w:val="20"/>
          <w:color w:val="auto"/>
        </w:rPr>
      </w:pPr>
    </w:p>
    <w:p>
      <w:pPr>
        <w:ind w:right="2899" w:firstLine="938"/>
        <w:spacing w:after="0"/>
        <w:rPr>
          <w:sz w:val="20"/>
          <w:szCs w:val="20"/>
          <w:color w:val="auto"/>
        </w:rPr>
      </w:pPr>
      <w:r>
        <w:rPr>
          <w:rFonts w:ascii="Courier New" w:cs="Courier New" w:eastAsia="Courier New" w:hAnsi="Courier New"/>
          <w:sz w:val="16"/>
          <w:szCs w:val="16"/>
          <w:color w:val="auto"/>
        </w:rPr>
        <w:t>2.8 "COMPANY" means Bassett Furniture Industries, Incorporated, a Virginia corporation, and any successor as provided in Article 18 herein.</w:t>
      </w:r>
    </w:p>
    <w:p>
      <w:pPr>
        <w:spacing w:after="0" w:line="359" w:lineRule="exact"/>
        <w:rPr>
          <w:sz w:val="20"/>
          <w:szCs w:val="20"/>
          <w:color w:val="auto"/>
        </w:rPr>
      </w:pPr>
    </w:p>
    <w:p>
      <w:pPr>
        <w:ind w:right="3099" w:firstLine="938"/>
        <w:spacing w:after="0" w:line="236" w:lineRule="auto"/>
        <w:rPr>
          <w:sz w:val="20"/>
          <w:szCs w:val="20"/>
          <w:color w:val="auto"/>
        </w:rPr>
      </w:pPr>
      <w:r>
        <w:rPr>
          <w:rFonts w:ascii="Courier New" w:cs="Courier New" w:eastAsia="Courier New" w:hAnsi="Courier New"/>
          <w:sz w:val="16"/>
          <w:szCs w:val="16"/>
          <w:color w:val="auto"/>
        </w:rPr>
        <w:t>2.9 "DIRECTOR" means any individual who is a member of the Board of Directors of the Company.</w:t>
      </w:r>
    </w:p>
    <w:p>
      <w:pPr>
        <w:spacing w:after="0" w:line="185"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2.10 "DISABILITY" with respect to a Participant, means "disability" as defined from time to time under any long-term disability plan of the Company or Subsidiary with which the Participant is employed.</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2.11 "EARNINGS PER SHARE" means "earnings per common share" of the Company determined in accordance with generally accepted accounting principles that would be reported in the Company's Annual Report to Shareholders.</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3"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ind w:right="2899" w:firstLine="938"/>
        <w:spacing w:after="0" w:line="236" w:lineRule="auto"/>
        <w:rPr>
          <w:sz w:val="20"/>
          <w:szCs w:val="20"/>
          <w:color w:val="auto"/>
        </w:rPr>
      </w:pPr>
      <w:r>
        <w:rPr>
          <w:rFonts w:ascii="Courier New" w:cs="Courier New" w:eastAsia="Courier New" w:hAnsi="Courier New"/>
          <w:sz w:val="16"/>
          <w:szCs w:val="16"/>
          <w:color w:val="auto"/>
        </w:rPr>
        <w:t>2.12 "EFFECTIVE DATE" shall have the meaning ascribed to such term in Section 1.1 hereof.</w:t>
      </w:r>
    </w:p>
    <w:p>
      <w:pPr>
        <w:spacing w:after="0" w:line="185"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2.13 "EXCHANGE ACT" means the Securities Exchange Act of 1934, as amended from time to time, or any successor act thereto.</w:t>
      </w:r>
    </w:p>
    <w:p>
      <w:pPr>
        <w:spacing w:after="0" w:line="185" w:lineRule="exact"/>
        <w:rPr>
          <w:sz w:val="20"/>
          <w:szCs w:val="20"/>
          <w:color w:val="auto"/>
        </w:rPr>
      </w:pPr>
    </w:p>
    <w:p>
      <w:pPr>
        <w:ind w:right="2819" w:firstLine="938"/>
        <w:spacing w:after="0" w:line="255" w:lineRule="auto"/>
        <w:rPr>
          <w:sz w:val="20"/>
          <w:szCs w:val="20"/>
          <w:color w:val="auto"/>
        </w:rPr>
      </w:pPr>
      <w:r>
        <w:rPr>
          <w:rFonts w:ascii="Courier New" w:cs="Courier New" w:eastAsia="Courier New" w:hAnsi="Courier New"/>
          <w:sz w:val="15"/>
          <w:szCs w:val="15"/>
          <w:color w:val="auto"/>
        </w:rPr>
        <w:t>2.14 "FAIR MARKET VALUE" with respect to a share of the Company's Common Stock at a particular time, shall be that value as determined by the Committee which shall be (i) if such Common Stock is listed on a national securities exchange, on any given date, (A) the average of the highest and lowest market prices of shares of Common Stock, as reported on the consolidated transaction reporting system for such exchange for that date, or if shares of Common Stock were not traded on such date, on the next preceding day on which shares of Common Stock were traded, or (B) if the Common Stock is not reported on the consolidated transaction reporting system for such exchange, the mean between the highest price and the lowest price at which the Common Stock shall have been sold regular way on a national securities exchange on said date, or, if no sales occur on said date, then on the next preceding date on which there were such sales of Common Stock; or (ii) if the Common Stock shall not be listed on a national securities exchange, the mean between the average high bid and low asked prices last reported by the National Association of Securities Dealers, Inc. for the over-the-counter market on said date or, if no bid and asked prices are reported on said date, then on the next preceding date on which there were such quotations; or (iii) if at any time quotations for the Common Stock shall not be reported by the National Association of Securities Dealers, Inc. for the over-the-counter market and the Common Stock shall not be listed on any national securities exchange, the fair market value determined by the Committee on the basis of available prices for such Common Stock or in such other manner as the Committee may deem reasonable.</w:t>
      </w:r>
    </w:p>
    <w:p>
      <w:pPr>
        <w:spacing w:after="0" w:line="177" w:lineRule="exact"/>
        <w:rPr>
          <w:sz w:val="20"/>
          <w:szCs w:val="20"/>
          <w:color w:val="auto"/>
        </w:rPr>
      </w:pPr>
    </w:p>
    <w:p>
      <w:pPr>
        <w:ind w:right="3759" w:firstLine="938"/>
        <w:spacing w:after="0" w:line="236" w:lineRule="auto"/>
        <w:rPr>
          <w:sz w:val="20"/>
          <w:szCs w:val="20"/>
          <w:color w:val="auto"/>
        </w:rPr>
      </w:pPr>
      <w:r>
        <w:rPr>
          <w:rFonts w:ascii="Courier New" w:cs="Courier New" w:eastAsia="Courier New" w:hAnsi="Courier New"/>
          <w:sz w:val="16"/>
          <w:szCs w:val="16"/>
          <w:color w:val="auto"/>
        </w:rPr>
        <w:t>2.15 "FREESTANDING SAR" means an SAR that is granted independently of any Options.</w:t>
      </w:r>
    </w:p>
    <w:p>
      <w:pPr>
        <w:spacing w:after="0" w:line="185"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2.16 "INCENTIVE STOCK OPTION" or "ISO" means an option to purchase Shares, granted under Article 6 herein, and which is designated as an Incentive Stock Option which is intended to meet the requirements of Section 422 of the Code.</w:t>
      </w:r>
    </w:p>
    <w:p>
      <w:pPr>
        <w:spacing w:after="0" w:line="186" w:lineRule="exact"/>
        <w:rPr>
          <w:sz w:val="20"/>
          <w:szCs w:val="20"/>
          <w:color w:val="auto"/>
        </w:rPr>
      </w:pPr>
    </w:p>
    <w:p>
      <w:pPr>
        <w:ind w:right="2819" w:firstLine="938"/>
        <w:spacing w:after="0"/>
        <w:rPr>
          <w:sz w:val="20"/>
          <w:szCs w:val="20"/>
          <w:color w:val="auto"/>
        </w:rPr>
      </w:pPr>
      <w:r>
        <w:rPr>
          <w:rFonts w:ascii="Courier New" w:cs="Courier New" w:eastAsia="Courier New" w:hAnsi="Courier New"/>
          <w:sz w:val="16"/>
          <w:szCs w:val="16"/>
          <w:color w:val="auto"/>
        </w:rPr>
        <w:t>2.17 "INSIDER" shall mean an individual who is, on the relevant date, an officer, director or ten percent (10%) beneficial owner of any class of the Company's equity securities that is registered pursuant to Section 12 of the Exchange Act, all as defined under Section 16 of the Exchange Act.</w:t>
      </w:r>
    </w:p>
    <w:p>
      <w:pPr>
        <w:spacing w:after="0" w:line="357"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2.18 "KEY EMPLOYEE" means an employee of the Company, including an officer of the Company, in a managerial or other important position who can make important contributions to the Company, all as determined by the Committee in its discretion.</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3"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right="2999" w:firstLine="938"/>
        <w:spacing w:after="0" w:line="259" w:lineRule="auto"/>
        <w:rPr>
          <w:sz w:val="20"/>
          <w:szCs w:val="20"/>
          <w:color w:val="auto"/>
        </w:rPr>
      </w:pPr>
      <w:r>
        <w:rPr>
          <w:rFonts w:ascii="Courier New" w:cs="Courier New" w:eastAsia="Courier New" w:hAnsi="Courier New"/>
          <w:sz w:val="15"/>
          <w:szCs w:val="15"/>
          <w:color w:val="auto"/>
        </w:rPr>
        <w:t>2.19 "NAMED EXECUTIVE OFFICER" means, for a calendar year, a Participant who is one of the group of "covered employees" for such calendar year within the meaning of Code Section 162(m) or any successor statute.</w:t>
      </w:r>
    </w:p>
    <w:p>
      <w:pPr>
        <w:spacing w:after="0" w:line="171"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2.20 "NET INCOME" means "net income" of the Company determined in accordance with generally accepted accounting principles that would be reported in the Company's Annual Report to Shareholders.</w:t>
      </w:r>
    </w:p>
    <w:p>
      <w:pPr>
        <w:spacing w:after="0" w:line="185" w:lineRule="exact"/>
        <w:rPr>
          <w:sz w:val="20"/>
          <w:szCs w:val="20"/>
          <w:color w:val="auto"/>
        </w:rPr>
      </w:pPr>
    </w:p>
    <w:p>
      <w:pPr>
        <w:jc w:val="both"/>
        <w:ind w:right="2899" w:firstLine="938"/>
        <w:spacing w:after="0" w:line="237" w:lineRule="auto"/>
        <w:rPr>
          <w:sz w:val="20"/>
          <w:szCs w:val="20"/>
          <w:color w:val="auto"/>
        </w:rPr>
      </w:pPr>
      <w:r>
        <w:rPr>
          <w:rFonts w:ascii="Courier New" w:cs="Courier New" w:eastAsia="Courier New" w:hAnsi="Courier New"/>
          <w:sz w:val="16"/>
          <w:szCs w:val="16"/>
          <w:color w:val="auto"/>
        </w:rPr>
        <w:t>2.21 "NONQUALIFIED STOCK OPTION" or "NQSO" means an option to purchase Shares granted to Key Employees under Article 6 herein, and which is not intended to meet the requirements of Code Section 422.</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2.22 "OPERATING MARGIN" means the "operating margin" of the Company determined in accordance with generally accepted accounting principles as determined by the independent accountants regularly employed by the Company.</w:t>
      </w:r>
    </w:p>
    <w:p>
      <w:pPr>
        <w:spacing w:after="0" w:line="185" w:lineRule="exact"/>
        <w:rPr>
          <w:sz w:val="20"/>
          <w:szCs w:val="20"/>
          <w:color w:val="auto"/>
        </w:rPr>
      </w:pPr>
    </w:p>
    <w:p>
      <w:pPr>
        <w:ind w:right="3939" w:firstLine="938"/>
        <w:spacing w:after="0" w:line="236" w:lineRule="auto"/>
        <w:rPr>
          <w:sz w:val="20"/>
          <w:szCs w:val="20"/>
          <w:color w:val="auto"/>
        </w:rPr>
      </w:pPr>
      <w:r>
        <w:rPr>
          <w:rFonts w:ascii="Courier New" w:cs="Courier New" w:eastAsia="Courier New" w:hAnsi="Courier New"/>
          <w:sz w:val="16"/>
          <w:szCs w:val="16"/>
          <w:color w:val="auto"/>
        </w:rPr>
        <w:t>2.23 "OPTION" means an Incentive Stock Option or a Nonqualified Stock Option.</w:t>
      </w:r>
    </w:p>
    <w:p>
      <w:pPr>
        <w:spacing w:after="0" w:line="185" w:lineRule="exact"/>
        <w:rPr>
          <w:sz w:val="20"/>
          <w:szCs w:val="20"/>
          <w:color w:val="auto"/>
        </w:rPr>
      </w:pPr>
    </w:p>
    <w:p>
      <w:pPr>
        <w:ind w:right="3099" w:firstLine="938"/>
        <w:spacing w:after="0" w:line="236" w:lineRule="auto"/>
        <w:rPr>
          <w:sz w:val="20"/>
          <w:szCs w:val="20"/>
          <w:color w:val="auto"/>
        </w:rPr>
      </w:pPr>
      <w:r>
        <w:rPr>
          <w:rFonts w:ascii="Courier New" w:cs="Courier New" w:eastAsia="Courier New" w:hAnsi="Courier New"/>
          <w:sz w:val="16"/>
          <w:szCs w:val="16"/>
          <w:color w:val="auto"/>
        </w:rPr>
        <w:t>2.24 "OPTION PRICE" means the price at which a Share may be purchased by a Participant pursuant to an Option.</w:t>
      </w:r>
    </w:p>
    <w:p>
      <w:pPr>
        <w:spacing w:after="0" w:line="185"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2.25 "OUTSIDE CONSULTANT" means any third party consultant providing services to the Company to which the Committee determines to make an Award (other than an ISO) under the Plan.</w:t>
      </w:r>
    </w:p>
    <w:p>
      <w:pPr>
        <w:spacing w:after="0" w:line="185"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2.26 "PARTICIPANT" means a Key Employee, or to the extent permitted by the Plan Outside Consultant, who has outstanding an Award granted under the Plan.</w:t>
      </w:r>
    </w:p>
    <w:p>
      <w:pPr>
        <w:spacing w:after="0" w:line="185"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2.27 "PAYMENT SHARES" means an Award granted to a Participant pursuant to Article 8 herein (other than Restricted Stock) in lieu of cash compensation otherwise payable to the Participant under the compensation plans and arrangements of the Company.</w:t>
      </w:r>
    </w:p>
    <w:p>
      <w:pPr>
        <w:spacing w:after="0" w:line="186"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2.28 "PERFORMANCE-BASED EXCEPTION" means the performance-based exception set forth in Code Section 162(m)(4)(C) from the deductibility limitations of Code Section 162(m).</w:t>
      </w:r>
    </w:p>
    <w:p>
      <w:pPr>
        <w:spacing w:after="0" w:line="185" w:lineRule="exact"/>
        <w:rPr>
          <w:sz w:val="20"/>
          <w:szCs w:val="20"/>
          <w:color w:val="auto"/>
        </w:rPr>
      </w:pPr>
    </w:p>
    <w:p>
      <w:pPr>
        <w:ind w:right="3379" w:firstLine="938"/>
        <w:spacing w:after="0" w:line="236" w:lineRule="auto"/>
        <w:rPr>
          <w:sz w:val="20"/>
          <w:szCs w:val="20"/>
          <w:color w:val="auto"/>
        </w:rPr>
      </w:pPr>
      <w:r>
        <w:rPr>
          <w:rFonts w:ascii="Courier New" w:cs="Courier New" w:eastAsia="Courier New" w:hAnsi="Courier New"/>
          <w:sz w:val="16"/>
          <w:szCs w:val="16"/>
          <w:color w:val="auto"/>
        </w:rPr>
        <w:t>2.29 "PERFORMANCE SHARE" means an Award granted to a Key Employee, as described in Article 9 herein.</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2.30 "PERIOD OF RESTRICTION" means the period during which the transfer of Shares of Restricted Stock is limited in some way (based on the passage of time, the achievement of performance goals, or upon the occurrence of other events as determined by the Committee, at its discretion), and the Shares are subject to a substantial risk of forfeiture, as provided in Article 8 herein.</w:t>
      </w:r>
    </w:p>
    <w:p>
      <w:pPr>
        <w:spacing w:after="0" w:line="3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3"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ind w:right="3759" w:firstLine="938"/>
        <w:spacing w:after="0" w:line="263" w:lineRule="auto"/>
        <w:rPr>
          <w:sz w:val="20"/>
          <w:szCs w:val="20"/>
          <w:color w:val="auto"/>
        </w:rPr>
      </w:pPr>
      <w:r>
        <w:rPr>
          <w:rFonts w:ascii="Courier New" w:cs="Courier New" w:eastAsia="Courier New" w:hAnsi="Courier New"/>
          <w:sz w:val="15"/>
          <w:szCs w:val="15"/>
          <w:color w:val="auto"/>
        </w:rPr>
        <w:t>2.31 "RESTRICTED STOCK" means an Award granted to a Participant pursuant to Article 8 herein (other than Payment Shares).</w:t>
      </w:r>
    </w:p>
    <w:p>
      <w:pPr>
        <w:spacing w:after="0" w:line="169" w:lineRule="exact"/>
        <w:rPr>
          <w:sz w:val="20"/>
          <w:szCs w:val="20"/>
          <w:color w:val="auto"/>
        </w:rPr>
      </w:pPr>
    </w:p>
    <w:p>
      <w:pPr>
        <w:ind w:right="3099" w:firstLine="938"/>
        <w:spacing w:after="0" w:line="237" w:lineRule="auto"/>
        <w:rPr>
          <w:sz w:val="20"/>
          <w:szCs w:val="20"/>
          <w:color w:val="auto"/>
        </w:rPr>
      </w:pPr>
      <w:r>
        <w:rPr>
          <w:rFonts w:ascii="Courier New" w:cs="Courier New" w:eastAsia="Courier New" w:hAnsi="Courier New"/>
          <w:sz w:val="16"/>
          <w:szCs w:val="16"/>
          <w:color w:val="auto"/>
        </w:rPr>
        <w:t>2.32 "RETURN ON ASSETS" means "return on average assets" of the Company determined in accordance with generally accepted accounting principles that would be reported in the Company's Annual Report to Shareholders.</w:t>
      </w:r>
    </w:p>
    <w:p>
      <w:pPr>
        <w:spacing w:after="0" w:line="186"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2.33 "RETURN ON EQUITY" means "return on average common shareholders' equity" of the Company determined in accordance with generally accepted accounting principles that would be reported in the Company's Annual Report to Shareholders.</w:t>
      </w:r>
    </w:p>
    <w:p>
      <w:pPr>
        <w:spacing w:after="0" w:line="186"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2.31 "REVENUES" means the "revenues" of the Company determined in accordance with generally accepted accounting principles that would be reported in the Company's Annual Report to Shareholders.</w:t>
      </w:r>
    </w:p>
    <w:p>
      <w:pPr>
        <w:spacing w:after="0" w:line="180" w:lineRule="exact"/>
        <w:rPr>
          <w:sz w:val="20"/>
          <w:szCs w:val="20"/>
          <w:color w:val="auto"/>
        </w:rPr>
      </w:pPr>
    </w:p>
    <w:p>
      <w:pPr>
        <w:jc w:val="right"/>
        <w:ind w:right="2819"/>
        <w:spacing w:after="0"/>
        <w:tabs>
          <w:tab w:leader="none" w:pos="532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"SHARES" means the shares of Common Stock of the Company.</w:t>
      </w:r>
    </w:p>
    <w:p>
      <w:pPr>
        <w:spacing w:after="0" w:line="185" w:lineRule="exact"/>
        <w:rPr>
          <w:sz w:val="20"/>
          <w:szCs w:val="20"/>
          <w:color w:val="auto"/>
        </w:rPr>
      </w:pPr>
    </w:p>
    <w:p>
      <w:pPr>
        <w:ind w:right="3179" w:firstLine="938"/>
        <w:spacing w:after="0" w:line="237" w:lineRule="auto"/>
        <w:rPr>
          <w:sz w:val="20"/>
          <w:szCs w:val="20"/>
          <w:color w:val="auto"/>
        </w:rPr>
      </w:pPr>
      <w:r>
        <w:rPr>
          <w:rFonts w:ascii="Courier New" w:cs="Courier New" w:eastAsia="Courier New" w:hAnsi="Courier New"/>
          <w:sz w:val="16"/>
          <w:szCs w:val="16"/>
          <w:color w:val="auto"/>
        </w:rPr>
        <w:t>2.33 "STOCK APPRECIATION RIGHT" or "SAR" means an Award, granted alone or in connection with a related Option, designated as an SAR, pursuant to the terms of Article 7 herein.</w:t>
      </w:r>
    </w:p>
    <w:p>
      <w:pPr>
        <w:spacing w:after="0" w:line="185"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2.34 "SUBSIDIARY" means any corporation, partnership, joint venture, affiliate, or other entity in which the Company has an ownership interest, and which the Committee designates as a participating entity in the Plan.</w:t>
      </w:r>
    </w:p>
    <w:p>
      <w:pPr>
        <w:spacing w:after="0" w:line="186"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2.35 "TANDEM SAR" means an SAR that is granted in connection with a related Option, the exercise of which shall require forfeiture of the right to purchase a Share under the related Option (and when a Share is purchased under the Option, the Tandem SAR shall similarly be canceled).</w:t>
      </w:r>
    </w:p>
    <w:p>
      <w:pPr>
        <w:spacing w:after="0" w:line="186"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2.36 "TOTAL SHAREHOLDER RETURN" means the percentage change in value of an initial investment in Shares over a specified period assuming reinvestment of all dividends during the period.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3. ADMINISTRATION</w:t>
      </w:r>
    </w:p>
    <w:p>
      <w:pPr>
        <w:spacing w:after="0" w:line="185" w:lineRule="exact"/>
        <w:rPr>
          <w:sz w:val="20"/>
          <w:szCs w:val="20"/>
          <w:color w:val="auto"/>
        </w:rPr>
      </w:pPr>
    </w:p>
    <w:p>
      <w:pPr>
        <w:jc w:val="both"/>
        <w:ind w:right="3279" w:firstLine="938"/>
        <w:spacing w:after="0" w:line="254" w:lineRule="auto"/>
        <w:rPr>
          <w:sz w:val="20"/>
          <w:szCs w:val="20"/>
          <w:color w:val="auto"/>
        </w:rPr>
      </w:pPr>
      <w:r>
        <w:rPr>
          <w:rFonts w:ascii="Courier New" w:cs="Courier New" w:eastAsia="Courier New" w:hAnsi="Courier New"/>
          <w:sz w:val="15"/>
          <w:szCs w:val="15"/>
          <w:color w:val="auto"/>
        </w:rPr>
        <w:t>3.1 THE COMMITTEE. The Plan shall be administered by the Organization, Compensation and Nominating Committee of the Board or by any other Committee appointed by the Board consisting of not less than two (2)</w:t>
      </w:r>
    </w:p>
    <w:p>
      <w:pPr>
        <w:spacing w:after="0" w:line="2"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Directors. The members of the Committee shall be appointed from time to time by, and shall serve at the discretion of, the Board of Directors. Each of the members of the Committee shall be a "Non-Employee Director" within the meaning of Rule 16b-3 under the Exchange Act. In addition, any action taken with respect to Named Executive Officers for purposes of meeting the Performance-Based Exception shall be taken by the Committee only if all of the members of the Committee are "outside directors" within the meaning of Code Section 162(m), subject to any applicable transition rules under Code Section 162(m).</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3"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If all of the members of the Committee are not "outside directors", such action shall be taken by a subcommittee of the Committee comprised of at least two (2) members who are "outside directors."</w:t>
      </w:r>
    </w:p>
    <w:p>
      <w:pPr>
        <w:spacing w:after="0" w:line="185" w:lineRule="exact"/>
        <w:rPr>
          <w:sz w:val="20"/>
          <w:szCs w:val="20"/>
          <w:color w:val="auto"/>
        </w:rPr>
      </w:pPr>
    </w:p>
    <w:p>
      <w:pPr>
        <w:ind w:right="2819" w:firstLine="938"/>
        <w:spacing w:after="0" w:line="255" w:lineRule="auto"/>
        <w:rPr>
          <w:sz w:val="20"/>
          <w:szCs w:val="20"/>
          <w:color w:val="auto"/>
        </w:rPr>
      </w:pPr>
      <w:r>
        <w:rPr>
          <w:rFonts w:ascii="Courier New" w:cs="Courier New" w:eastAsia="Courier New" w:hAnsi="Courier New"/>
          <w:sz w:val="15"/>
          <w:szCs w:val="15"/>
          <w:color w:val="auto"/>
        </w:rPr>
        <w:t>3.2 AUTHORITY OF THE COMMITTEE. Except as limited by law, or by the Articles of Incorporation or Bylaws of the Company, and subject to the provisions herein, the Committee shall have full power to select Key Employees who shall participate in the Plan; determine the sizes and types of Awards; determine the terms and provisions of Awards in a manner consistent with the Plan; construe and interpret the Plan and any agreement or instrument entered into under the Plan; establish, amend, or waive rules and regulations for the Plan's administration; and (subject to the provisions of Article 15 herein), amend the terms and provisions of any outstanding Award to the extent such terms and provisions are within the discretion of the Committee as provided in the Plan. Further, the Committee shall make all other determinations which may be necessary or advisable for the administration of the Plan. To the extent permitted by law, the Committee may delegate its authority hereunder.</w:t>
      </w:r>
    </w:p>
    <w:p>
      <w:pPr>
        <w:spacing w:after="0" w:line="178"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3.3 DECISIONS BINDING. All determinations and decisions made by the Committee pursuant to the provisions of the Plan and all related orders and resolutions of the Board shall be final, conclusive and binding on all persons, including the Company, its shareholders, employees, Participants, and their estates and beneficiaries.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4. SHARES SUBJECT TO THE PLAN</w:t>
      </w:r>
    </w:p>
    <w:p>
      <w:pPr>
        <w:spacing w:after="0" w:line="185"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4.1 NUMBER OF SHARES AVAILABLE FOR GRANTS. Subject to the provisions of this Article IV, the maximum number of Shares that may be delivered to Participants (or their beneficiaries) under the Plan shall equal the sum of:</w:t>
      </w:r>
    </w:p>
    <w:p>
      <w:pPr>
        <w:spacing w:after="0" w:line="181" w:lineRule="exact"/>
        <w:rPr>
          <w:sz w:val="20"/>
          <w:szCs w:val="20"/>
          <w:color w:val="auto"/>
        </w:rPr>
      </w:pPr>
    </w:p>
    <w:p>
      <w:pPr>
        <w:ind w:left="2060" w:hanging="1126"/>
        <w:spacing w:after="0"/>
        <w:tabs>
          <w:tab w:leader="none" w:pos="2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Nine Hundred Fifty Thousand (950,000); plus</w:t>
      </w:r>
    </w:p>
    <w:p>
      <w:pPr>
        <w:spacing w:after="0" w:line="184" w:lineRule="exact"/>
        <w:rPr>
          <w:rFonts w:ascii="Courier New" w:cs="Courier New" w:eastAsia="Courier New" w:hAnsi="Courier New"/>
          <w:sz w:val="16"/>
          <w:szCs w:val="16"/>
          <w:color w:val="auto"/>
        </w:rPr>
      </w:pPr>
    </w:p>
    <w:p>
      <w:pPr>
        <w:ind w:left="2060" w:right="3099" w:hanging="1126"/>
        <w:spacing w:after="0" w:line="237" w:lineRule="auto"/>
        <w:tabs>
          <w:tab w:leader="none" w:pos="2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available for future awards under the Company's 1993 Long-Term Incentive Plan as of the Effective Date; plus</w:t>
      </w:r>
    </w:p>
    <w:p>
      <w:pPr>
        <w:spacing w:after="0" w:line="184" w:lineRule="exact"/>
        <w:rPr>
          <w:rFonts w:ascii="Courier New" w:cs="Courier New" w:eastAsia="Courier New" w:hAnsi="Courier New"/>
          <w:sz w:val="16"/>
          <w:szCs w:val="16"/>
          <w:color w:val="auto"/>
        </w:rPr>
      </w:pPr>
    </w:p>
    <w:p>
      <w:pPr>
        <w:ind w:left="2060" w:right="2819" w:hanging="1126"/>
        <w:spacing w:after="0" w:line="257" w:lineRule="auto"/>
        <w:tabs>
          <w:tab w:leader="none" w:pos="2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that are represented by awards granted under any prior plan of the Company which are forfeited, expire or are canceled without the delivery of Shares or which result in the forfeiture of Shares back to the Company.</w:t>
      </w:r>
    </w:p>
    <w:p>
      <w:pPr>
        <w:spacing w:after="0" w:line="174" w:lineRule="exact"/>
        <w:rPr>
          <w:sz w:val="20"/>
          <w:szCs w:val="20"/>
          <w:color w:val="auto"/>
        </w:rPr>
      </w:pPr>
    </w:p>
    <w:p>
      <w:pPr>
        <w:ind w:right="2819" w:firstLine="938"/>
        <w:spacing w:after="0" w:line="255" w:lineRule="auto"/>
        <w:rPr>
          <w:sz w:val="20"/>
          <w:szCs w:val="20"/>
          <w:color w:val="auto"/>
        </w:rPr>
      </w:pPr>
      <w:r>
        <w:rPr>
          <w:rFonts w:ascii="Courier New" w:cs="Courier New" w:eastAsia="Courier New" w:hAnsi="Courier New"/>
          <w:sz w:val="15"/>
          <w:szCs w:val="15"/>
          <w:color w:val="auto"/>
        </w:rPr>
        <w:t>Any Shares covered by an Award (or portion of an Award) granted under the Plan which is forfeited, is canceled, expires or is settled in cash shall be deemed to not have been delivered for purposes of determining the maximum number of Shares available for delivery under the Plan. In addition, if any Stock Option is exercised by the Participant tendering previously-acquired Shares owned by the Participant in payment of all or a portion of the Option Price, then only the number of Shares issued net of the Shares so tendered shall be deemed delivered for purposes of determining the maximum number of Shares available for delivery under the Plan. Further, Shares issued under the Plan through the settlement, assumption or substitution of outstanding</w:t>
      </w:r>
    </w:p>
    <w:p>
      <w:pPr>
        <w:spacing w:after="0" w:line="35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3"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6"/>
          <w:szCs w:val="16"/>
          <w:color w:val="auto"/>
        </w:rPr>
        <w:t>awards or obligations to grant future awards as a condition to the Company acquiring another entity shall not reduce the maximum number of Shares available for delivery under the Plan.</w:t>
      </w:r>
    </w:p>
    <w:p>
      <w:pPr>
        <w:spacing w:after="0" w:line="185" w:lineRule="exact"/>
        <w:rPr>
          <w:sz w:val="20"/>
          <w:szCs w:val="20"/>
          <w:color w:val="auto"/>
        </w:rPr>
      </w:pPr>
    </w:p>
    <w:p>
      <w:pPr>
        <w:ind w:right="3379" w:firstLine="938"/>
        <w:spacing w:after="0" w:line="236" w:lineRule="auto"/>
        <w:rPr>
          <w:sz w:val="20"/>
          <w:szCs w:val="20"/>
          <w:color w:val="auto"/>
        </w:rPr>
      </w:pPr>
      <w:r>
        <w:rPr>
          <w:rFonts w:ascii="Courier New" w:cs="Courier New" w:eastAsia="Courier New" w:hAnsi="Courier New"/>
          <w:sz w:val="16"/>
          <w:szCs w:val="16"/>
          <w:color w:val="auto"/>
        </w:rPr>
        <w:t>Notwithstanding any provision of this Plan to the contrary, the following additional limits shall apply:</w:t>
      </w:r>
    </w:p>
    <w:p>
      <w:pPr>
        <w:spacing w:after="0" w:line="185" w:lineRule="exact"/>
        <w:rPr>
          <w:sz w:val="20"/>
          <w:szCs w:val="20"/>
          <w:color w:val="auto"/>
        </w:rPr>
      </w:pPr>
    </w:p>
    <w:p>
      <w:pPr>
        <w:jc w:val="both"/>
        <w:ind w:left="2060" w:right="2819" w:hanging="1126"/>
        <w:spacing w:after="0" w:line="263" w:lineRule="auto"/>
        <w:tabs>
          <w:tab w:leader="none" w:pos="2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more than Nine Hundred Fifty Thousand (950,000) Shares may cover Incentive Stock Options granted under the Plan.</w:t>
      </w:r>
    </w:p>
    <w:p>
      <w:pPr>
        <w:spacing w:after="0" w:line="168" w:lineRule="exact"/>
        <w:rPr>
          <w:rFonts w:ascii="Courier New" w:cs="Courier New" w:eastAsia="Courier New" w:hAnsi="Courier New"/>
          <w:sz w:val="15"/>
          <w:szCs w:val="15"/>
          <w:color w:val="auto"/>
        </w:rPr>
      </w:pPr>
    </w:p>
    <w:p>
      <w:pPr>
        <w:ind w:left="2060" w:right="2899" w:hanging="1126"/>
        <w:spacing w:after="0" w:line="254" w:lineRule="auto"/>
        <w:tabs>
          <w:tab w:leader="none" w:pos="2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that may be covered by Awards to an individual Participant shall not exceed Two Hundred Eighty-Five Thousand (285,000) during any three</w:t>
      </w:r>
    </w:p>
    <w:p>
      <w:pPr>
        <w:ind w:left="2440" w:hanging="380"/>
        <w:spacing w:after="0"/>
        <w:tabs>
          <w:tab w:leader="none" w:pos="244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consecutive calendar years.</w:t>
      </w:r>
    </w:p>
    <w:p>
      <w:pPr>
        <w:spacing w:after="0" w:line="184" w:lineRule="exact"/>
        <w:rPr>
          <w:sz w:val="20"/>
          <w:szCs w:val="20"/>
          <w:color w:val="auto"/>
        </w:rPr>
      </w:pPr>
    </w:p>
    <w:p>
      <w:pPr>
        <w:jc w:val="both"/>
        <w:ind w:right="2899" w:firstLine="938"/>
        <w:spacing w:after="0" w:line="237" w:lineRule="auto"/>
        <w:rPr>
          <w:sz w:val="20"/>
          <w:szCs w:val="20"/>
          <w:color w:val="auto"/>
        </w:rPr>
      </w:pPr>
      <w:r>
        <w:rPr>
          <w:rFonts w:ascii="Courier New" w:cs="Courier New" w:eastAsia="Courier New" w:hAnsi="Courier New"/>
          <w:sz w:val="16"/>
          <w:szCs w:val="16"/>
          <w:color w:val="auto"/>
        </w:rPr>
        <w:t>The number of Shares reserved for grants of Awards and the limits on such Awards under this Section 4.1 shall be subject to adjustment as provided in Section 4.2.</w:t>
      </w:r>
    </w:p>
    <w:p>
      <w:pPr>
        <w:spacing w:after="0" w:line="185" w:lineRule="exact"/>
        <w:rPr>
          <w:sz w:val="20"/>
          <w:szCs w:val="20"/>
          <w:color w:val="auto"/>
        </w:rPr>
      </w:pPr>
    </w:p>
    <w:p>
      <w:pPr>
        <w:ind w:right="2719" w:firstLine="750"/>
        <w:spacing w:after="0" w:line="255" w:lineRule="auto"/>
        <w:rPr>
          <w:sz w:val="20"/>
          <w:szCs w:val="20"/>
          <w:color w:val="auto"/>
        </w:rPr>
      </w:pPr>
      <w:r>
        <w:rPr>
          <w:rFonts w:ascii="Courier New" w:cs="Courier New" w:eastAsia="Courier New" w:hAnsi="Courier New"/>
          <w:sz w:val="15"/>
          <w:szCs w:val="15"/>
          <w:color w:val="auto"/>
        </w:rPr>
        <w:t>4.2 ADJUSTMENTS IN AUTHORIZED SHARES. In the event of any change in corporate capitalization, such as a stock split, or a corporate transaction, such as any merger, consolidation, separation, including a spin-off, or other distribution of stock or property of the Company, any reorganization (whether or not such reorganization comes within the definition of such term in Code Section 368) or any partial or complete liquidation of the Company, such adjustment shall be made in the number and class of Shares which may be delivered under the Plan under Section 4.1, and in the number and class of and/or price of Shares subject to outstanding Awards granted under the Plan, as may be determined to be appropriate and equitable by the Committee, in its sole discretion, to prevent dilution or enlargement of rights; provided, however, that the number of Shares subject to any Award shall always be a whole number.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5. ELIGIBILITY AND PARTICIPATION</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5.1 ELIGIBILITY. Persons eligible to participate in this Plan are any Outside Consultants selected by the Committee and all Key Employees of the Company, as determined by the Committee, including Key Employees who are Directors, but excluding Directors who are not Key Employees.</w:t>
      </w:r>
    </w:p>
    <w:p>
      <w:pPr>
        <w:spacing w:after="0" w:line="186"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5.2 ACTUAL PARTICIPATION. Subject to the provisions of the Plan, the Committee may, from time to time, select from any Outside Consultants and all eligible Key Employees those to whom Awards shall be granted and shall determine the nature and amount of each Award.</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3"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11</w:t>
      </w:r>
    </w:p>
    <w:p>
      <w:pPr>
        <w:spacing w:after="0"/>
        <w:rPr>
          <w:sz w:val="20"/>
          <w:szCs w:val="20"/>
          <w:color w:val="auto"/>
        </w:rPr>
      </w:pPr>
      <w:r>
        <w:rPr>
          <w:rFonts w:ascii="Courier New" w:cs="Courier New" w:eastAsia="Courier New" w:hAnsi="Courier New"/>
          <w:sz w:val="16"/>
          <w:szCs w:val="16"/>
          <w:color w:val="auto"/>
        </w:rPr>
        <w:t>ARTICLE 6. STOCK OPTIONS</w:t>
      </w:r>
    </w:p>
    <w:p>
      <w:pPr>
        <w:spacing w:after="0" w:line="184"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6.1 GRANT OF OPTIONS. Subject to the terms and provisions of the Plan, Options may be granted to Key Employees in such number, and upon such terms, and at any time and from time to time as shall be determined by the Committee. In addition, subject to the terms and provisions of the Plan, NQSOs (but not ISOs) may be granted to Outside Consultants in such number, and upon such terms, and at any time and from time to time as shall be determined by the Committee</w:t>
      </w:r>
    </w:p>
    <w:p>
      <w:pPr>
        <w:spacing w:after="0" w:line="185"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6.2 AWARD AGREEMENT. Each Option grant shall be evidenced by an Award Agreement that shall specify the Option Price, the duration of the Option, the number of Shares to which the Option pertains, and such other provisions as the Committee shall determine. The Award Agreement also shall specify whether the Option is intended to be an ISO within the meaning of Section 422 of the Code, or an NQSO whose grant is intended not to fall under Code Section 422.</w:t>
      </w:r>
    </w:p>
    <w:p>
      <w:pPr>
        <w:spacing w:after="0" w:line="185"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6.3 OPTION PRICE. The Committee shall determine the Option Price for each grant of an Option under this Plan, which such Option Price (i) shall not be less than the Fair Market Value of a Share on the date of grant and (ii) shall be set forth in the applicable Award Agreement.</w:t>
      </w:r>
    </w:p>
    <w:p>
      <w:pPr>
        <w:spacing w:after="0" w:line="186"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6.4 DURATION OF OPTIONS. Each Option shall expire at such time as the Committee shall determine at the time of grant; provided, however, that no Option shall be exercisable later than the tenth (10th) anniversary date of its grant.</w:t>
      </w:r>
    </w:p>
    <w:p>
      <w:pPr>
        <w:spacing w:after="0" w:line="186"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6.5 EXERCISE OF OPTIONS. Options granted under this Article 6 shall be exercisable at such times and be subject to such restrictions and conditions as the Committee shall in each instance approve and which shall be set forth in the applicable Award Agreement, which need not be the same for each grant or for each Participant.</w:t>
      </w:r>
    </w:p>
    <w:p>
      <w:pPr>
        <w:spacing w:after="0" w:line="187"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6.6 PAYMENT. Options shall be exercised by the delivery of a written notice of exercise to the Company, setting forth the number of Shares with respect to which the Option is to be exercised, accompanied by full payment for the Shares.</w:t>
      </w:r>
    </w:p>
    <w:p>
      <w:pPr>
        <w:spacing w:after="0" w:line="186"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The Option Price upon exercise of any Option shall be payable to the Company in full either: (a) in cash or its equivalent, or (b) by tendering (either actually or by attestation) previously acquired Shares having an aggregate Fair Market Value at the time of exercise equal to the total Option Price (provided that the Shares which are tendered must have been held by the Participant for at least six (6) months prior to their tender to satisfy the Option Price), or (c) by a combination of (a) and (b).</w:t>
      </w:r>
    </w:p>
    <w:p>
      <w:pPr>
        <w:spacing w:after="0" w:line="185" w:lineRule="exact"/>
        <w:rPr>
          <w:sz w:val="20"/>
          <w:szCs w:val="20"/>
          <w:color w:val="auto"/>
        </w:rPr>
      </w:pPr>
    </w:p>
    <w:p>
      <w:pPr>
        <w:ind w:right="3179" w:firstLine="938"/>
        <w:spacing w:after="0" w:line="257" w:lineRule="auto"/>
        <w:rPr>
          <w:sz w:val="20"/>
          <w:szCs w:val="20"/>
          <w:color w:val="auto"/>
        </w:rPr>
      </w:pPr>
      <w:r>
        <w:rPr>
          <w:rFonts w:ascii="Courier New" w:cs="Courier New" w:eastAsia="Courier New" w:hAnsi="Courier New"/>
          <w:sz w:val="15"/>
          <w:szCs w:val="15"/>
          <w:color w:val="auto"/>
        </w:rPr>
        <w:t>The Committee also may allow cashless exercise as permitted under Federal Reserve Board's Regulation G or Regulation T, subject to applicable securities law restrictions, or by any other means which the Committee determines to be consistent with the Plan's purpose and applicable law.</w:t>
      </w:r>
    </w:p>
    <w:p>
      <w:pPr>
        <w:spacing w:after="0" w:line="34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3"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As soon as practicable after receipt of a written notification of exercise and full payment, the Company shall deliver to the Participant, in the Participant's name, Share certificates in an appropriate amount based upon the number of Shares purchased under the Option(s).</w:t>
      </w:r>
    </w:p>
    <w:p>
      <w:pPr>
        <w:spacing w:after="0" w:line="186"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6.7 RESTRICTIONS ON SHARE TRANSFERABILITY. The Committee may impose such restrictions on any Shares acquired pursuant to the exercise of an Option granted under this Article 6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85"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6.8 TERMINATION OF EMPLOYMENT. Each Participant's Option Award Agreement shall set forth the extent to which the Participant shall have the right to exercise the Option following termination of the Participant's employment with the Company and its Subsidiaries. Such provisions shall be determined in the sole discretion of the Committee, shall be included in the Award Agreement entered into with Participants, need not be uniform among all Options issued pursuant to this Article 6, may reflect distinctions based on the reasons for termination of employment and may include provisions relating to the Participant's competition with the Company after termination of employment. In that regard, if an Award Agreement permits exercise of an Option following the death of the Participant, the Award Agreement shall provide that such Option shall be exercisable to the extent provided therein by any person that may be empowered to do so under the Participant's will, or if the Participant shall fail to make a testamentary disposition of the Option or shall have died intestate, by the Participant's executor or other legal representative.</w:t>
      </w:r>
    </w:p>
    <w:p>
      <w:pPr>
        <w:spacing w:after="0" w:line="185" w:lineRule="exact"/>
        <w:rPr>
          <w:sz w:val="20"/>
          <w:szCs w:val="20"/>
          <w:color w:val="auto"/>
        </w:rPr>
      </w:pPr>
    </w:p>
    <w:p>
      <w:pPr>
        <w:ind w:left="940"/>
        <w:spacing w:after="0"/>
        <w:tabs>
          <w:tab w:leader="none" w:pos="2040"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5"/>
          <w:szCs w:val="15"/>
          <w:color w:val="auto"/>
        </w:rPr>
        <w:t>NONTRANSFERABILITY OF OPTIONS.</w:t>
      </w:r>
    </w:p>
    <w:p>
      <w:pPr>
        <w:spacing w:after="0" w:line="185" w:lineRule="exact"/>
        <w:rPr>
          <w:sz w:val="20"/>
          <w:szCs w:val="20"/>
          <w:color w:val="auto"/>
        </w:rPr>
      </w:pPr>
    </w:p>
    <w:p>
      <w:pPr>
        <w:ind w:left="2060" w:right="2819" w:hanging="1126"/>
        <w:spacing w:after="0" w:line="238" w:lineRule="auto"/>
        <w:tabs>
          <w:tab w:leader="none" w:pos="2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No ISO granted under this Article 6 may be sold, transferred, pledged, assigned, or otherwise alienated or hypothecated, other than by will or by the laws of descent and distribution. Further, all ISOs granted to a Participant under the Plan shall be exercisable during his or her lifetime only by such Participant.</w:t>
      </w:r>
    </w:p>
    <w:p>
      <w:pPr>
        <w:spacing w:after="0" w:line="184" w:lineRule="exact"/>
        <w:rPr>
          <w:rFonts w:ascii="Courier New" w:cs="Courier New" w:eastAsia="Courier New" w:hAnsi="Courier New"/>
          <w:sz w:val="16"/>
          <w:szCs w:val="16"/>
          <w:color w:val="auto"/>
        </w:rPr>
      </w:pPr>
    </w:p>
    <w:p>
      <w:pPr>
        <w:ind w:left="2060" w:right="2819" w:hanging="1126"/>
        <w:spacing w:after="0" w:line="255" w:lineRule="auto"/>
        <w:tabs>
          <w:tab w:leader="none" w:pos="2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Except as otherwise provided in a Participant's Award Agreement, no NQSO granted under this Article 6 may be sold, transferred, pledged, assigned, or otherwise alienated or hypothecated, other than by will or by the laws of descent and distribution. Further, except as otherwise provided in a Participant's Award Agreement, all NQSOs granted to a Participant under this Article 6 shall be exercisable during his or her lifetime only by such Participant.</w:t>
      </w:r>
    </w:p>
    <w:p>
      <w:pPr>
        <w:spacing w:after="0" w:line="179"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6.10 NO RIGHTS. A Participant granted an Option shall have no rights as a shareholder of the Company with respect to the Shares covered by such Option except</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3"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to the extent that Shares are issued to the Participant upon the due exercise of the Option.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7. STOCK APPRECIATION RIGHTS</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7.1 GRANT OF SARS. Subject to the terms and provisions of the Plan, SARs may be granted to Key Employees at any time and from time to time as shall be determined by the Committee. The Committee may grant Freestanding SARs, Tandem SARs, or any combination of these forms of SAR.</w:t>
      </w:r>
    </w:p>
    <w:p>
      <w:pPr>
        <w:spacing w:after="0" w:line="186"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The Committee shall have complete discretion in determining the number of Shares covered by SARs granted hereunder (subject to Article 4 herein) and, consistent with the provisions of the Plan, in determining the terms and provisions pertaining to such SARs. The number of Shares covered by a Freestanding SAR shall be counted against the number of Shares available for grants of Awards under Section 4.1, but the number of Shares covered by a Tandem SAR shall not be so counted.</w:t>
      </w:r>
    </w:p>
    <w:p>
      <w:pPr>
        <w:spacing w:after="0" w:line="185" w:lineRule="exact"/>
        <w:rPr>
          <w:sz w:val="20"/>
          <w:szCs w:val="20"/>
          <w:color w:val="auto"/>
        </w:rPr>
      </w:pPr>
    </w:p>
    <w:p>
      <w:pPr>
        <w:jc w:val="both"/>
        <w:ind w:right="3179" w:firstLine="938"/>
        <w:spacing w:after="0" w:line="237" w:lineRule="auto"/>
        <w:rPr>
          <w:sz w:val="20"/>
          <w:szCs w:val="20"/>
          <w:color w:val="auto"/>
        </w:rPr>
      </w:pPr>
      <w:r>
        <w:rPr>
          <w:rFonts w:ascii="Courier New" w:cs="Courier New" w:eastAsia="Courier New" w:hAnsi="Courier New"/>
          <w:sz w:val="16"/>
          <w:szCs w:val="16"/>
          <w:color w:val="auto"/>
        </w:rPr>
        <w:t>The grant price of a Freestanding SAR shall equal the Fair Market Value of a Share on the date of grant of the SAR. The grant price of Tandem SARs shall equal the Option Price of the related Option.</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7.2 EXERCISE OF TANDEM SARS.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87"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Notwithstanding any other provision of this Plan to the contrary, with respect to a Tandem SAR granted in connection with an ISO: (i) the Tandem SAR will expire no later than the expiration of the underlying ISO; (ii) the value of the payout with respect to the Tandem SAR may be for no more than one hundred percent (100%) of the difference between the Option Price of the underlying ISO and the Fair Market Value of the Shares subject to the underlying ISO at the time the Tandem SAR is exercised; and (iii) the Tandem SAR may be exercised only when the Fair Market Value of the Shares subject to the ISO exceeds the Option Price of the ISO.</w:t>
      </w:r>
    </w:p>
    <w:p>
      <w:pPr>
        <w:spacing w:after="0" w:line="186"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7.3 EXERCISE OF FREESTANDING SARS. Freestanding SARs may be exercised upon whatever terms and provisions the Committee, in its sole discretion, imposes upon them.</w:t>
      </w:r>
    </w:p>
    <w:p>
      <w:pPr>
        <w:spacing w:after="0" w:line="185" w:lineRule="exact"/>
        <w:rPr>
          <w:sz w:val="20"/>
          <w:szCs w:val="20"/>
          <w:color w:val="auto"/>
        </w:rPr>
      </w:pPr>
    </w:p>
    <w:p>
      <w:pPr>
        <w:jc w:val="both"/>
        <w:ind w:right="3099" w:firstLine="938"/>
        <w:spacing w:after="0" w:line="237" w:lineRule="auto"/>
        <w:rPr>
          <w:sz w:val="20"/>
          <w:szCs w:val="20"/>
          <w:color w:val="auto"/>
        </w:rPr>
      </w:pPr>
      <w:r>
        <w:rPr>
          <w:rFonts w:ascii="Courier New" w:cs="Courier New" w:eastAsia="Courier New" w:hAnsi="Courier New"/>
          <w:sz w:val="16"/>
          <w:szCs w:val="16"/>
          <w:color w:val="auto"/>
        </w:rPr>
        <w:t>7.4 SAR AGREEMENT. Each SAR grant shall be evidenced by an Award Agreement that shall specify the grant price, the term of the SAR, and such other provisions as the Committee shall determine.</w:t>
      </w:r>
    </w:p>
    <w:p>
      <w:pPr>
        <w:spacing w:after="0" w:line="185"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7.5 TERM OF SARS. The term of an SAR granted under the Plan shall be determined by the Committee, in its sole discretion; provided, however, that such term shall not exceed ten (10) years.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3"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7.6 PAYMENT OF SAR AMOUNT. Upon exercise of an SAR, a Participant shall be entitled to receive payment from the Company in an amount determined by multiplying:</w:t>
      </w:r>
    </w:p>
    <w:p>
      <w:pPr>
        <w:spacing w:after="0" w:line="185" w:lineRule="exact"/>
        <w:rPr>
          <w:sz w:val="20"/>
          <w:szCs w:val="20"/>
          <w:color w:val="auto"/>
        </w:rPr>
      </w:pPr>
    </w:p>
    <w:p>
      <w:pPr>
        <w:ind w:left="2060" w:right="2999" w:hanging="1126"/>
        <w:spacing w:after="0" w:line="263" w:lineRule="auto"/>
        <w:tabs>
          <w:tab w:leader="none" w:pos="2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 between the Fair Market Value of a Share on the date of exercise over the grant price; by</w:t>
      </w:r>
    </w:p>
    <w:p>
      <w:pPr>
        <w:spacing w:after="0" w:line="168" w:lineRule="exact"/>
        <w:rPr>
          <w:rFonts w:ascii="Courier New" w:cs="Courier New" w:eastAsia="Courier New" w:hAnsi="Courier New"/>
          <w:sz w:val="15"/>
          <w:szCs w:val="15"/>
          <w:color w:val="auto"/>
        </w:rPr>
      </w:pPr>
    </w:p>
    <w:p>
      <w:pPr>
        <w:ind w:left="2060" w:right="3179" w:hanging="1126"/>
        <w:spacing w:after="0" w:line="236" w:lineRule="auto"/>
        <w:tabs>
          <w:tab w:leader="none" w:pos="2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with respect to which the SAR is exercised.</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At the discretion of the Committee, the payment upon SAR exercise may be in cash, in Shares of equivalent value, or in some combination thereof; provided, however, that from and after the date of a Change in Control, the exercise of an SAR may be settled only in cash.</w:t>
      </w:r>
    </w:p>
    <w:p>
      <w:pPr>
        <w:spacing w:after="0" w:line="186"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7.7 RULE 16b-3 REQUIREMENTS. Notwithstanding any other provision of the Plan, the Committee may impose such conditions on exercise of an SAR (including, without limitation, the right of the Committee to limit the time of exercise to specified periods) as may be required to satisfy the requirements of Section 16 (or any successor provision) of the Exchange Act.</w:t>
      </w:r>
    </w:p>
    <w:p>
      <w:pPr>
        <w:spacing w:after="0" w:line="187" w:lineRule="exact"/>
        <w:rPr>
          <w:sz w:val="20"/>
          <w:szCs w:val="20"/>
          <w:color w:val="auto"/>
        </w:rPr>
      </w:pPr>
    </w:p>
    <w:p>
      <w:pPr>
        <w:ind w:right="2819" w:firstLine="938"/>
        <w:spacing w:after="0" w:line="255" w:lineRule="auto"/>
        <w:rPr>
          <w:sz w:val="20"/>
          <w:szCs w:val="20"/>
          <w:color w:val="auto"/>
        </w:rPr>
      </w:pPr>
      <w:r>
        <w:rPr>
          <w:rFonts w:ascii="Courier New" w:cs="Courier New" w:eastAsia="Courier New" w:hAnsi="Courier New"/>
          <w:sz w:val="15"/>
          <w:szCs w:val="15"/>
          <w:color w:val="auto"/>
        </w:rPr>
        <w:t>7.8 TERMINATION OF EMPLOYMENT. Each SAR Award Agreement shall set forth the extent to which the Participant shall have the right to exercise the SAR following termination of the Participant's employment with the Company and its Subsidiaries. Such provisions shall be determined in the sole discretion of the Committee, shall be included in the Award Agreement entered into with Participants, need not be uniform among all SARs issued pursuant to the Plan, and may reflect distinctions based on the reasons for termination of employment. In that regard, if an Award Agreement permits exercise of an SAR following the death of the Participant, the Award Agreement shall provide that such SAR shall be exercisable to the extent provided therein by any person that may be empowered to do so under the Participant's will, or if the Participant shall fail to make a testamentary disposition of the SAR or shall have died intestate, by the Participant's executor or other legal representative.</w:t>
      </w:r>
    </w:p>
    <w:p>
      <w:pPr>
        <w:spacing w:after="0" w:line="178"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7.9 NONTRANSFERABILITY OF SARS. Except as otherwise provided in a Participant's Award Agreement, no SAR granted under the Plan may be sold, transferred, pledged, assigned, or otherwise alienated or hypothecated, other than by will or by the laws of descent and distribution. Further, except as otherwise provided in a Participant's Award Agreement, all SARs granted to a Participant under the Plan shall be exercisable during his or her lifetime only by such Participant.</w:t>
      </w:r>
    </w:p>
    <w:p>
      <w:pPr>
        <w:spacing w:after="0" w:line="185" w:lineRule="exact"/>
        <w:rPr>
          <w:sz w:val="20"/>
          <w:szCs w:val="20"/>
          <w:color w:val="auto"/>
        </w:rPr>
      </w:pPr>
    </w:p>
    <w:p>
      <w:pPr>
        <w:jc w:val="both"/>
        <w:ind w:right="3099" w:firstLine="938"/>
        <w:spacing w:after="0" w:line="237" w:lineRule="auto"/>
        <w:rPr>
          <w:sz w:val="20"/>
          <w:szCs w:val="20"/>
          <w:color w:val="auto"/>
        </w:rPr>
      </w:pPr>
      <w:r>
        <w:rPr>
          <w:rFonts w:ascii="Courier New" w:cs="Courier New" w:eastAsia="Courier New" w:hAnsi="Courier New"/>
          <w:sz w:val="16"/>
          <w:szCs w:val="16"/>
          <w:color w:val="auto"/>
        </w:rPr>
        <w:t>7.10 NO RIGHTS. A Participant granted an SAR shall have no rights as a shareholder of the Company with respect to the Shares covered by such SAR except to the extent that Shares are issued to the Participant upon the due exercise of the SAR.</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3"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15</w:t>
      </w:r>
    </w:p>
    <w:p>
      <w:pPr>
        <w:spacing w:after="0"/>
        <w:rPr>
          <w:sz w:val="20"/>
          <w:szCs w:val="20"/>
          <w:color w:val="auto"/>
        </w:rPr>
      </w:pPr>
      <w:r>
        <w:rPr>
          <w:rFonts w:ascii="Courier New" w:cs="Courier New" w:eastAsia="Courier New" w:hAnsi="Courier New"/>
          <w:sz w:val="16"/>
          <w:szCs w:val="16"/>
          <w:color w:val="auto"/>
        </w:rPr>
        <w:t>ARTICLE 8. PAYMENT SHARES AND RESTRICTED STOCK</w:t>
      </w:r>
    </w:p>
    <w:p>
      <w:pPr>
        <w:spacing w:after="0" w:line="184"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8.1 PAYMENT SHARES. The Committee may, at any time and from time to time in its sole an exclusive discretion, grant to a Participant Payment Shares in lieu of cash compensation otherwise payable to the Participant under any compensation plans or arrangements of the Company, which such Payment Shares shall have an aggregate Fair Market Value on the date of grant equal to the amount of the cash compensation otherwise payable to the Participant.</w:t>
      </w:r>
    </w:p>
    <w:p>
      <w:pPr>
        <w:spacing w:after="0" w:line="185"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8.2 GRANT OF RESTRICTED STOCK. Subject to the terms and provisions of the Plan, the Committee, at any time and from time to time, may grant Shares of Restricted Stock to eligible Key Employees or Outside Consultants in such amounts as the Committee shall determine.</w:t>
      </w:r>
    </w:p>
    <w:p>
      <w:pPr>
        <w:spacing w:after="0" w:line="186" w:lineRule="exact"/>
        <w:rPr>
          <w:sz w:val="20"/>
          <w:szCs w:val="20"/>
          <w:color w:val="auto"/>
        </w:rPr>
      </w:pPr>
    </w:p>
    <w:p>
      <w:pPr>
        <w:ind w:right="2999" w:firstLine="938"/>
        <w:spacing w:after="0"/>
        <w:rPr>
          <w:sz w:val="20"/>
          <w:szCs w:val="20"/>
          <w:color w:val="auto"/>
        </w:rPr>
      </w:pPr>
      <w:r>
        <w:rPr>
          <w:rFonts w:ascii="Courier New" w:cs="Courier New" w:eastAsia="Courier New" w:hAnsi="Courier New"/>
          <w:sz w:val="16"/>
          <w:szCs w:val="16"/>
          <w:color w:val="auto"/>
        </w:rPr>
        <w:t>8.3 RESTRICTED STOCK AWARD AGREEMENT. Each Restricted Stock grant shall be evidenced by a Restricted Stock Award Agreement that shall specify the Period of Restriction, or Periods, the number of Shares of Restricted Stock granted, and such other provisions as the Committee shall determine</w:t>
      </w:r>
    </w:p>
    <w:p>
      <w:pPr>
        <w:spacing w:after="0" w:line="357"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8.4 TRANSFERABILITY. Except as provided in this Article 8, the Shares of Restricted Stock granted herein may not be sold, transferred, pledged, assigned, or otherwise alienated or hypothecated until the end of the applicable Period of Restriction established by the Committee and specified in the Restricted Stock Award Agreement, or upon earlier satisfaction of any other conditions, as specified by the Committee in its sole discretion and set forth in the Restricted Stock Agreement. All rights with respect to the Restricted Stock granted to a Participant under the Plan shall be available during his or her lifetime only to such Participant.</w:t>
      </w:r>
    </w:p>
    <w:p>
      <w:pPr>
        <w:spacing w:after="0" w:line="186" w:lineRule="exact"/>
        <w:rPr>
          <w:sz w:val="20"/>
          <w:szCs w:val="20"/>
          <w:color w:val="auto"/>
        </w:rPr>
      </w:pPr>
    </w:p>
    <w:p>
      <w:pPr>
        <w:ind w:right="2819" w:firstLine="938"/>
        <w:spacing w:after="0" w:line="256" w:lineRule="auto"/>
        <w:rPr>
          <w:sz w:val="20"/>
          <w:szCs w:val="20"/>
          <w:color w:val="auto"/>
        </w:rPr>
      </w:pPr>
      <w:r>
        <w:rPr>
          <w:rFonts w:ascii="Courier New" w:cs="Courier New" w:eastAsia="Courier New" w:hAnsi="Courier New"/>
          <w:sz w:val="15"/>
          <w:szCs w:val="15"/>
          <w:color w:val="auto"/>
        </w:rPr>
        <w:t>8.5 OTHER RESTRICTIONS. The Committee may impose such other conditions and/or restrictions on any Shares of Restricted Stock granted pursuant to the Plan as it may deem advisable including, without limitation, a requirement that Participants pay a stipulated purchase price for each Share of Restricted Stock, restrictions based upon the achievement of specific performance goals (Company-wide, divisional, and/or individual), time-based restrictions on vesting following the attainment of the performance goals, and/or restrictions under applicable Federal or state securities laws.</w:t>
      </w:r>
    </w:p>
    <w:p>
      <w:pPr>
        <w:spacing w:after="0" w:line="173" w:lineRule="exact"/>
        <w:rPr>
          <w:sz w:val="20"/>
          <w:szCs w:val="20"/>
          <w:color w:val="auto"/>
        </w:rPr>
      </w:pPr>
    </w:p>
    <w:p>
      <w:pPr>
        <w:ind w:right="2899" w:firstLine="938"/>
        <w:spacing w:after="0" w:line="259" w:lineRule="auto"/>
        <w:rPr>
          <w:sz w:val="20"/>
          <w:szCs w:val="20"/>
          <w:color w:val="auto"/>
        </w:rPr>
      </w:pPr>
      <w:r>
        <w:rPr>
          <w:rFonts w:ascii="Courier New" w:cs="Courier New" w:eastAsia="Courier New" w:hAnsi="Courier New"/>
          <w:sz w:val="15"/>
          <w:szCs w:val="15"/>
          <w:color w:val="auto"/>
        </w:rPr>
        <w:t>The Company shall retain the certificates representing Shares of Restricted Stock in the Company's possession until such time as all conditions and/or restrictions applicable to such Shares have been satisfied.</w:t>
      </w:r>
    </w:p>
    <w:p>
      <w:pPr>
        <w:spacing w:after="0" w:line="171"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Except as otherwise provided in this Article 8 or in the applicable Award Agreement, Shares of Restricted Stock covered by each Restricted Stock grant made under the Plan shall become freely transferable by the Participant after the last day of the Period of Restriction.</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3"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16</w:t>
      </w:r>
    </w:p>
    <w:p>
      <w:pPr>
        <w:spacing w:after="0" w:line="4"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8.6 VOTING RIGHTS. During the Period of Restriction, Participants holding Shares of Restricted Stock granted hereunder may exercise full voting rights with respect to those Shares.</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8.7 DIVIDENDS AND OTHER DISTRIBUTIONS. During the Period of Restriction, Participants holding Shares of Restricted Stock granted hereunder may be credited with regular cash dividends paid with respect to the underlying Shares while they are so held. The Committee may apply any restrictions to the dividends that the Committee deems appropriate.</w:t>
      </w:r>
    </w:p>
    <w:p>
      <w:pPr>
        <w:spacing w:after="0" w:line="187"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In the event that any dividend constitutes a "derivative security" or an "equity security" pursuant to Rule 16(a) under the Exchange Act, such dividend shall be subject to a vesting period equal to the remaining vesting period of the Shares of Restricted Stock with respect to which the dividend is paid.</w:t>
      </w:r>
    </w:p>
    <w:p>
      <w:pPr>
        <w:spacing w:after="0" w:line="187" w:lineRule="exact"/>
        <w:rPr>
          <w:sz w:val="20"/>
          <w:szCs w:val="20"/>
          <w:color w:val="auto"/>
        </w:rPr>
      </w:pPr>
    </w:p>
    <w:p>
      <w:pPr>
        <w:ind w:right="2819" w:firstLine="938"/>
        <w:spacing w:after="0" w:line="255" w:lineRule="auto"/>
        <w:rPr>
          <w:sz w:val="20"/>
          <w:szCs w:val="20"/>
          <w:color w:val="auto"/>
        </w:rPr>
      </w:pPr>
      <w:r>
        <w:rPr>
          <w:rFonts w:ascii="Courier New" w:cs="Courier New" w:eastAsia="Courier New" w:hAnsi="Courier New"/>
          <w:sz w:val="15"/>
          <w:szCs w:val="15"/>
          <w:color w:val="auto"/>
        </w:rPr>
        <w:t>8.8 TERMINATION OF EMPLOYMENT. Each Restricted Stock Award Agreement shall set forth the extent to which the Participant shall have the right to receive unvested Restricted Shares following termination of the Participant's employment with the Company and its Subsidiaries. Such provisions shall be determined in the sole discretion of the Committee, shall be included in the Award Agreement entered into with Participants, need not be uniform among all Shares of Restricted Stock issued pursuant to the Plan, and may reflect distinctions based on the reasons for termination of employment. In amplification but not limitation of the foregoing, in the case of an award of Restricted Stock to a Named Executive Officer which is intended to qualify for the Performance-Based Exception, the Award Agreement may provide that such Restricted Stock may become payable in the event of a termination of employment by reason of death, Disability or Change in Control, such payment not to occur before attainment of the related performance goal.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9. PERFORMANCE SHARES</w:t>
      </w:r>
    </w:p>
    <w:p>
      <w:pPr>
        <w:spacing w:after="0" w:line="185"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9.1 GRANT OF PERFORMANCE SHARES. Subject to the terms and provisions of the Plan, Performance Shares may be granted to eligible Key Employees or Outside Consultants in such amount and upon such terms, and at such time(s), as shall be determined by the Committee. The number and/or vesting of Performance Shares granted, in the Committee's discretion, shall be contingent upon the degree of attainment of specified performance goals or other conditions over a specified period (the "Performance Period"). The terms and provisions of an Award of Performance Shares shall be evidenced by an appropriate Award Agreement.</w:t>
      </w:r>
    </w:p>
    <w:p>
      <w:pPr>
        <w:spacing w:after="0" w:line="186" w:lineRule="exact"/>
        <w:rPr>
          <w:sz w:val="20"/>
          <w:szCs w:val="20"/>
          <w:color w:val="auto"/>
        </w:rPr>
      </w:pPr>
    </w:p>
    <w:p>
      <w:pPr>
        <w:ind w:right="2999" w:firstLine="938"/>
        <w:spacing w:after="0" w:line="236" w:lineRule="auto"/>
        <w:rPr>
          <w:sz w:val="20"/>
          <w:szCs w:val="20"/>
          <w:color w:val="auto"/>
        </w:rPr>
      </w:pPr>
      <w:r>
        <w:rPr>
          <w:rFonts w:ascii="Courier New" w:cs="Courier New" w:eastAsia="Courier New" w:hAnsi="Courier New"/>
          <w:sz w:val="16"/>
          <w:szCs w:val="16"/>
          <w:color w:val="auto"/>
        </w:rPr>
        <w:t>9.2 VALUE OF PERFORMANCE SHARES. The value of a Performance Share at any time shall equal the Fair Market Value of a Share at such time.</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3"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17</w:t>
      </w:r>
    </w:p>
    <w:p>
      <w:pPr>
        <w:spacing w:after="0" w:line="4" w:lineRule="exact"/>
        <w:rPr>
          <w:sz w:val="20"/>
          <w:szCs w:val="20"/>
          <w:color w:val="auto"/>
        </w:rPr>
      </w:pPr>
    </w:p>
    <w:p>
      <w:pPr>
        <w:ind w:right="2819" w:firstLine="938"/>
        <w:spacing w:after="0" w:line="255" w:lineRule="auto"/>
        <w:rPr>
          <w:sz w:val="20"/>
          <w:szCs w:val="20"/>
          <w:color w:val="auto"/>
        </w:rPr>
      </w:pPr>
      <w:r>
        <w:rPr>
          <w:rFonts w:ascii="Courier New" w:cs="Courier New" w:eastAsia="Courier New" w:hAnsi="Courier New"/>
          <w:sz w:val="15"/>
          <w:szCs w:val="15"/>
          <w:color w:val="auto"/>
        </w:rPr>
        <w:t>9.3 FORM AND TIMING OF PAYMENT OF PERFORMANCE SHARES. During the course of a Performance Period, the Committee shall determine the number of Performance Shares as to which the Participant has earned a right to be paid pursuant to the terms of the applicable Award Agreement. The Committee shall pay any earned Performance Shares as soon as practicable after they are earned in the form of cash, Shares or a combination thereof (as determined by the Committee) having an aggregate Fair Market Value equal to the value of the earned Performance Shares as of the date they are earned. Any Shares used to pay out earned Performance Shares may be granted subject to any restrictions deemed appropriate by the Committee. In addition, the Committee, in its discretion, may cancel any earned Performance Shares and grant Stock Options to the Participant which the Committee determines to be of equivalent value based on a conversion formula stated in the Performance Shares Award Agreement.</w:t>
      </w:r>
    </w:p>
    <w:p>
      <w:pPr>
        <w:spacing w:after="0" w:line="178"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The Committee, in its discretion, may also grant dividend equivalents rights with respect to earned but unpaid Performance Shares as evidenced by the applicable Award Agreement. Performance Shares shall not have any voting rights.</w:t>
      </w:r>
    </w:p>
    <w:p>
      <w:pPr>
        <w:spacing w:after="0" w:line="186"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9.4 TERMINATION OF EMPLOYMENT. Each Performance Share Award Agreement shall set forth the extent to which the Participant shall have the right to receive unearned Performance Shares following termination of the Participant's employment with the Company and its Subsidiaries. Such provisions shall be determined in the sole discretion of the Committee, shall be included in the Award Agreements entered into with Participants, need not be uniform among all Performance Shares awarded pursuant to the Plan, and may reflect distinctions based on the reasons of termination of employment. In amplification but not limitation of the foregoing, in the case of an award of Performance Shares to a Named Executive Officer which is intended to qualify for the Performance-Based Exception, the Award Agreement may provide that such Performance Shares may become payable in the event of a termination of employment by reason of death, Disability or Change in Control, such payment not to occur before attainment of the related performance goal.</w:t>
      </w:r>
    </w:p>
    <w:p>
      <w:pPr>
        <w:spacing w:after="0" w:line="189"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9.5 NONTRANSFERABILITY. Except as otherwise provided in a Participant's Award Agreement, Performance Shares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10. PERFORMANCE MEASURES</w:t>
      </w:r>
    </w:p>
    <w:p>
      <w:pPr>
        <w:spacing w:after="0" w:line="4"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The performance measure(s) to be used for purposes of Awards (other than Options) to Named Executive Officers which are designed to qualify for the Performance-Based Exception shall be chosen from among the following alternatives:</w:t>
      </w:r>
    </w:p>
    <w:p>
      <w:pPr>
        <w:spacing w:after="0" w:line="186" w:lineRule="exact"/>
        <w:rPr>
          <w:sz w:val="20"/>
          <w:szCs w:val="20"/>
          <w:color w:val="auto"/>
        </w:rPr>
      </w:pPr>
    </w:p>
    <w:p>
      <w:pPr>
        <w:jc w:val="right"/>
        <w:ind w:left="3660" w:right="6379" w:hanging="2726"/>
        <w:spacing w:after="0" w:line="773" w:lineRule="auto"/>
        <w:tabs>
          <w:tab w:leader="none" w:pos="206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15</w:t>
      </w:r>
    </w:p>
    <w:p>
      <w:pPr>
        <w:sectPr>
          <w:pgSz w:w="11900" w:h="16838" w:orient="portrait"/>
          <w:cols w:equalWidth="0" w:num="1">
            <w:col w:w="10219"/>
          </w:cols>
          <w:pgMar w:left="240" w:top="293"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18</w:t>
      </w:r>
    </w:p>
    <w:p>
      <w:pPr>
        <w:ind w:left="2060" w:hanging="1126"/>
        <w:spacing w:after="0"/>
        <w:tabs>
          <w:tab w:leader="none" w:pos="2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w:t>
      </w:r>
    </w:p>
    <w:p>
      <w:pPr>
        <w:spacing w:after="0" w:line="178" w:lineRule="exact"/>
        <w:rPr>
          <w:rFonts w:ascii="Courier New" w:cs="Courier New" w:eastAsia="Courier New" w:hAnsi="Courier New"/>
          <w:sz w:val="16"/>
          <w:szCs w:val="16"/>
          <w:color w:val="auto"/>
        </w:rPr>
      </w:pPr>
    </w:p>
    <w:p>
      <w:pPr>
        <w:ind w:left="2060" w:hanging="1126"/>
        <w:spacing w:after="0"/>
        <w:tabs>
          <w:tab w:leader="none" w:pos="2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Margin;</w:t>
      </w:r>
    </w:p>
    <w:p>
      <w:pPr>
        <w:spacing w:after="0" w:line="179" w:lineRule="exact"/>
        <w:rPr>
          <w:rFonts w:ascii="Courier New" w:cs="Courier New" w:eastAsia="Courier New" w:hAnsi="Courier New"/>
          <w:sz w:val="16"/>
          <w:szCs w:val="16"/>
          <w:color w:val="auto"/>
        </w:rPr>
      </w:pPr>
    </w:p>
    <w:p>
      <w:pPr>
        <w:ind w:left="2060" w:hanging="1126"/>
        <w:spacing w:after="0"/>
        <w:tabs>
          <w:tab w:leader="none" w:pos="2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Assets;</w:t>
      </w:r>
    </w:p>
    <w:p>
      <w:pPr>
        <w:spacing w:after="0" w:line="179" w:lineRule="exact"/>
        <w:rPr>
          <w:rFonts w:ascii="Courier New" w:cs="Courier New" w:eastAsia="Courier New" w:hAnsi="Courier New"/>
          <w:sz w:val="16"/>
          <w:szCs w:val="16"/>
          <w:color w:val="auto"/>
        </w:rPr>
      </w:pPr>
    </w:p>
    <w:p>
      <w:pPr>
        <w:ind w:left="2060" w:hanging="1126"/>
        <w:spacing w:after="0"/>
        <w:tabs>
          <w:tab w:leader="none" w:pos="2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Equity;</w:t>
      </w:r>
    </w:p>
    <w:p>
      <w:pPr>
        <w:spacing w:after="0" w:line="179" w:lineRule="exact"/>
        <w:rPr>
          <w:rFonts w:ascii="Courier New" w:cs="Courier New" w:eastAsia="Courier New" w:hAnsi="Courier New"/>
          <w:sz w:val="16"/>
          <w:szCs w:val="16"/>
          <w:color w:val="auto"/>
        </w:rPr>
      </w:pPr>
    </w:p>
    <w:p>
      <w:pPr>
        <w:ind w:left="2060" w:hanging="1126"/>
        <w:spacing w:after="0"/>
        <w:tabs>
          <w:tab w:leader="none" w:pos="2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or</w:t>
      </w:r>
    </w:p>
    <w:p>
      <w:pPr>
        <w:spacing w:after="0" w:line="179" w:lineRule="exact"/>
        <w:rPr>
          <w:rFonts w:ascii="Courier New" w:cs="Courier New" w:eastAsia="Courier New" w:hAnsi="Courier New"/>
          <w:sz w:val="16"/>
          <w:szCs w:val="16"/>
          <w:color w:val="auto"/>
        </w:rPr>
      </w:pPr>
    </w:p>
    <w:p>
      <w:pPr>
        <w:ind w:left="2060" w:hanging="1126"/>
        <w:spacing w:after="0"/>
        <w:tabs>
          <w:tab w:leader="none" w:pos="2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Shareholder Return.</w:t>
      </w:r>
    </w:p>
    <w:p>
      <w:pPr>
        <w:spacing w:after="0" w:line="185" w:lineRule="exact"/>
        <w:rPr>
          <w:sz w:val="20"/>
          <w:szCs w:val="20"/>
          <w:color w:val="auto"/>
        </w:rPr>
      </w:pPr>
    </w:p>
    <w:p>
      <w:pPr>
        <w:ind w:right="2819" w:firstLine="938"/>
        <w:spacing w:after="0" w:line="257" w:lineRule="auto"/>
        <w:rPr>
          <w:sz w:val="20"/>
          <w:szCs w:val="20"/>
          <w:color w:val="auto"/>
        </w:rPr>
      </w:pPr>
      <w:r>
        <w:rPr>
          <w:rFonts w:ascii="Courier New" w:cs="Courier New" w:eastAsia="Courier New" w:hAnsi="Courier New"/>
          <w:sz w:val="15"/>
          <w:szCs w:val="15"/>
          <w:color w:val="auto"/>
        </w:rPr>
        <w:t>In the event that applicable tax and/or securities laws change to permit Committee discretion to alter the governing performance measures without obtaining shareholder approval of such changes, the Committee shall have sole discretion to make such changes without obtaining shareholder approval.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11. BENEFICIARY DESIGNATION</w:t>
      </w:r>
    </w:p>
    <w:p>
      <w:pPr>
        <w:spacing w:after="0" w:line="185"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12. DEFERRALS</w:t>
      </w:r>
    </w:p>
    <w:p>
      <w:pPr>
        <w:spacing w:after="0" w:line="185" w:lineRule="exact"/>
        <w:rPr>
          <w:sz w:val="20"/>
          <w:szCs w:val="20"/>
          <w:color w:val="auto"/>
        </w:rPr>
      </w:pPr>
    </w:p>
    <w:p>
      <w:pPr>
        <w:ind w:right="2819" w:firstLine="938"/>
        <w:spacing w:after="0" w:line="256" w:lineRule="auto"/>
        <w:rPr>
          <w:sz w:val="20"/>
          <w:szCs w:val="20"/>
          <w:color w:val="auto"/>
        </w:rPr>
      </w:pPr>
      <w:r>
        <w:rPr>
          <w:rFonts w:ascii="Courier New" w:cs="Courier New" w:eastAsia="Courier New" w:hAnsi="Courier New"/>
          <w:sz w:val="15"/>
          <w:szCs w:val="15"/>
          <w:color w:val="auto"/>
        </w:rPr>
        <w:t>The Committee may permit a Participant to defer such Participant's receipt of the payment of cash or the delivery of Shares that would otherwise be due to such Participant by virtue of the exercise of an Option or SAR, the lapse or waiver of restrictions with respect to Restricted Stock, or the satisfaction of any requirements or goals with respect to Performance Shares. If any such deferral election is required or permitted, the Committee shall, in its sole discretion, establish rules and procedures for such payment deferrals.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13. RIGHTS OF KEY EMPLOYEES</w:t>
      </w:r>
    </w:p>
    <w:p>
      <w:pPr>
        <w:spacing w:after="0" w:line="185" w:lineRule="exact"/>
        <w:rPr>
          <w:sz w:val="20"/>
          <w:szCs w:val="20"/>
          <w:color w:val="auto"/>
        </w:rPr>
      </w:pPr>
    </w:p>
    <w:p>
      <w:pPr>
        <w:ind w:right="2999" w:firstLine="938"/>
        <w:spacing w:after="0" w:line="256" w:lineRule="auto"/>
        <w:rPr>
          <w:sz w:val="20"/>
          <w:szCs w:val="20"/>
          <w:color w:val="auto"/>
        </w:rPr>
      </w:pPr>
      <w:r>
        <w:rPr>
          <w:rFonts w:ascii="Courier New" w:cs="Courier New" w:eastAsia="Courier New" w:hAnsi="Courier New"/>
          <w:sz w:val="15"/>
          <w:szCs w:val="15"/>
          <w:color w:val="auto"/>
        </w:rPr>
        <w:t>13.1 EMPLOYMENT. Nothing in the Plan shall interfere with or limit in any way the right of the Company to terminate any Participant's employment at any time, nor confer upon any Participant any right to continue in the employ of the Company. For purposes of this Plan, a transfer of a Participant's employment between the Company and a Subsidiary, or between Subsidiaries, shall not be deemed to be a termination of employment.</w:t>
      </w:r>
    </w:p>
    <w:p>
      <w:pPr>
        <w:spacing w:after="0" w:line="17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13.2 PARTICIPATION. No Key Employee shall have the right to be selected to receive an Award under this Plan, or, having been so selected, to be selected to receive a future Award.</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3"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19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14. CHANGE IN CONTROL</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14.1 TREATMENT OF OUTSTANDING AWARDS. Upon the occurrence of a Change in Control, unless otherwise specifically prohibited under applicable laws, or by the rules and regulations of any governing governmental agencies or national securities exchanges:</w:t>
      </w:r>
    </w:p>
    <w:p>
      <w:pPr>
        <w:spacing w:after="0" w:line="186" w:lineRule="exact"/>
        <w:rPr>
          <w:sz w:val="20"/>
          <w:szCs w:val="20"/>
          <w:color w:val="auto"/>
        </w:rPr>
      </w:pPr>
    </w:p>
    <w:p>
      <w:pPr>
        <w:ind w:left="2060" w:right="3279" w:hanging="1126"/>
        <w:spacing w:after="0" w:line="237" w:lineRule="auto"/>
        <w:tabs>
          <w:tab w:leader="none" w:pos="2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Options and SARs granted hereunder shall become immediately exercisable, and shall remain exercisable throughout their entire term;</w:t>
      </w:r>
    </w:p>
    <w:p>
      <w:pPr>
        <w:spacing w:after="0" w:line="184" w:lineRule="exact"/>
        <w:rPr>
          <w:rFonts w:ascii="Courier New" w:cs="Courier New" w:eastAsia="Courier New" w:hAnsi="Courier New"/>
          <w:sz w:val="16"/>
          <w:szCs w:val="16"/>
          <w:color w:val="auto"/>
        </w:rPr>
      </w:pPr>
    </w:p>
    <w:p>
      <w:pPr>
        <w:ind w:left="2060" w:right="3379" w:hanging="1126"/>
        <w:spacing w:after="0" w:line="236" w:lineRule="auto"/>
        <w:tabs>
          <w:tab w:leader="none" w:pos="2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restriction periods and restrictions imposed on shares of Restricted Stock shall lapse; and</w:t>
      </w:r>
    </w:p>
    <w:p>
      <w:pPr>
        <w:spacing w:after="0" w:line="184" w:lineRule="exact"/>
        <w:rPr>
          <w:rFonts w:ascii="Courier New" w:cs="Courier New" w:eastAsia="Courier New" w:hAnsi="Courier New"/>
          <w:sz w:val="16"/>
          <w:szCs w:val="16"/>
          <w:color w:val="auto"/>
        </w:rPr>
      </w:pPr>
    </w:p>
    <w:p>
      <w:pPr>
        <w:ind w:left="2060" w:right="2899" w:hanging="1126"/>
        <w:spacing w:after="0" w:line="238" w:lineRule="auto"/>
        <w:tabs>
          <w:tab w:leader="none" w:pos="2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target payout opportunities attainable under all outstanding Awards of Restricted Stock and Performance Shares shall be deemed to have been fully earned for the entire Performance Period(s) as of the effective date of the Change in Control, and the vesting of all Awards shall be accelerated as of the effective date of the Change in Control.</w:t>
      </w:r>
    </w:p>
    <w:p>
      <w:pPr>
        <w:spacing w:after="0" w:line="185"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14.2 LIMITATION ON CHANGE-IN-CONTROL BENEFITS. It is the intention of the Company and the Participants to reduce the amounts payable or distributable to a Participant hereunder if the aggregate Net After Tax Receipts (as defined below) to the Participant would thereby be increased, as a result of the application of the excise tax provisions of Section 4999 of the Code. Accordingly, anything in this Plan to the contrary notwithstanding, in the event that the independent accountants regularly employed by the Company immediately prior to any "change" described below (the "Accounting Firm") shall determine that receipt of all Payments (as defined below) would subject the Participant to tax under Section 4999 of the Code, it shall determine whether some amount of Payments would meet the definition of a "Reduced Amount," (as defined below). If the Accounting Firm determines that there is a Reduced Amount, the aggregate Payments shall be reduced to such Reduced Amount in accordance with the provisions of Section 14.2(b) below.</w:t>
      </w:r>
    </w:p>
    <w:p>
      <w:pPr>
        <w:spacing w:after="0" w:line="184" w:lineRule="exact"/>
        <w:rPr>
          <w:sz w:val="20"/>
          <w:szCs w:val="20"/>
          <w:color w:val="auto"/>
        </w:rPr>
      </w:pPr>
    </w:p>
    <w:p>
      <w:pPr>
        <w:ind w:left="2060" w:hanging="1126"/>
        <w:spacing w:after="0"/>
        <w:tabs>
          <w:tab w:leader="none" w:pos="20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14.2(a):</w:t>
      </w:r>
    </w:p>
    <w:p>
      <w:pPr>
        <w:spacing w:after="0" w:line="184" w:lineRule="exact"/>
        <w:rPr>
          <w:rFonts w:ascii="Courier New" w:cs="Courier New" w:eastAsia="Courier New" w:hAnsi="Courier New"/>
          <w:sz w:val="16"/>
          <w:szCs w:val="16"/>
          <w:color w:val="auto"/>
        </w:rPr>
      </w:pPr>
    </w:p>
    <w:p>
      <w:pPr>
        <w:ind w:left="3000" w:right="2819" w:hanging="940"/>
        <w:spacing w:after="0" w:line="238" w:lineRule="auto"/>
        <w:tabs>
          <w:tab w:leader="none" w:pos="300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"Payment" shall mean any payment or distribution in the nature of compensation to or for the benefit of a Participant who is a "disqualified individual" within the meaning of Section 280G(c) of the Code and which is contingent on a "change" described in Section 280G(b)(2)(A)(i) of the Code with respect to the Company, whether paid or payable pursuant to this Plan or otherwise;</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3"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20</w:t>
      </w:r>
    </w:p>
    <w:p>
      <w:pPr>
        <w:spacing w:after="0" w:line="185" w:lineRule="exact"/>
        <w:rPr>
          <w:sz w:val="20"/>
          <w:szCs w:val="20"/>
          <w:color w:val="auto"/>
        </w:rPr>
      </w:pPr>
    </w:p>
    <w:p>
      <w:pPr>
        <w:jc w:val="both"/>
        <w:ind w:left="2720" w:right="3179" w:hanging="940"/>
        <w:spacing w:after="0" w:line="237" w:lineRule="auto"/>
        <w:tabs>
          <w:tab w:leader="none" w:pos="272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Payment" shall mean a Payment paid or payable pursuant to this Plan (disregarding this Section 14.2);</w:t>
      </w:r>
    </w:p>
    <w:p>
      <w:pPr>
        <w:spacing w:after="0" w:line="184" w:lineRule="exact"/>
        <w:rPr>
          <w:rFonts w:ascii="Courier New" w:cs="Courier New" w:eastAsia="Courier New" w:hAnsi="Courier New"/>
          <w:sz w:val="16"/>
          <w:szCs w:val="16"/>
          <w:color w:val="auto"/>
        </w:rPr>
      </w:pPr>
    </w:p>
    <w:p>
      <w:pPr>
        <w:ind w:left="2720" w:right="2819" w:hanging="940"/>
        <w:spacing w:after="0" w:line="256" w:lineRule="auto"/>
        <w:tabs>
          <w:tab w:leader="none" w:pos="27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After Tax Receipt" shall mean the Present Value of a Payment, net of all taxes imposed on the Participant with respect thereto under Sections 1 and 4999 of the Code, determined by applying the highest marginal rate under Section 1 of the Code which applied to the Participant's Federal taxable income for the immediately preceding taxable year;</w:t>
      </w:r>
    </w:p>
    <w:p>
      <w:pPr>
        <w:spacing w:after="0" w:line="173" w:lineRule="exact"/>
        <w:rPr>
          <w:rFonts w:ascii="Courier New" w:cs="Courier New" w:eastAsia="Courier New" w:hAnsi="Courier New"/>
          <w:sz w:val="15"/>
          <w:szCs w:val="15"/>
          <w:color w:val="auto"/>
        </w:rPr>
      </w:pPr>
    </w:p>
    <w:p>
      <w:pPr>
        <w:jc w:val="both"/>
        <w:ind w:left="2720" w:right="3759" w:hanging="940"/>
        <w:spacing w:after="0" w:line="237" w:lineRule="auto"/>
        <w:tabs>
          <w:tab w:leader="none" w:pos="272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 Value" shall mean such value determined in accordance with Section 280G(d)(4) of the Code; and</w:t>
      </w:r>
    </w:p>
    <w:p>
      <w:pPr>
        <w:spacing w:after="0" w:line="184" w:lineRule="exact"/>
        <w:rPr>
          <w:rFonts w:ascii="Courier New" w:cs="Courier New" w:eastAsia="Courier New" w:hAnsi="Courier New"/>
          <w:sz w:val="16"/>
          <w:szCs w:val="16"/>
          <w:color w:val="auto"/>
        </w:rPr>
      </w:pPr>
    </w:p>
    <w:p>
      <w:pPr>
        <w:ind w:left="2720" w:right="2819" w:hanging="940"/>
        <w:spacing w:after="0" w:line="238" w:lineRule="auto"/>
        <w:tabs>
          <w:tab w:leader="none" w:pos="272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"Reduced Amount" shall mean the smallest aggregate amount of Payments which (A) is less than the sum of all Payments and (B) results in aggregate Net After Tax Receipts which are equal to or greater than the Net After Tax Receipts which would result if all Payments were paid to or for the benefit of the Participant.</w:t>
      </w:r>
    </w:p>
    <w:p>
      <w:pPr>
        <w:spacing w:after="0" w:line="185" w:lineRule="exact"/>
        <w:rPr>
          <w:rFonts w:ascii="Courier New" w:cs="Courier New" w:eastAsia="Courier New" w:hAnsi="Courier New"/>
          <w:sz w:val="16"/>
          <w:szCs w:val="16"/>
          <w:color w:val="auto"/>
        </w:rPr>
      </w:pPr>
    </w:p>
    <w:p>
      <w:pPr>
        <w:ind w:left="1780" w:right="2819" w:hanging="1126"/>
        <w:spacing w:after="0" w:line="255" w:lineRule="auto"/>
        <w:tabs>
          <w:tab w:leader="none" w:pos="17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Accounting Firm determines that aggregate Payments should be reduced to the Reduced Amount, the Committee shall promptly give the Participant notice to that effect and a copy of the detailed calculation thereof, and the Participant may then elect, in the Participant's sole discretion, which and how much of the Payments, including without limitation Plan Payments, shall be eliminated or reduced (as long as after such election the Present Value of the aggregate Payments is equal to the Reduced Amount), and shall advise the Committee in writing of such election within ten (10) days of the Participant's receipt of notice. If no such election is made by the Participant within such ten (10) day period, the Committee may elect which of the Payments, including without limitation Plan Payments, shall be eliminated or reduced (as long as after such election the Present Value of the aggregate Payments is equal to the Reduced Amount) and shall notify the Participant promptly of such election. All determinations made by the Accounting Firm under this Section 14.2 shall be binding upon the Company and the Participant and shall be made within sixty (60) days immediately following the event constituting the "change" referred to above. As promptly as practicable following such determination, the Company shall pay to or distribute for the benefit of the Participant such Payments as are then due to the Participant under this Plan.</w:t>
      </w:r>
    </w:p>
    <w:p>
      <w:pPr>
        <w:spacing w:after="0" w:line="356" w:lineRule="exact"/>
        <w:rPr>
          <w:rFonts w:ascii="Courier New" w:cs="Courier New" w:eastAsia="Courier New" w:hAnsi="Courier New"/>
          <w:sz w:val="15"/>
          <w:szCs w:val="15"/>
          <w:color w:val="auto"/>
        </w:rPr>
      </w:pPr>
    </w:p>
    <w:p>
      <w:pPr>
        <w:ind w:left="1780" w:right="2899" w:hanging="1126"/>
        <w:spacing w:after="0" w:line="237" w:lineRule="auto"/>
        <w:tabs>
          <w:tab w:leader="none" w:pos="17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initial determination by the Accounting Firm hereunder, it is possible that amounts will have been paid or distributed by the Company to or for the benefit of the Participant pursuant to this Plan which should not have</w:t>
      </w:r>
    </w:p>
    <w:p>
      <w:pPr>
        <w:spacing w:after="0" w:line="36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939"/>
          </w:cols>
          <w:pgMar w:left="520" w:top="293"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345" w:lineRule="exact"/>
        <w:rPr>
          <w:sz w:val="20"/>
          <w:szCs w:val="20"/>
          <w:color w:val="auto"/>
        </w:rPr>
      </w:pPr>
    </w:p>
    <w:p>
      <w:pPr>
        <w:ind w:left="2060" w:right="2819"/>
        <w:spacing w:after="0" w:line="255" w:lineRule="auto"/>
        <w:rPr>
          <w:sz w:val="20"/>
          <w:szCs w:val="20"/>
          <w:color w:val="auto"/>
        </w:rPr>
      </w:pPr>
      <w:r>
        <w:rPr>
          <w:rFonts w:ascii="Courier New" w:cs="Courier New" w:eastAsia="Courier New" w:hAnsi="Courier New"/>
          <w:sz w:val="15"/>
          <w:szCs w:val="15"/>
          <w:color w:val="auto"/>
        </w:rPr>
        <w:t>been so paid or distributed ("Overpayment") or that additional amounts which will have not been paid or distributed by the Company to or for the benefit of the Participant pursuant to this Plan could have been so paid or distributed ("Underpayment"), in each case, consistent with the calculation of the Reduced Amount hereunder. In the event that the Accounting Firm, based either upon the assertion of a deficiency by the Internal Revenue Service against the Company or the Participant which the Accounting Firm believes has a high probability of success or controlling precedent or other substantial authority, determines that an Overpayment has been made, any such Overpayment paid or distributed by the Company to or for the benefit of the Participant shall be treated for all purposes as a loan ab initio to the Participant which the Participant shall repay to the Company together with interest at the applicable Federal rate provided for in Section 7872(f)(2) of the Code; provided, however, that no such loan shall be deemed to have been made and no amount shall be payable by the Participant to the Company if and to the extent such deemed loan and payment would not either reduce the amount on which the Participant is subject to tax under Section 1 and Section 4999 of the Code or generate a refund of such taxes.</w:t>
      </w:r>
    </w:p>
    <w:p>
      <w:pPr>
        <w:spacing w:after="0" w:line="176" w:lineRule="exact"/>
        <w:rPr>
          <w:sz w:val="20"/>
          <w:szCs w:val="20"/>
          <w:color w:val="auto"/>
        </w:rPr>
      </w:pPr>
    </w:p>
    <w:p>
      <w:pPr>
        <w:ind w:left="2060" w:right="2819"/>
        <w:spacing w:after="0" w:line="238" w:lineRule="auto"/>
        <w:rPr>
          <w:sz w:val="20"/>
          <w:szCs w:val="20"/>
          <w:color w:val="auto"/>
        </w:rPr>
      </w:pPr>
      <w:r>
        <w:rPr>
          <w:rFonts w:ascii="Courier New" w:cs="Courier New" w:eastAsia="Courier New" w:hAnsi="Courier New"/>
          <w:sz w:val="16"/>
          <w:szCs w:val="16"/>
          <w:color w:val="auto"/>
        </w:rPr>
        <w:t>In the event that the Accounting Firm, based upon controlling precedent or other substantial authority, determines that an Underpayment has occurred, any such Underpayment shall be promptly paid by the Company to or for the benefit of the Participant together with interest at the applicable Federal rate provided for in Section 7872(f)(2) of the Code.</w:t>
      </w:r>
    </w:p>
    <w:p>
      <w:pPr>
        <w:spacing w:after="0" w:line="185"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14.3 TERMINATION, AMENDMENT, AND MODIFICATIONS OF CHANGE-IN-CONTROL PROVISIONS. Notwithstanding any other provision of this Plan or any Award Agreement provision, the provisions of this Article 14 may not be terminated, amended, or modified on or after the date of a Change in Control to affect adversely any Award theretofore granted under the Plan without the prior written consent of the Participant with respect to said Participant's outstanding Awards; provided, however, the Board of Directors, upon recommendation of the Committee, may terminate, amend, or modify this Article 14 at any time and from time to prior to the date of a Change in Control.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15. AMENDMENT, MODIFICATION, AND TERMINATION</w:t>
      </w:r>
    </w:p>
    <w:p>
      <w:pPr>
        <w:spacing w:after="0" w:line="185"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15.1 AMENDMENT, MODIFICATION, AND TERMINATION. The Board may at any time and from time to time, alter, amend, suspend or terminate the Plan in whole or in part. The Committee shall not have the authority to cancel outstanding Awards and issue substitute Awards in replacement thereof.</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3"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22</w:t>
      </w:r>
    </w:p>
    <w:p>
      <w:pPr>
        <w:spacing w:after="0" w:line="365"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15.2 AWARDS PREVIOUSLY GRANTED. No termination, amendment, or modification of the Plan shall adversely affect in any material way any Award previously granted under the Plan, without the written consent of the Participant holding such Award.</w:t>
      </w:r>
    </w:p>
    <w:p>
      <w:pPr>
        <w:spacing w:after="0" w:line="186"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15.3 ACCELERATION OF AWARD VESTING; WAIVER OF RESTRICTIONS. Notwithstanding any provision of this Plan or any Award Agreement provision to the contrary, the Committee, in its sole and exclusive discretion, shall have the power at any time to (i) accelerate the vesting of any Award granted under the Plan, including without limitation, acceleration to such a date that would result in said Awards becoming immediately vested, or (ii) waive any restrictions of any Award granted under the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16. WITHHOLDING</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16.1 TAX WITHHOLDING. The Company shall have the power and the right to deduct or withhold, or require a Participant to remit to the Company, an amount sufficient to satisfy Federal, state, and local taxes (including the Participant's FICA obligation) required by law to be withheld with respect to any taxable event arising as a result of this Plan.</w:t>
      </w:r>
    </w:p>
    <w:p>
      <w:pPr>
        <w:spacing w:after="0" w:line="187"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16.2 SHARE WITHHOLDING. With respect to withholding required upon the exercise of Options or SARs, upon the lapse of restrictions on Restricted Stock, or upon any other taxable event arising as a result of Awards granted hereunder, Participants may elect, subject to the approval of the Committee, to satisfy the withholding requirement, in whole or in part, by having the Company withhold Shares having a Fair Market Value on the date as of which the tax is to be determined equal to the minimum statutory total tax which could be imposed on the transaction. All such elections shall be made in writing, signed by the Participant, and shall be subject to any restrictions or limitations that the Committee, in its sole discretion, deems appropriate.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17. INDEMNIFICATION</w:t>
      </w:r>
    </w:p>
    <w:p>
      <w:pPr>
        <w:spacing w:after="0" w:line="185"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w:t>
      </w:r>
    </w:p>
    <w:p>
      <w:pPr>
        <w:spacing w:after="0" w:line="36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3"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23</w:t>
      </w:r>
    </w:p>
    <w:p>
      <w:pPr>
        <w:spacing w:after="0" w:line="200" w:lineRule="exact"/>
        <w:rPr>
          <w:sz w:val="20"/>
          <w:szCs w:val="20"/>
          <w:color w:val="auto"/>
        </w:rPr>
      </w:pPr>
    </w:p>
    <w:p>
      <w:pPr>
        <w:spacing w:after="0" w:line="34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such persons may be entitled under the Company's Articles of Incorporation or Bylaws, as a matter of law, or otherwise, or any power that the Company may have to indemnify them or hold them harmless.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18. SUCCESSORS</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19. LEGAL CONSTRUCTION</w:t>
      </w:r>
    </w:p>
    <w:p>
      <w:pPr>
        <w:spacing w:after="0" w:line="185" w:lineRule="exact"/>
        <w:rPr>
          <w:sz w:val="20"/>
          <w:szCs w:val="20"/>
          <w:color w:val="auto"/>
        </w:rPr>
      </w:pPr>
    </w:p>
    <w:p>
      <w:pPr>
        <w:ind w:right="3099" w:firstLine="938"/>
        <w:spacing w:after="0" w:line="237" w:lineRule="auto"/>
        <w:rPr>
          <w:sz w:val="20"/>
          <w:szCs w:val="20"/>
          <w:color w:val="auto"/>
        </w:rPr>
      </w:pPr>
      <w:r>
        <w:rPr>
          <w:rFonts w:ascii="Courier New" w:cs="Courier New" w:eastAsia="Courier New" w:hAnsi="Courier New"/>
          <w:sz w:val="16"/>
          <w:szCs w:val="16"/>
          <w:color w:val="auto"/>
        </w:rPr>
        <w:t>19.1 GENDER AND NUMBER. Except where otherwise indicated by the context, any masculine term used herein also shall include the feminine; the plural shall include the singular and the singular shall include the plural.</w:t>
      </w:r>
    </w:p>
    <w:p>
      <w:pPr>
        <w:spacing w:after="0" w:line="186"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19.2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87"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19.3 REQUIREMENTS OF LAW. The granting of Awards and the issuance of Shares under the Plan shall be subject to all applicable laws, rules, and regulations, and to such approvals by any governmental agencies or national securities exchanges as may be required.</w:t>
      </w:r>
    </w:p>
    <w:p>
      <w:pPr>
        <w:spacing w:after="0" w:line="186"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19.4 SECURITIES LAW COMPLIANCE. With respect to Insiders, transactions under this Plan are intended to comply with all applicable conditions or Rule 16b-3 or its successors under the Exchange Act. To the extent any provision of the plan or action by the Committee fails to so comply, it shall be deemed null and void, to the extent permitted by law and deemed advisable by the Committee.</w:t>
      </w:r>
    </w:p>
    <w:p>
      <w:pPr>
        <w:spacing w:after="0" w:line="189"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19.5 GOVERNING LAW. To the extent not preempted by Federal law, the Plan, and all agreements hereunder, shall be construed in accordance with and governed by the laws of the Commonwealth of Virginia.</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3"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5</w:t>
      </w:r>
    </w:p>
    <w:p>
      <w:pPr>
        <w:spacing w:after="0"/>
        <w:rPr>
          <w:sz w:val="20"/>
          <w:szCs w:val="20"/>
          <w:color w:val="auto"/>
        </w:rPr>
      </w:pPr>
      <w:r>
        <w:rPr>
          <w:rFonts w:ascii="Courier New" w:cs="Courier New" w:eastAsia="Courier New" w:hAnsi="Courier New"/>
          <w:sz w:val="16"/>
          <w:szCs w:val="16"/>
          <w:color w:val="auto"/>
        </w:rPr>
        <w:t>1,000</w:t>
      </w:r>
    </w:p>
    <w:p>
      <w:pPr>
        <w:spacing w:after="0" w:line="35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3-MOS</w:t>
      </w:r>
    </w:p>
    <w:p>
      <w:pPr>
        <w:ind w:left="2340"/>
        <w:spacing w:after="0"/>
        <w:rPr>
          <w:sz w:val="20"/>
          <w:szCs w:val="20"/>
          <w:color w:val="auto"/>
        </w:rPr>
      </w:pPr>
      <w:r>
        <w:rPr>
          <w:rFonts w:ascii="Courier New" w:cs="Courier New" w:eastAsia="Courier New" w:hAnsi="Courier New"/>
          <w:sz w:val="16"/>
          <w:szCs w:val="16"/>
          <w:color w:val="auto"/>
        </w:rPr>
        <w:t>NOV-28-1998</w:t>
      </w:r>
    </w:p>
    <w:p>
      <w:pPr>
        <w:ind w:left="2620"/>
        <w:spacing w:after="0" w:line="237" w:lineRule="auto"/>
        <w:rPr>
          <w:sz w:val="20"/>
          <w:szCs w:val="20"/>
          <w:color w:val="auto"/>
        </w:rPr>
      </w:pPr>
      <w:r>
        <w:rPr>
          <w:rFonts w:ascii="Courier New" w:cs="Courier New" w:eastAsia="Courier New" w:hAnsi="Courier New"/>
          <w:sz w:val="16"/>
          <w:szCs w:val="16"/>
          <w:color w:val="auto"/>
        </w:rPr>
        <w:t>DEC-01-1997</w:t>
      </w:r>
    </w:p>
    <w:p>
      <w:pPr>
        <w:ind w:left="2800"/>
        <w:spacing w:after="0"/>
        <w:rPr>
          <w:sz w:val="20"/>
          <w:szCs w:val="20"/>
          <w:color w:val="auto"/>
        </w:rPr>
      </w:pPr>
      <w:r>
        <w:rPr>
          <w:rFonts w:ascii="Courier New" w:cs="Courier New" w:eastAsia="Courier New" w:hAnsi="Courier New"/>
          <w:sz w:val="16"/>
          <w:szCs w:val="16"/>
          <w:color w:val="auto"/>
        </w:rPr>
        <w:t>FEB-28-1998</w:t>
      </w:r>
    </w:p>
    <w:p>
      <w:pPr>
        <w:ind w:left="3840"/>
        <w:spacing w:after="0" w:line="238" w:lineRule="auto"/>
        <w:rPr>
          <w:sz w:val="20"/>
          <w:szCs w:val="20"/>
          <w:color w:val="auto"/>
        </w:rPr>
      </w:pPr>
      <w:r>
        <w:rPr>
          <w:rFonts w:ascii="Courier New" w:cs="Courier New" w:eastAsia="Courier New" w:hAnsi="Courier New"/>
          <w:sz w:val="16"/>
          <w:szCs w:val="16"/>
          <w:color w:val="auto"/>
        </w:rPr>
        <w:t>31,864</w:t>
      </w:r>
    </w:p>
    <w:p>
      <w:pPr>
        <w:ind w:left="3280"/>
        <w:spacing w:after="0"/>
        <w:rPr>
          <w:sz w:val="20"/>
          <w:szCs w:val="20"/>
          <w:color w:val="auto"/>
        </w:rPr>
      </w:pPr>
      <w:r>
        <w:rPr>
          <w:rFonts w:ascii="Courier New" w:cs="Courier New" w:eastAsia="Courier New" w:hAnsi="Courier New"/>
          <w:sz w:val="16"/>
          <w:szCs w:val="16"/>
          <w:color w:val="auto"/>
        </w:rPr>
        <w:t>49,115</w:t>
      </w:r>
    </w:p>
    <w:p>
      <w:pPr>
        <w:ind w:left="3180"/>
        <w:spacing w:after="0" w:line="238" w:lineRule="auto"/>
        <w:rPr>
          <w:sz w:val="20"/>
          <w:szCs w:val="20"/>
          <w:color w:val="auto"/>
        </w:rPr>
      </w:pPr>
      <w:r>
        <w:rPr>
          <w:rFonts w:ascii="Courier New" w:cs="Courier New" w:eastAsia="Courier New" w:hAnsi="Courier New"/>
          <w:sz w:val="16"/>
          <w:szCs w:val="16"/>
          <w:color w:val="auto"/>
        </w:rPr>
        <w:t>55,417</w:t>
      </w:r>
    </w:p>
    <w:p>
      <w:pPr>
        <w:ind w:left="3360"/>
        <w:spacing w:after="0"/>
        <w:rPr>
          <w:sz w:val="20"/>
          <w:szCs w:val="20"/>
          <w:color w:val="auto"/>
        </w:rPr>
      </w:pPr>
      <w:r>
        <w:rPr>
          <w:rFonts w:ascii="Courier New" w:cs="Courier New" w:eastAsia="Courier New" w:hAnsi="Courier New"/>
          <w:sz w:val="16"/>
          <w:szCs w:val="16"/>
          <w:color w:val="auto"/>
        </w:rPr>
        <w:t>1,999</w:t>
      </w:r>
    </w:p>
    <w:p>
      <w:pPr>
        <w:ind w:left="3360"/>
        <w:spacing w:after="0" w:line="237" w:lineRule="auto"/>
        <w:rPr>
          <w:sz w:val="20"/>
          <w:szCs w:val="20"/>
          <w:color w:val="auto"/>
        </w:rPr>
      </w:pPr>
      <w:r>
        <w:rPr>
          <w:rFonts w:ascii="Courier New" w:cs="Courier New" w:eastAsia="Courier New" w:hAnsi="Courier New"/>
          <w:sz w:val="16"/>
          <w:szCs w:val="16"/>
          <w:color w:val="auto"/>
        </w:rPr>
        <w:t>41,137</w:t>
      </w:r>
    </w:p>
    <w:p>
      <w:pPr>
        <w:ind w:left="2800"/>
        <w:spacing w:after="0"/>
        <w:rPr>
          <w:sz w:val="20"/>
          <w:szCs w:val="20"/>
          <w:color w:val="auto"/>
        </w:rPr>
      </w:pPr>
      <w:r>
        <w:rPr>
          <w:rFonts w:ascii="Courier New" w:cs="Courier New" w:eastAsia="Courier New" w:hAnsi="Courier New"/>
          <w:sz w:val="16"/>
          <w:szCs w:val="16"/>
          <w:color w:val="auto"/>
        </w:rPr>
        <w:t>195,733</w:t>
      </w:r>
    </w:p>
    <w:p>
      <w:pPr>
        <w:ind w:left="3740"/>
        <w:spacing w:after="0" w:line="238" w:lineRule="auto"/>
        <w:rPr>
          <w:sz w:val="20"/>
          <w:szCs w:val="20"/>
          <w:color w:val="auto"/>
        </w:rPr>
      </w:pPr>
      <w:r>
        <w:rPr>
          <w:rFonts w:ascii="Courier New" w:cs="Courier New" w:eastAsia="Courier New" w:hAnsi="Courier New"/>
          <w:sz w:val="16"/>
          <w:szCs w:val="16"/>
          <w:color w:val="auto"/>
        </w:rPr>
        <w:t>169,539</w:t>
      </w:r>
    </w:p>
    <w:p>
      <w:pPr>
        <w:ind w:left="3000"/>
        <w:spacing w:after="0"/>
        <w:rPr>
          <w:sz w:val="20"/>
          <w:szCs w:val="20"/>
          <w:color w:val="auto"/>
        </w:rPr>
      </w:pPr>
      <w:r>
        <w:rPr>
          <w:rFonts w:ascii="Courier New" w:cs="Courier New" w:eastAsia="Courier New" w:hAnsi="Courier New"/>
          <w:sz w:val="16"/>
          <w:szCs w:val="16"/>
          <w:color w:val="auto"/>
        </w:rPr>
        <w:t>126,308</w:t>
      </w:r>
    </w:p>
    <w:p>
      <w:pPr>
        <w:ind w:left="3000"/>
        <w:spacing w:after="0" w:line="238" w:lineRule="auto"/>
        <w:rPr>
          <w:sz w:val="20"/>
          <w:szCs w:val="20"/>
          <w:color w:val="auto"/>
        </w:rPr>
      </w:pPr>
      <w:r>
        <w:rPr>
          <w:rFonts w:ascii="Courier New" w:cs="Courier New" w:eastAsia="Courier New" w:hAnsi="Courier New"/>
          <w:sz w:val="16"/>
          <w:szCs w:val="16"/>
          <w:color w:val="auto"/>
        </w:rPr>
        <w:t>317,187</w:t>
      </w:r>
    </w:p>
    <w:p>
      <w:pPr>
        <w:ind w:left="2420"/>
        <w:spacing w:after="0"/>
        <w:rPr>
          <w:sz w:val="20"/>
          <w:szCs w:val="20"/>
          <w:color w:val="auto"/>
        </w:rPr>
      </w:pPr>
      <w:r>
        <w:rPr>
          <w:rFonts w:ascii="Courier New" w:cs="Courier New" w:eastAsia="Courier New" w:hAnsi="Courier New"/>
          <w:sz w:val="16"/>
          <w:szCs w:val="16"/>
          <w:color w:val="auto"/>
        </w:rPr>
        <w:t>42,962</w:t>
      </w:r>
    </w:p>
    <w:p>
      <w:pPr>
        <w:ind w:left="4220"/>
        <w:spacing w:after="0" w:line="237" w:lineRule="auto"/>
        <w:rPr>
          <w:sz w:val="20"/>
          <w:szCs w:val="20"/>
          <w:color w:val="auto"/>
        </w:rPr>
      </w:pPr>
      <w:r>
        <w:rPr>
          <w:rFonts w:ascii="Courier New" w:cs="Courier New" w:eastAsia="Courier New" w:hAnsi="Courier New"/>
          <w:sz w:val="16"/>
          <w:szCs w:val="16"/>
          <w:color w:val="auto"/>
        </w:rPr>
        <w:t>0</w:t>
      </w:r>
    </w:p>
    <w:p>
      <w:pPr>
        <w:ind w:left="2900"/>
        <w:spacing w:after="0"/>
        <w:rPr>
          <w:sz w:val="20"/>
          <w:szCs w:val="20"/>
          <w:color w:val="auto"/>
        </w:rPr>
      </w:pPr>
      <w:r>
        <w:rPr>
          <w:rFonts w:ascii="Courier New" w:cs="Courier New" w:eastAsia="Courier New" w:hAnsi="Courier New"/>
          <w:sz w:val="16"/>
          <w:szCs w:val="16"/>
          <w:color w:val="auto"/>
        </w:rPr>
        <w:t>0</w:t>
      </w:r>
    </w:p>
    <w:p>
      <w:pPr>
        <w:ind w:left="3840"/>
        <w:spacing w:after="0" w:line="238" w:lineRule="auto"/>
        <w:rPr>
          <w:sz w:val="20"/>
          <w:szCs w:val="20"/>
          <w:color w:val="auto"/>
        </w:rPr>
      </w:pPr>
      <w:r>
        <w:rPr>
          <w:rFonts w:ascii="Courier New" w:cs="Courier New" w:eastAsia="Courier New" w:hAnsi="Courier New"/>
          <w:sz w:val="16"/>
          <w:szCs w:val="16"/>
          <w:color w:val="auto"/>
        </w:rPr>
        <w:t>0</w:t>
      </w:r>
    </w:p>
    <w:p>
      <w:pPr>
        <w:ind w:left="3640"/>
        <w:spacing w:after="0"/>
        <w:rPr>
          <w:sz w:val="20"/>
          <w:szCs w:val="20"/>
          <w:color w:val="auto"/>
        </w:rPr>
      </w:pPr>
      <w:r>
        <w:rPr>
          <w:rFonts w:ascii="Courier New" w:cs="Courier New" w:eastAsia="Courier New" w:hAnsi="Courier New"/>
          <w:sz w:val="16"/>
          <w:szCs w:val="16"/>
          <w:color w:val="auto"/>
        </w:rPr>
        <w:t>65,276</w:t>
      </w:r>
    </w:p>
    <w:p>
      <w:pPr>
        <w:ind w:left="3360"/>
        <w:spacing w:after="0" w:line="238" w:lineRule="auto"/>
        <w:rPr>
          <w:sz w:val="20"/>
          <w:szCs w:val="20"/>
          <w:color w:val="auto"/>
        </w:rPr>
      </w:pPr>
      <w:r>
        <w:rPr>
          <w:rFonts w:ascii="Courier New" w:cs="Courier New" w:eastAsia="Courier New" w:hAnsi="Courier New"/>
          <w:sz w:val="16"/>
          <w:szCs w:val="16"/>
          <w:color w:val="auto"/>
        </w:rPr>
        <w:t>197,523</w:t>
      </w:r>
    </w:p>
    <w:p>
      <w:pPr>
        <w:ind w:left="1680"/>
        <w:spacing w:after="0"/>
        <w:rPr>
          <w:sz w:val="20"/>
          <w:szCs w:val="20"/>
          <w:color w:val="auto"/>
        </w:rPr>
      </w:pPr>
      <w:r>
        <w:rPr>
          <w:rFonts w:ascii="Courier New" w:cs="Courier New" w:eastAsia="Courier New" w:hAnsi="Courier New"/>
          <w:sz w:val="16"/>
          <w:szCs w:val="16"/>
          <w:color w:val="auto"/>
        </w:rPr>
        <w:t>317,187</w:t>
      </w:r>
    </w:p>
    <w:p>
      <w:pPr>
        <w:ind w:left="3740"/>
        <w:spacing w:after="0" w:line="237" w:lineRule="auto"/>
        <w:rPr>
          <w:sz w:val="20"/>
          <w:szCs w:val="20"/>
          <w:color w:val="auto"/>
        </w:rPr>
      </w:pPr>
      <w:r>
        <w:rPr>
          <w:rFonts w:ascii="Courier New" w:cs="Courier New" w:eastAsia="Courier New" w:hAnsi="Courier New"/>
          <w:sz w:val="16"/>
          <w:szCs w:val="16"/>
          <w:color w:val="auto"/>
        </w:rPr>
        <w:t>98,333</w:t>
      </w:r>
    </w:p>
    <w:p>
      <w:pPr>
        <w:ind w:left="2900"/>
        <w:spacing w:after="0"/>
        <w:rPr>
          <w:sz w:val="20"/>
          <w:szCs w:val="20"/>
          <w:color w:val="auto"/>
        </w:rPr>
      </w:pPr>
      <w:r>
        <w:rPr>
          <w:rFonts w:ascii="Courier New" w:cs="Courier New" w:eastAsia="Courier New" w:hAnsi="Courier New"/>
          <w:sz w:val="16"/>
          <w:szCs w:val="16"/>
          <w:color w:val="auto"/>
        </w:rPr>
        <w:t>98,333</w:t>
      </w:r>
    </w:p>
    <w:p>
      <w:pPr>
        <w:jc w:val="right"/>
        <w:ind w:right="5619"/>
        <w:spacing w:after="0" w:line="238" w:lineRule="auto"/>
        <w:rPr>
          <w:sz w:val="20"/>
          <w:szCs w:val="20"/>
          <w:color w:val="auto"/>
        </w:rPr>
      </w:pPr>
      <w:r>
        <w:rPr>
          <w:rFonts w:ascii="Courier New" w:cs="Courier New" w:eastAsia="Courier New" w:hAnsi="Courier New"/>
          <w:sz w:val="16"/>
          <w:szCs w:val="16"/>
          <w:color w:val="auto"/>
        </w:rPr>
        <w:t>80,751</w:t>
      </w:r>
    </w:p>
    <w:p>
      <w:pPr>
        <w:ind w:left="3180"/>
        <w:spacing w:after="0"/>
        <w:rPr>
          <w:sz w:val="20"/>
          <w:szCs w:val="20"/>
          <w:color w:val="auto"/>
        </w:rPr>
      </w:pPr>
      <w:r>
        <w:rPr>
          <w:rFonts w:ascii="Courier New" w:cs="Courier New" w:eastAsia="Courier New" w:hAnsi="Courier New"/>
          <w:sz w:val="16"/>
          <w:szCs w:val="16"/>
          <w:color w:val="auto"/>
        </w:rPr>
        <w:t>96,530</w:t>
      </w:r>
    </w:p>
    <w:p>
      <w:pPr>
        <w:ind w:left="3360"/>
        <w:spacing w:after="0" w:line="238" w:lineRule="auto"/>
        <w:rPr>
          <w:sz w:val="20"/>
          <w:szCs w:val="20"/>
          <w:color w:val="auto"/>
        </w:rPr>
      </w:pPr>
      <w:r>
        <w:rPr>
          <w:rFonts w:ascii="Courier New" w:cs="Courier New" w:eastAsia="Courier New" w:hAnsi="Courier New"/>
          <w:sz w:val="16"/>
          <w:szCs w:val="16"/>
          <w:color w:val="auto"/>
        </w:rPr>
        <w:t>0</w:t>
      </w:r>
    </w:p>
    <w:p>
      <w:pPr>
        <w:ind w:left="3280"/>
        <w:spacing w:after="0"/>
        <w:rPr>
          <w:sz w:val="20"/>
          <w:szCs w:val="20"/>
          <w:color w:val="auto"/>
        </w:rPr>
      </w:pPr>
      <w:r>
        <w:rPr>
          <w:rFonts w:ascii="Courier New" w:cs="Courier New" w:eastAsia="Courier New" w:hAnsi="Courier New"/>
          <w:sz w:val="16"/>
          <w:szCs w:val="16"/>
          <w:color w:val="auto"/>
        </w:rPr>
        <w:t>61</w:t>
      </w:r>
    </w:p>
    <w:p>
      <w:pPr>
        <w:ind w:left="3180"/>
        <w:spacing w:after="0" w:line="237" w:lineRule="auto"/>
        <w:rPr>
          <w:sz w:val="20"/>
          <w:szCs w:val="20"/>
          <w:color w:val="auto"/>
        </w:rPr>
      </w:pPr>
      <w:r>
        <w:rPr>
          <w:rFonts w:ascii="Courier New" w:cs="Courier New" w:eastAsia="Courier New" w:hAnsi="Courier New"/>
          <w:sz w:val="16"/>
          <w:szCs w:val="16"/>
          <w:color w:val="auto"/>
        </w:rPr>
        <w:t>0</w:t>
      </w:r>
    </w:p>
    <w:p>
      <w:pPr>
        <w:ind w:left="3080"/>
        <w:spacing w:after="0"/>
        <w:rPr>
          <w:sz w:val="20"/>
          <w:szCs w:val="20"/>
          <w:color w:val="auto"/>
        </w:rPr>
      </w:pPr>
      <w:r>
        <w:rPr>
          <w:rFonts w:ascii="Courier New" w:cs="Courier New" w:eastAsia="Courier New" w:hAnsi="Courier New"/>
          <w:sz w:val="16"/>
          <w:szCs w:val="16"/>
          <w:color w:val="auto"/>
        </w:rPr>
        <w:t>4,550</w:t>
      </w:r>
    </w:p>
    <w:p>
      <w:pPr>
        <w:ind w:left="3360"/>
        <w:spacing w:after="0" w:line="238" w:lineRule="auto"/>
        <w:rPr>
          <w:sz w:val="20"/>
          <w:szCs w:val="20"/>
          <w:color w:val="auto"/>
        </w:rPr>
      </w:pPr>
      <w:r>
        <w:rPr>
          <w:rFonts w:ascii="Courier New" w:cs="Courier New" w:eastAsia="Courier New" w:hAnsi="Courier New"/>
          <w:sz w:val="16"/>
          <w:szCs w:val="16"/>
          <w:color w:val="auto"/>
        </w:rPr>
        <w:t>1,115</w:t>
      </w:r>
    </w:p>
    <w:p>
      <w:pPr>
        <w:ind w:left="2720"/>
        <w:spacing w:after="0"/>
        <w:rPr>
          <w:sz w:val="20"/>
          <w:szCs w:val="20"/>
          <w:color w:val="auto"/>
        </w:rPr>
      </w:pPr>
      <w:r>
        <w:rPr>
          <w:rFonts w:ascii="Courier New" w:cs="Courier New" w:eastAsia="Courier New" w:hAnsi="Courier New"/>
          <w:sz w:val="16"/>
          <w:szCs w:val="16"/>
          <w:color w:val="auto"/>
        </w:rPr>
        <w:t>3,435</w:t>
      </w:r>
    </w:p>
    <w:p>
      <w:pPr>
        <w:ind w:left="3560"/>
        <w:spacing w:after="0" w:line="238" w:lineRule="auto"/>
        <w:rPr>
          <w:sz w:val="20"/>
          <w:szCs w:val="20"/>
          <w:color w:val="auto"/>
        </w:rPr>
      </w:pPr>
      <w:r>
        <w:rPr>
          <w:rFonts w:ascii="Courier New" w:cs="Courier New" w:eastAsia="Courier New" w:hAnsi="Courier New"/>
          <w:sz w:val="16"/>
          <w:szCs w:val="16"/>
          <w:color w:val="auto"/>
        </w:rPr>
        <w:t>0</w:t>
      </w:r>
    </w:p>
    <w:p>
      <w:pPr>
        <w:ind w:left="3460"/>
        <w:spacing w:after="0"/>
        <w:rPr>
          <w:sz w:val="20"/>
          <w:szCs w:val="20"/>
          <w:color w:val="auto"/>
        </w:rPr>
      </w:pPr>
      <w:r>
        <w:rPr>
          <w:rFonts w:ascii="Courier New" w:cs="Courier New" w:eastAsia="Courier New" w:hAnsi="Courier New"/>
          <w:sz w:val="16"/>
          <w:szCs w:val="16"/>
          <w:color w:val="auto"/>
        </w:rPr>
        <w:t>0</w:t>
      </w:r>
    </w:p>
    <w:p>
      <w:pPr>
        <w:ind w:left="4020"/>
        <w:spacing w:after="0" w:line="237" w:lineRule="auto"/>
        <w:rPr>
          <w:sz w:val="20"/>
          <w:szCs w:val="20"/>
          <w:color w:val="auto"/>
        </w:rPr>
      </w:pPr>
      <w:r>
        <w:rPr>
          <w:rFonts w:ascii="Courier New" w:cs="Courier New" w:eastAsia="Courier New" w:hAnsi="Courier New"/>
          <w:sz w:val="16"/>
          <w:szCs w:val="16"/>
          <w:color w:val="auto"/>
        </w:rPr>
        <w:t>0</w:t>
      </w:r>
    </w:p>
    <w:p>
      <w:pPr>
        <w:jc w:val="center"/>
        <w:ind w:right="2899"/>
        <w:spacing w:after="0"/>
        <w:rPr>
          <w:sz w:val="20"/>
          <w:szCs w:val="20"/>
          <w:color w:val="auto"/>
        </w:rPr>
      </w:pPr>
      <w:r>
        <w:rPr>
          <w:rFonts w:ascii="Courier New" w:cs="Courier New" w:eastAsia="Courier New" w:hAnsi="Courier New"/>
          <w:sz w:val="16"/>
          <w:szCs w:val="16"/>
          <w:color w:val="auto"/>
        </w:rPr>
        <w:t>3,435</w:t>
      </w:r>
    </w:p>
    <w:p>
      <w:pPr>
        <w:jc w:val="center"/>
        <w:ind w:right="2899"/>
        <w:spacing w:after="0" w:line="238" w:lineRule="auto"/>
        <w:rPr>
          <w:sz w:val="20"/>
          <w:szCs w:val="20"/>
          <w:color w:val="auto"/>
        </w:rPr>
      </w:pPr>
      <w:r>
        <w:rPr>
          <w:rFonts w:ascii="Courier New" w:cs="Courier New" w:eastAsia="Courier New" w:hAnsi="Courier New"/>
          <w:sz w:val="16"/>
          <w:szCs w:val="16"/>
          <w:color w:val="auto"/>
        </w:rPr>
        <w:t>.26</w:t>
      </w:r>
    </w:p>
    <w:p>
      <w:pPr>
        <w:jc w:val="center"/>
        <w:ind w:right="2899"/>
        <w:spacing w:after="0"/>
        <w:rPr>
          <w:sz w:val="20"/>
          <w:szCs w:val="20"/>
          <w:color w:val="auto"/>
        </w:rPr>
      </w:pPr>
      <w:r>
        <w:rPr>
          <w:rFonts w:ascii="Courier New" w:cs="Courier New" w:eastAsia="Courier New" w:hAnsi="Courier New"/>
          <w:sz w:val="16"/>
          <w:szCs w:val="16"/>
          <w:color w:val="auto"/>
        </w:rPr>
        <w:t>.26</w:t>
      </w:r>
    </w:p>
    <w:sectPr>
      <w:pgSz w:w="11900" w:h="16838" w:orient="portrait"/>
      <w:cols w:equalWidth="0" w:num="1">
        <w:col w:w="10119"/>
      </w:cols>
      <w:pgMar w:left="340" w:top="4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lowerLetter"/>
      <w:start w:val="1"/>
    </w:lvl>
    <w:lvl w:ilvl="1">
      <w:lvlJc w:val="left"/>
      <w:lvlText w:val="(%2)"/>
      <w:numFmt w:val="decimal"/>
      <w:start w:val="10"/>
    </w:lvl>
  </w:abstractNum>
  <w:abstractNum w:abstractNumId="4">
    <w:nsid w:val="66EF438D"/>
    <w:multiLevelType w:val="hybridMultilevel"/>
    <w:lvl w:ilvl="0">
      <w:lvlJc w:val="left"/>
      <w:lvlText w:val="%1"/>
      <w:numFmt w:val="lowerLetter"/>
      <w:start w:val="1"/>
    </w:lvl>
    <w:lvl w:ilvl="1">
      <w:lvlJc w:val="left"/>
      <w:lvlText w:val="(%2)"/>
      <w:numFmt w:val="decimal"/>
      <w:start w:val="27"/>
    </w:lvl>
  </w:abstractNum>
  <w:abstractNum w:abstractNumId="5">
    <w:nsid w:val="140E0F76"/>
    <w:multiLevelType w:val="hybridMultilevel"/>
    <w:lvl w:ilvl="0">
      <w:lvlJc w:val="left"/>
      <w:lvlText w:val="%1."/>
      <w:numFmt w:val="lowerLetter"/>
      <w:start w:val="2"/>
    </w:lvl>
    <w:lvl w:ilvl="1">
      <w:lvlJc w:val="left"/>
      <w:lvlText w:val="%2"/>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lowerRoman"/>
      <w:start w:val="4"/>
    </w:lvl>
  </w:abstractNum>
  <w:abstractNum w:abstractNumId="9">
    <w:nsid w:val="7FDCC233"/>
    <w:multiLevelType w:val="hybridMultilevel"/>
    <w:lvl w:ilvl="0">
      <w:lvlJc w:val="left"/>
      <w:lvlText w:val="(%1)"/>
      <w:numFmt w:val="lowerRoman"/>
      <w:start w:val="1"/>
    </w:lvl>
  </w:abstractNum>
  <w:abstractNum w:abstractNumId="10">
    <w:nsid w:val="1BEFD79F"/>
    <w:multiLevelType w:val="hybridMultilevel"/>
    <w:lvl w:ilvl="0">
      <w:lvlJc w:val="left"/>
      <w:lvlText w:val="(%1)"/>
      <w:numFmt w:val="lowerRoman"/>
      <w:start w:val="1"/>
    </w:lvl>
    <w:lvl w:ilvl="1">
      <w:lvlJc w:val="left"/>
      <w:lvlText w:val="(%2)"/>
      <w:numFmt w:val="decimal"/>
      <w:start w:val="3"/>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lvl w:ilvl="1">
      <w:lvlJc w:val="left"/>
      <w:lvlText w:val="(%2)"/>
      <w:numFmt w:val="lowerRoman"/>
      <w:start w:val="1"/>
    </w:lvl>
  </w:abstractNum>
  <w:abstractNum w:abstractNumId="17">
    <w:nsid w:val="3F2DBA31"/>
    <w:multiLevelType w:val="hybridMultilevel"/>
    <w:lvl w:ilvl="0">
      <w:lvlJc w:val="left"/>
      <w:lvlText w:val="%1"/>
      <w:numFmt w:val="lowerLetter"/>
      <w:start w:val="1"/>
    </w:lvl>
    <w:lvl w:ilvl="1">
      <w:lvlJc w:val="left"/>
      <w:lvlText w:val="(%2)"/>
      <w:numFmt w:val="lowerRoman"/>
      <w:start w:val="2"/>
    </w:lvl>
  </w:abstractNum>
  <w:abstractNum w:abstractNumId="18">
    <w:nsid w:val="7C83E45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2019-12-20T04:54:19Z</dcterms:created>
  <dcterms:modified xsi:type="dcterms:W3CDTF">2019-12-20T04:54:19Z</dcterms:modified>
</cp:coreProperties>
</file>