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75" w:lineRule="exact"/>
        <w:rPr>
          <w:sz w:val="24"/>
          <w:szCs w:val="24"/>
          <w:color w:val="auto"/>
        </w:rPr>
      </w:pPr>
    </w:p>
    <w:p>
      <w:pPr>
        <w:ind w:left="1920" w:right="4319" w:hanging="872"/>
        <w:spacing w:after="0" w:line="235" w:lineRule="auto"/>
        <w:tabs>
          <w:tab w:leader="none" w:pos="139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QUARTERLY PERIOD ENDED AUGUST 31, 1996</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344" w:lineRule="exact"/>
        <w:rPr>
          <w:sz w:val="24"/>
          <w:szCs w:val="24"/>
          <w:color w:val="auto"/>
        </w:rPr>
      </w:pPr>
    </w:p>
    <w:p>
      <w:pPr>
        <w:ind w:left="1920" w:right="4059" w:hanging="872"/>
        <w:spacing w:after="0" w:line="235" w:lineRule="auto"/>
        <w:tabs>
          <w:tab w:leader="none" w:pos="130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19"/>
          </w:cols>
          <w:pgMar w:left="240" w:top="226" w:right="1440" w:bottom="1440" w:gutter="0" w:footer="0" w:header="0"/>
        </w:sectPr>
      </w:pP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sectPr>
          <w:pgSz w:w="11900" w:h="16838" w:orient="portrait"/>
          <w:cols w:equalWidth="0" w:num="2">
            <w:col w:w="3860" w:space="720"/>
            <w:col w:w="5639"/>
          </w:cols>
          <w:pgMar w:left="240" w:top="226"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480" w:space="360"/>
            <w:col w:w="5379"/>
          </w:cols>
          <w:pgMar w:left="240" w:top="22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No. 0-209</w:t>
      </w:r>
    </w:p>
    <w:p>
      <w:pPr>
        <w:sectPr>
          <w:pgSz w:w="11900" w:h="16838" w:orient="portrait"/>
          <w:cols w:equalWidth="0" w:num="1">
            <w:col w:w="10219"/>
          </w:cols>
          <w:pgMar w:left="240" w:top="226" w:right="1440" w:bottom="1440" w:gutter="0" w:footer="0" w:header="0"/>
          <w:type w:val="continuous"/>
        </w:sectPr>
      </w:pPr>
    </w:p>
    <w:p>
      <w:pPr>
        <w:spacing w:after="0" w:line="34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26" w:right="1440" w:bottom="1440" w:gutter="0" w:footer="0" w:header="0"/>
          <w:type w:val="continuous"/>
        </w:sectPr>
      </w:pPr>
    </w:p>
    <w:p>
      <w:pPr>
        <w:spacing w:after="0" w:line="17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Virginia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(State or other jurisdiction</w:t>
      </w:r>
    </w:p>
    <w:p>
      <w:pPr>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54-0135270</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(I.R.S. Employer</w:t>
      </w: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480" w:space="720"/>
            <w:col w:w="5019"/>
          </w:cols>
          <w:pgMar w:left="240" w:top="226" w:right="1440" w:bottom="1440" w:gutter="0" w:footer="0" w:header="0"/>
          <w:type w:val="continuous"/>
        </w:sectPr>
      </w:pPr>
    </w:p>
    <w:p>
      <w:pPr>
        <w:spacing w:after="0" w:line="138" w:lineRule="exact"/>
        <w:rPr>
          <w:sz w:val="24"/>
          <w:szCs w:val="24"/>
          <w:color w:val="auto"/>
        </w:rPr>
      </w:pPr>
    </w:p>
    <w:p>
      <w:pPr>
        <w:ind w:left="2460"/>
        <w:spacing w:after="0"/>
        <w:tabs>
          <w:tab w:leader="none" w:pos="420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ind w:left="2200"/>
        <w:spacing w:after="0"/>
        <w:rPr>
          <w:sz w:val="20"/>
          <w:szCs w:val="20"/>
          <w:color w:val="auto"/>
        </w:rPr>
      </w:pPr>
      <w:r>
        <w:rPr>
          <w:rFonts w:ascii="Courier New" w:cs="Courier New" w:eastAsia="Courier New" w:hAnsi="Courier New"/>
          <w:sz w:val="15"/>
          <w:szCs w:val="15"/>
          <w:color w:val="auto"/>
        </w:rPr>
        <w:t>--------------------------------</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ind w:left="3080"/>
        <w:spacing w:after="0" w:line="238" w:lineRule="auto"/>
        <w:rPr>
          <w:sz w:val="20"/>
          <w:szCs w:val="20"/>
          <w:color w:val="auto"/>
        </w:rPr>
      </w:pPr>
      <w:r>
        <w:rPr>
          <w:rFonts w:ascii="Courier New" w:cs="Courier New" w:eastAsia="Courier New" w:hAnsi="Courier New"/>
          <w:sz w:val="15"/>
          <w:szCs w:val="15"/>
          <w:color w:val="auto"/>
        </w:rPr>
        <w:t>(Zip Code)</w:t>
      </w:r>
    </w:p>
    <w:p>
      <w:pPr>
        <w:spacing w:after="0" w:line="33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(540) 629-6000</w:t>
      </w:r>
    </w:p>
    <w:p>
      <w:pPr>
        <w:spacing w:after="0" w:line="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226" w:right="1440" w:bottom="1440" w:gutter="0" w:footer="0" w:header="0"/>
          <w:type w:val="continuous"/>
        </w:sectPr>
      </w:pPr>
    </w:p>
    <w:p>
      <w:pPr>
        <w:spacing w:after="0" w:line="175"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Indicate by check mark whether the Registrant (1) has filed all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reports required to be filed by Section 13 or 15(d) of the Securities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Act of 1934 during the preceding 12 months, and (2) has been subject to such</w:t>
      </w:r>
    </w:p>
    <w:p>
      <w:pPr>
        <w:spacing w:after="0"/>
        <w:tabs>
          <w:tab w:leader="none" w:pos="3760" w:val="left"/>
          <w:tab w:leader="none" w:pos="4460" w:val="left"/>
          <w:tab w:leader="none" w:pos="5260" w:val="left"/>
        </w:tabs>
        <w:rPr>
          <w:sz w:val="20"/>
          <w:szCs w:val="20"/>
          <w:color w:val="auto"/>
        </w:rPr>
      </w:pPr>
      <w:r>
        <w:rPr>
          <w:rFonts w:ascii="Courier New" w:cs="Courier New" w:eastAsia="Courier New" w:hAnsi="Courier New"/>
          <w:sz w:val="15"/>
          <w:szCs w:val="15"/>
          <w:color w:val="auto"/>
        </w:rPr>
        <w:t>filing requirements for the past 90 days.</w:t>
        <w:tab/>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ind w:left="4140"/>
        <w:spacing w:after="0"/>
        <w:tabs>
          <w:tab w:leader="none" w:pos="5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26" w:right="1440" w:bottom="1440" w:gutter="0" w:footer="0" w:header="0"/>
          <w:type w:val="continuous"/>
        </w:sectPr>
      </w:pPr>
    </w:p>
    <w:p>
      <w:pPr>
        <w:spacing w:after="0" w:line="174" w:lineRule="exact"/>
        <w:rPr>
          <w:sz w:val="24"/>
          <w:szCs w:val="24"/>
          <w:color w:val="auto"/>
        </w:rPr>
      </w:pPr>
    </w:p>
    <w:p>
      <w:pPr>
        <w:ind w:firstLine="793"/>
        <w:spacing w:after="0" w:line="265" w:lineRule="auto"/>
        <w:rPr>
          <w:sz w:val="20"/>
          <w:szCs w:val="20"/>
          <w:color w:val="auto"/>
        </w:rPr>
      </w:pPr>
      <w:r>
        <w:rPr>
          <w:rFonts w:ascii="Courier New" w:cs="Courier New" w:eastAsia="Courier New" w:hAnsi="Courier New"/>
          <w:sz w:val="14"/>
          <w:szCs w:val="14"/>
          <w:color w:val="auto"/>
        </w:rPr>
        <w:t>At August 31, 1996, 13,142,895 Registrant were outstanding.</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shares of common stock of the</w:t>
      </w:r>
    </w:p>
    <w:p>
      <w:pPr>
        <w:spacing w:after="0" w:line="391" w:lineRule="exact"/>
        <w:rPr>
          <w:sz w:val="24"/>
          <w:szCs w:val="24"/>
          <w:color w:val="auto"/>
        </w:rPr>
      </w:pPr>
    </w:p>
    <w:p>
      <w:pPr>
        <w:sectPr>
          <w:pgSz w:w="11900" w:h="16838" w:orient="portrait"/>
          <w:cols w:equalWidth="0" w:num="2">
            <w:col w:w="3420" w:space="180"/>
            <w:col w:w="6619"/>
          </w:cols>
          <w:pgMar w:left="240" w:top="226"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980"/>
        <w:spacing w:after="0"/>
        <w:rPr>
          <w:sz w:val="20"/>
          <w:szCs w:val="20"/>
          <w:color w:val="auto"/>
        </w:rPr>
      </w:pPr>
      <w:r>
        <w:rPr>
          <w:rFonts w:ascii="Courier New" w:cs="Courier New" w:eastAsia="Courier New" w:hAnsi="Courier New"/>
          <w:sz w:val="14"/>
          <w:szCs w:val="14"/>
          <w:color w:val="auto"/>
        </w:rPr>
        <w:t>Page 1 of 8</w:t>
      </w:r>
    </w:p>
    <w:p>
      <w:pPr>
        <w:sectPr>
          <w:pgSz w:w="11900" w:h="16838" w:orient="portrait"/>
          <w:cols w:equalWidth="0" w:num="1">
            <w:col w:w="10219"/>
          </w:cols>
          <w:pgMar w:left="24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jc w:val="center"/>
        <w:ind w:right="4140"/>
        <w:spacing w:after="0"/>
        <w:rPr>
          <w:sz w:val="20"/>
          <w:szCs w:val="20"/>
          <w:color w:val="auto"/>
        </w:rPr>
      </w:pPr>
      <w:r>
        <w:rPr>
          <w:rFonts w:ascii="Courier New" w:cs="Courier New" w:eastAsia="Courier New" w:hAnsi="Courier New"/>
          <w:sz w:val="15"/>
          <w:szCs w:val="15"/>
          <w:color w:val="auto"/>
        </w:rPr>
        <w:t>PART I - FINANCIAL INFORMATION</w:t>
      </w:r>
    </w:p>
    <w:p>
      <w:pPr>
        <w:jc w:val="center"/>
        <w:ind w:right="4220"/>
        <w:spacing w:after="0"/>
        <w:rPr>
          <w:sz w:val="20"/>
          <w:szCs w:val="20"/>
          <w:color w:val="auto"/>
        </w:rPr>
      </w:pPr>
      <w:r>
        <w:rPr>
          <w:rFonts w:ascii="Courier New" w:cs="Courier New" w:eastAsia="Courier New" w:hAnsi="Courier New"/>
          <w:sz w:val="15"/>
          <w:szCs w:val="15"/>
          <w:color w:val="auto"/>
        </w:rPr>
        <w:t>BASSETT FURNITURE INDUSTRIES, INCORPORATED AND SUBSIDIARIES</w:t>
      </w:r>
    </w:p>
    <w:tbl>
      <w:tblPr>
        <w:tblLayout w:type="fixed"/>
        <w:tblInd w:w="0" w:type="dxa"/>
        <w:tblCellMar>
          <w:top w:w="0" w:type="dxa"/>
          <w:left w:w="0" w:type="dxa"/>
          <w:bottom w:w="0" w:type="dxa"/>
          <w:right w:w="0" w:type="dxa"/>
        </w:tblCellMar>
      </w:tblPr>
      <w:tr>
        <w:trPr>
          <w:trHeight w:val="169"/>
        </w:trPr>
        <w:tc>
          <w:tcPr>
            <w:tcW w:w="6960" w:type="dxa"/>
            <w:vAlign w:val="bottom"/>
            <w:gridSpan w:val="2"/>
          </w:tcPr>
          <w:p>
            <w:pPr>
              <w:jc w:val="right"/>
              <w:ind w:right="27"/>
              <w:spacing w:after="0" w:line="169" w:lineRule="exact"/>
              <w:rPr>
                <w:sz w:val="20"/>
                <w:szCs w:val="20"/>
                <w:color w:val="auto"/>
              </w:rPr>
            </w:pPr>
            <w:r>
              <w:rPr>
                <w:rFonts w:ascii="Courier New" w:cs="Courier New" w:eastAsia="Courier New" w:hAnsi="Courier New"/>
                <w:sz w:val="15"/>
                <w:szCs w:val="15"/>
                <w:color w:val="auto"/>
                <w:w w:val="99"/>
              </w:rPr>
              <w:t>CONDENSED CONSOLIDATED STATEMENT OF INCOME AND RETAINED EARNINGS - UNAUDITED</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48"/>
        </w:trPr>
        <w:tc>
          <w:tcPr>
            <w:tcW w:w="4980" w:type="dxa"/>
            <w:vAlign w:val="bottom"/>
          </w:tcPr>
          <w:p>
            <w:pPr>
              <w:spacing w:after="0"/>
              <w:rPr>
                <w:sz w:val="24"/>
                <w:szCs w:val="24"/>
                <w:color w:val="auto"/>
              </w:rPr>
            </w:pPr>
          </w:p>
        </w:tc>
        <w:tc>
          <w:tcPr>
            <w:tcW w:w="3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NINE MONTHS ENDED AUGUST 31,</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4980" w:type="dxa"/>
            <w:vAlign w:val="bottom"/>
          </w:tcPr>
          <w:p>
            <w:pPr>
              <w:spacing w:after="0"/>
              <w:rPr>
                <w:sz w:val="14"/>
                <w:szCs w:val="14"/>
                <w:color w:val="auto"/>
              </w:rPr>
            </w:pPr>
          </w:p>
        </w:tc>
        <w:tc>
          <w:tcPr>
            <w:tcW w:w="3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$332,231,880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$361,752,321</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$109,007,706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$ 119,183,765</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980" w:type="dxa"/>
            <w:vAlign w:val="bottom"/>
          </w:tcPr>
          <w:p>
            <w:pPr>
              <w:ind w:left="340"/>
              <w:spacing w:after="0"/>
              <w:rPr>
                <w:sz w:val="20"/>
                <w:szCs w:val="20"/>
                <w:color w:val="auto"/>
              </w:rPr>
            </w:pPr>
            <w:r>
              <w:rPr>
                <w:rFonts w:ascii="Courier New" w:cs="Courier New" w:eastAsia="Courier New" w:hAnsi="Courier New"/>
                <w:sz w:val="15"/>
                <w:szCs w:val="15"/>
                <w:color w:val="auto"/>
              </w:rPr>
              <w:t>Cost of sales</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278,966,630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301,097,044</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91,225,424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98,472,087</w:t>
            </w:r>
          </w:p>
        </w:tc>
      </w:tr>
      <w:tr>
        <w:trPr>
          <w:trHeight w:val="170"/>
        </w:trPr>
        <w:tc>
          <w:tcPr>
            <w:tcW w:w="498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46,139,446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48,839,196</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14,816,183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16,332,759</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325,106,076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349,936,240</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106,041,607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114,804,846</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Income from operations</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7,125,804</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11,816,081</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2,966,099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4,378,919</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11,546,097</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10,295,806</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3,224,632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3,796,872</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Income before income taxes</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18,671,901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22,111,887</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6,190,731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8,175,791</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(4,140,000)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(6,457,500)</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(1,365,000)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(2,394,500)</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NET INCOME</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14,531,901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15,654,387</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4,825,731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5,781,291</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225,718,704</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221,949,817</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223,672,342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226,188,020</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240,250,605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237,604,204</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228,498,073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231,969,311</w:t>
            </w:r>
          </w:p>
        </w:tc>
      </w:tr>
      <w:tr>
        <w:trPr>
          <w:trHeight w:val="170"/>
        </w:trPr>
        <w:tc>
          <w:tcPr>
            <w:tcW w:w="4980" w:type="dxa"/>
            <w:vAlign w:val="bottom"/>
          </w:tcPr>
          <w:p>
            <w:pPr>
              <w:ind w:left="340"/>
              <w:spacing w:after="0"/>
              <w:rPr>
                <w:sz w:val="20"/>
                <w:szCs w:val="20"/>
                <w:color w:val="auto"/>
              </w:rPr>
            </w:pPr>
            <w:r>
              <w:rPr>
                <w:rFonts w:ascii="Courier New" w:cs="Courier New" w:eastAsia="Courier New" w:hAnsi="Courier New"/>
                <w:sz w:val="15"/>
                <w:szCs w:val="15"/>
                <w:color w:val="auto"/>
              </w:rPr>
              <w:t>Cash dividends</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( 8,021,311)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(8,444,424)</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( 2,626,753)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(2,809,531)</w:t>
            </w:r>
          </w:p>
        </w:tc>
      </w:tr>
      <w:tr>
        <w:trPr>
          <w:trHeight w:val="170"/>
        </w:trPr>
        <w:tc>
          <w:tcPr>
            <w:tcW w:w="4980" w:type="dxa"/>
            <w:vAlign w:val="bottom"/>
          </w:tcPr>
          <w:p>
            <w:pPr>
              <w:ind w:left="340"/>
              <w:spacing w:after="0"/>
              <w:rPr>
                <w:sz w:val="20"/>
                <w:szCs w:val="20"/>
                <w:color w:val="auto"/>
              </w:rPr>
            </w:pPr>
            <w:r>
              <w:rPr>
                <w:rFonts w:ascii="Courier New" w:cs="Courier New" w:eastAsia="Courier New" w:hAnsi="Courier New"/>
                <w:sz w:val="15"/>
                <w:szCs w:val="15"/>
                <w:color w:val="auto"/>
              </w:rPr>
              <w:t>Purchase and retirement of common stock</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( 10,005,208)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(777,743)</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( 3,647,234)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(777,743)</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$222,224,086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$228,382,037</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$ 222,224,086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$ 228,382,037</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017"/>
        </w:trPr>
        <w:tc>
          <w:tcPr>
            <w:tcW w:w="4980" w:type="dxa"/>
            <w:vAlign w:val="bottom"/>
          </w:tcPr>
          <w:p>
            <w:pPr>
              <w:ind w:left="340"/>
              <w:spacing w:after="0"/>
              <w:rPr>
                <w:sz w:val="20"/>
                <w:szCs w:val="20"/>
                <w:color w:val="auto"/>
              </w:rPr>
            </w:pPr>
            <w:r>
              <w:rPr>
                <w:rFonts w:ascii="Courier New" w:cs="Courier New" w:eastAsia="Courier New" w:hAnsi="Courier New"/>
                <w:sz w:val="15"/>
                <w:szCs w:val="15"/>
                <w:color w:val="auto"/>
              </w:rPr>
              <w:t>NET INCOME PER SHARE</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$ 1.08</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$ 1.11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ind w:left="340"/>
              <w:spacing w:after="0"/>
              <w:rPr>
                <w:sz w:val="20"/>
                <w:szCs w:val="20"/>
                <w:color w:val="auto"/>
              </w:rPr>
            </w:pPr>
            <w:r>
              <w:rPr>
                <w:rFonts w:ascii="Courier New" w:cs="Courier New" w:eastAsia="Courier New" w:hAnsi="Courier New"/>
                <w:sz w:val="15"/>
                <w:szCs w:val="15"/>
                <w:color w:val="auto"/>
              </w:rPr>
              <w:t>DIVIDENDS PER SHARE</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.60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w:t>
            </w:r>
          </w:p>
        </w:tc>
      </w:tr>
      <w:tr>
        <w:trPr>
          <w:trHeight w:val="170"/>
        </w:trPr>
        <w:tc>
          <w:tcPr>
            <w:tcW w:w="498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right="4940"/>
        <w:spacing w:after="0" w:line="235" w:lineRule="auto"/>
        <w:rPr>
          <w:sz w:val="20"/>
          <w:szCs w:val="20"/>
          <w:color w:val="auto"/>
        </w:rPr>
      </w:pPr>
      <w:r>
        <w:rPr>
          <w:rFonts w:ascii="Courier New" w:cs="Courier New" w:eastAsia="Courier New" w:hAnsi="Courier New"/>
          <w:sz w:val="15"/>
          <w:szCs w:val="15"/>
          <w:color w:val="auto"/>
        </w:rPr>
        <w:t>The accompanying note is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2 of 8</w:t>
      </w:r>
    </w:p>
    <w:p>
      <w:pPr>
        <w:sectPr>
          <w:pgSz w:w="11900" w:h="16838" w:orient="portrait"/>
          <w:cols w:equalWidth="0" w:num="1">
            <w:col w:w="11180"/>
          </w:cols>
          <w:pgMar w:left="240" w:top="283" w:right="47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tbl>
      <w:tblPr>
        <w:tblLayout w:type="fixed"/>
        <w:tblInd w:w="0" w:type="dxa"/>
        <w:tblCellMar>
          <w:top w:w="0" w:type="dxa"/>
          <w:left w:w="0" w:type="dxa"/>
          <w:bottom w:w="0" w:type="dxa"/>
          <w:right w:w="0" w:type="dxa"/>
        </w:tblCellMar>
      </w:tblPr>
      <w:tr>
        <w:trPr>
          <w:trHeight w:val="169"/>
        </w:trPr>
        <w:tc>
          <w:tcPr>
            <w:tcW w:w="6340" w:type="dxa"/>
            <w:vAlign w:val="bottom"/>
          </w:tcPr>
          <w:p>
            <w:pPr>
              <w:ind w:left="1400"/>
              <w:spacing w:after="0" w:line="169" w:lineRule="exact"/>
              <w:rPr>
                <w:sz w:val="20"/>
                <w:szCs w:val="20"/>
                <w:color w:val="auto"/>
              </w:rPr>
            </w:pPr>
            <w:r>
              <w:rPr>
                <w:rFonts w:ascii="Courier New" w:cs="Courier New" w:eastAsia="Courier New" w:hAnsi="Courier New"/>
                <w:sz w:val="15"/>
                <w:szCs w:val="15"/>
                <w:color w:val="auto"/>
              </w:rPr>
              <w:t>CONDENSED CONSOLIDATED BALANCE SHEET - UNAUDITED</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678"/>
        </w:trPr>
        <w:tc>
          <w:tcPr>
            <w:tcW w:w="6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9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AUGUST 31, 1996</w:t>
            </w:r>
          </w:p>
        </w:tc>
        <w:tc>
          <w:tcPr>
            <w:tcW w:w="2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NOVEMBER 30, 1995</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$ 58,380,561</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51,331,119</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Trade accounts receivable, less allowance</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ind w:left="340"/>
              <w:spacing w:after="0"/>
              <w:rPr>
                <w:sz w:val="20"/>
                <w:szCs w:val="20"/>
                <w:color w:val="auto"/>
              </w:rPr>
            </w:pPr>
            <w:r>
              <w:rPr>
                <w:rFonts w:ascii="Courier New" w:cs="Courier New" w:eastAsia="Courier New" w:hAnsi="Courier New"/>
                <w:sz w:val="15"/>
                <w:szCs w:val="15"/>
                <w:color w:val="auto"/>
              </w:rPr>
              <w:t>for doubtful accounts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64,375,558</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68,591,514</w:t>
            </w:r>
          </w:p>
        </w:tc>
      </w:tr>
      <w:tr>
        <w:trPr>
          <w:trHeight w:val="170"/>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Inventories: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Finished goods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46,689,718</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46,490,589</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Work in process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15,321,383</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16,231,269</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Raw materials and supplies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38,540,788</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45,305,749</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100,551,889</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108,027,607</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Less LIFO adjustment</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28,001,000</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26,801,000</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72,550,889</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81,226,607</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2,184,567</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1,757,658</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1,988,000</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2,008,000</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199,479,575</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204,914,898</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Cost</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217,630,416</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211,790,217</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Less allowances for depreciation</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164,801,755</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158,665,871</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52,828,661</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53,124,346</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Investment in securities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27,487,801</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39,055,319</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Investment in affiliated companies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44,173,184</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40,398,574</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11,139,533</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9,227,317</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82,800,518</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88,681,210</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$335,108,754</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$346,720,454</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$ 28,491,559</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$ 29,710,299</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Accrued compensation</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3,717,724</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4,778,966</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Income taxes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789,703</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902,476</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32,998,986</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35,391,741</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Deferred liabilities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10,669,207</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10,296,244</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1,082,000</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2,129,000</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11,751,207</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12,425,244</w:t>
            </w:r>
          </w:p>
        </w:tc>
      </w:tr>
      <w:tr>
        <w:trPr>
          <w:trHeight w:val="339"/>
        </w:trPr>
        <w:tc>
          <w:tcPr>
            <w:tcW w:w="6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65,714,475</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68,294,765</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222,224,086</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225,718,704</w:t>
            </w:r>
          </w:p>
        </w:tc>
      </w:t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Unrealized holding gains, net of tax</w:t>
            </w: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2,420,000</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4,890,000</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290,358,561</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298,903,469</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$335,108,754</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$346,720,454</w:t>
            </w:r>
          </w:p>
        </w:tc>
      </w:tr>
      <w:tr>
        <w:trPr>
          <w:trHeight w:val="170"/>
        </w:trPr>
        <w:tc>
          <w:tcPr>
            <w:tcW w:w="6340" w:type="dxa"/>
            <w:vAlign w:val="bottom"/>
          </w:tcPr>
          <w:p>
            <w:pPr>
              <w:spacing w:after="0"/>
              <w:rPr>
                <w:sz w:val="14"/>
                <w:szCs w:val="14"/>
                <w:color w:val="auto"/>
              </w:rPr>
            </w:pPr>
          </w:p>
        </w:tc>
        <w:tc>
          <w:tcPr>
            <w:tcW w:w="29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right="5280"/>
        <w:spacing w:after="0" w:line="235" w:lineRule="auto"/>
        <w:rPr>
          <w:sz w:val="20"/>
          <w:szCs w:val="20"/>
          <w:color w:val="auto"/>
        </w:rPr>
      </w:pPr>
      <w:r>
        <w:rPr>
          <w:rFonts w:ascii="Courier New" w:cs="Courier New" w:eastAsia="Courier New" w:hAnsi="Courier New"/>
          <w:sz w:val="15"/>
          <w:szCs w:val="15"/>
          <w:color w:val="auto"/>
        </w:rPr>
        <w:t>The accompanying note is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3 of 8</w:t>
      </w:r>
    </w:p>
    <w:p>
      <w:pPr>
        <w:sectPr>
          <w:pgSz w:w="11900" w:h="16838" w:orient="portrait"/>
          <w:cols w:equalWidth="0" w:num="1">
            <w:col w:w="11520"/>
          </w:cols>
          <w:pgMar w:left="240" w:top="283" w:right="1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tbl>
      <w:tblPr>
        <w:tblLayout w:type="fixed"/>
        <w:tblInd w:w="0" w:type="dxa"/>
        <w:tblCellMar>
          <w:top w:w="0" w:type="dxa"/>
          <w:left w:w="0" w:type="dxa"/>
          <w:bottom w:w="0" w:type="dxa"/>
          <w:right w:w="0" w:type="dxa"/>
        </w:tblCellMar>
      </w:tblPr>
      <w:tr>
        <w:trPr>
          <w:trHeight w:val="169"/>
        </w:trPr>
        <w:tc>
          <w:tcPr>
            <w:tcW w:w="64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2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64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CONDENSED CONSOLIDATED STATEMENT OF CASH FLOWS - UNAUDITED</w:t>
            </w:r>
          </w:p>
        </w:tc>
        <w:tc>
          <w:tcPr>
            <w:tcW w:w="2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187"/>
        </w:trPr>
        <w:tc>
          <w:tcPr>
            <w:tcW w:w="6460" w:type="dxa"/>
            <w:vAlign w:val="bottom"/>
          </w:tcPr>
          <w:p>
            <w:pPr>
              <w:spacing w:after="0"/>
              <w:rPr>
                <w:sz w:val="24"/>
                <w:szCs w:val="24"/>
                <w:color w:val="auto"/>
              </w:rPr>
            </w:pPr>
          </w:p>
        </w:tc>
        <w:tc>
          <w:tcPr>
            <w:tcW w:w="44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NINE MONTHS ENDED AUGUST 31,</w:t>
            </w:r>
          </w:p>
        </w:tc>
      </w:tr>
      <w:tr>
        <w:trPr>
          <w:trHeight w:val="170"/>
        </w:trPr>
        <w:tc>
          <w:tcPr>
            <w:tcW w:w="6460" w:type="dxa"/>
            <w:vAlign w:val="bottom"/>
          </w:tcPr>
          <w:p>
            <w:pPr>
              <w:spacing w:after="0"/>
              <w:rPr>
                <w:sz w:val="14"/>
                <w:szCs w:val="14"/>
                <w:color w:val="auto"/>
              </w:rPr>
            </w:pPr>
          </w:p>
        </w:tc>
        <w:tc>
          <w:tcPr>
            <w:tcW w:w="4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1996</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$22,858,665</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$25,808,844</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4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Net change in cost of investment securities</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12,952,008</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7,155,646</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24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(6,192,249)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(6,523,427)</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83,635</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59,000</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Dividends from affiliated company</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817,129</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Increase in cash surrender value of life insurance</w:t>
            </w:r>
          </w:p>
        </w:tc>
        <w:tc>
          <w:tcPr>
            <w:tcW w:w="24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(1,915,038)</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(2,838,284)</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24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(130,770)</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131,616</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4,797,586</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(1,198,320)</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4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 stock</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25,364</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48,733</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Purchase and retirement of common stock</w:t>
            </w:r>
          </w:p>
        </w:tc>
        <w:tc>
          <w:tcPr>
            <w:tcW w:w="24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(12,610,862)</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(1,022,286)</w:t>
            </w:r>
          </w:p>
        </w:tc>
      </w:tr>
      <w:tr>
        <w:trPr>
          <w:trHeight w:val="170"/>
        </w:trPr>
        <w:tc>
          <w:tcPr>
            <w:tcW w:w="64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24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(8,021,311)</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(8,444,424)</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(20,606,809)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(9,417,977)</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7,049,442</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15,192,547</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51,331,119</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42,314,957</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$58,380,561</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$57,507,504</w:t>
            </w:r>
          </w:p>
        </w:tc>
      </w:tr>
      <w:tr>
        <w:trPr>
          <w:trHeight w:val="170"/>
        </w:trPr>
        <w:tc>
          <w:tcPr>
            <w:tcW w:w="6460" w:type="dxa"/>
            <w:vAlign w:val="bottom"/>
          </w:tcPr>
          <w:p>
            <w:pPr>
              <w:spacing w:after="0"/>
              <w:rPr>
                <w:sz w:val="14"/>
                <w:szCs w:val="14"/>
                <w:color w:val="auto"/>
              </w:rPr>
            </w:pPr>
          </w:p>
        </w:tc>
        <w:tc>
          <w:tcPr>
            <w:tcW w:w="2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 TO CONDENSED CONSOLIDATED FINANCIAL STATEMENTS</w:t>
      </w:r>
    </w:p>
    <w:p>
      <w:pPr>
        <w:spacing w:after="0" w:line="175" w:lineRule="exact"/>
        <w:rPr>
          <w:sz w:val="20"/>
          <w:szCs w:val="20"/>
          <w:color w:val="auto"/>
        </w:rPr>
      </w:pPr>
    </w:p>
    <w:p>
      <w:pPr>
        <w:ind w:right="4500"/>
        <w:spacing w:after="0" w:line="265" w:lineRule="auto"/>
        <w:rPr>
          <w:sz w:val="20"/>
          <w:szCs w:val="20"/>
          <w:color w:val="auto"/>
        </w:rPr>
      </w:pPr>
      <w:r>
        <w:rPr>
          <w:rFonts w:ascii="Courier New" w:cs="Courier New" w:eastAsia="Courier New" w:hAnsi="Courier New"/>
          <w:sz w:val="14"/>
          <w:szCs w:val="14"/>
          <w:color w:val="auto"/>
        </w:rPr>
        <w:t>Per share amounts are based on 13,431,163 and 14,082,213 weighted average number of shares outstanding at August 31, 1996 and 1995,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4 of 8</w:t>
      </w:r>
    </w:p>
    <w:p>
      <w:pPr>
        <w:sectPr>
          <w:pgSz w:w="11900" w:h="16838" w:orient="portrait"/>
          <w:cols w:equalWidth="0" w:num="1">
            <w:col w:w="10920"/>
          </w:cols>
          <w:pgMar w:left="240" w:top="283" w:right="7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right="3960"/>
        <w:spacing w:after="0" w:line="258"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64" w:lineRule="exact"/>
        <w:rPr>
          <w:sz w:val="20"/>
          <w:szCs w:val="20"/>
          <w:color w:val="auto"/>
        </w:rPr>
      </w:pPr>
    </w:p>
    <w:p>
      <w:pPr>
        <w:ind w:right="404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rPr>
          <w:sz w:val="20"/>
          <w:szCs w:val="20"/>
          <w:color w:val="auto"/>
        </w:rPr>
      </w:pPr>
      <w:r>
        <w:rPr>
          <w:rFonts w:ascii="Courier New" w:cs="Courier New" w:eastAsia="Courier New" w:hAnsi="Courier New"/>
          <w:sz w:val="15"/>
          <w:szCs w:val="15"/>
          <w:color w:val="auto"/>
        </w:rPr>
        <w:t>Major components of net income expressed as a percentage of net sales: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Ended August 31,</w:t>
            </w:r>
          </w:p>
        </w:tc>
        <w:tc>
          <w:tcPr>
            <w:tcW w:w="314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7"/>
              </w:rPr>
              <w:t>Three Months Ended August  31,</w:t>
            </w:r>
          </w:p>
        </w:tc>
      </w:tr>
      <w:tr>
        <w:trPr>
          <w:trHeight w:val="170"/>
        </w:trPr>
        <w:tc>
          <w:tcPr>
            <w:tcW w:w="4080" w:type="dxa"/>
            <w:vAlign w:val="bottom"/>
          </w:tcPr>
          <w:p>
            <w:pPr>
              <w:spacing w:after="0"/>
              <w:rPr>
                <w:sz w:val="14"/>
                <w:szCs w:val="14"/>
                <w:color w:val="auto"/>
              </w:rPr>
            </w:pPr>
          </w:p>
        </w:tc>
        <w:tc>
          <w:tcPr>
            <w:tcW w:w="318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14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8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08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Cost of sales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83.97%</w:t>
            </w:r>
          </w:p>
        </w:tc>
        <w:tc>
          <w:tcPr>
            <w:tcW w:w="32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83.23%</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82.39%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83.69%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82.62%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82.79%</w:t>
            </w:r>
          </w:p>
        </w:tc>
      </w:tr>
      <w:tr>
        <w:trPr>
          <w:trHeight w:val="170"/>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Selling, general and admin.</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13.89</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13.50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13.39</w:t>
            </w:r>
          </w:p>
        </w:tc>
      </w:tr>
      <w:tr>
        <w:trPr>
          <w:trHeight w:val="170"/>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Income from operations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2.14</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w:t>
            </w:r>
          </w:p>
        </w:tc>
      </w:tr>
      <w:tr>
        <w:trPr>
          <w:trHeight w:val="170"/>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Other income, net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3.48</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w:t>
            </w:r>
          </w:p>
        </w:tc>
      </w:tr>
      <w:tr>
        <w:trPr>
          <w:trHeight w:val="170"/>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5.62</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w:t>
            </w:r>
          </w:p>
        </w:tc>
      </w:tr>
      <w:tr>
        <w:trPr>
          <w:trHeight w:val="170"/>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w:t>
            </w:r>
          </w:p>
        </w:tc>
      </w:tr>
      <w:tr>
        <w:trPr>
          <w:trHeight w:val="170"/>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Accounting change</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r>
      <w:tr>
        <w:trPr>
          <w:trHeight w:val="170"/>
        </w:trPr>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4.37</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4.33</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w:t>
            </w:r>
          </w:p>
        </w:tc>
      </w:tr>
      <w:tr>
        <w:trPr>
          <w:trHeight w:val="678"/>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Net sales for the current two periods compared to prior years:</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9"/>
        </w:trPr>
        <w:tc>
          <w:tcPr>
            <w:tcW w:w="40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Ended August 31,</w:t>
            </w:r>
          </w:p>
        </w:tc>
        <w:tc>
          <w:tcPr>
            <w:tcW w:w="314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4080" w:type="dxa"/>
            <w:vAlign w:val="bottom"/>
          </w:tcPr>
          <w:p>
            <w:pPr>
              <w:spacing w:after="0"/>
              <w:rPr>
                <w:sz w:val="14"/>
                <w:szCs w:val="14"/>
                <w:color w:val="auto"/>
              </w:rPr>
            </w:pPr>
          </w:p>
        </w:tc>
        <w:tc>
          <w:tcPr>
            <w:tcW w:w="318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1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1995</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0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tcPr>
          <w:p>
            <w:pPr>
              <w:ind w:left="1040"/>
              <w:spacing w:after="0"/>
              <w:rPr>
                <w:sz w:val="20"/>
                <w:szCs w:val="20"/>
                <w:color w:val="auto"/>
              </w:rPr>
            </w:pPr>
            <w:r>
              <w:rPr>
                <w:rFonts w:ascii="Courier New" w:cs="Courier New" w:eastAsia="Courier New" w:hAnsi="Courier New"/>
                <w:sz w:val="15"/>
                <w:szCs w:val="15"/>
                <w:color w:val="auto"/>
              </w:rPr>
              <w:t>Net sales (thousands)</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$332,232</w:t>
            </w:r>
          </w:p>
        </w:tc>
        <w:tc>
          <w:tcPr>
            <w:tcW w:w="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$361,752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$381,271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$109,008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$119,184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$124,968</w:t>
            </w:r>
          </w:p>
        </w:tc>
      </w:tr>
      <w:tr>
        <w:trPr>
          <w:trHeight w:val="170"/>
        </w:trPr>
        <w:tc>
          <w:tcPr>
            <w:tcW w:w="4080" w:type="dxa"/>
            <w:vAlign w:val="bottom"/>
          </w:tcPr>
          <w:p>
            <w:pPr>
              <w:ind w:left="1040"/>
              <w:spacing w:after="0"/>
              <w:rPr>
                <w:sz w:val="20"/>
                <w:szCs w:val="20"/>
                <w:color w:val="auto"/>
              </w:rPr>
            </w:pPr>
            <w:r>
              <w:rPr>
                <w:rFonts w:ascii="Courier New" w:cs="Courier New" w:eastAsia="Courier New" w:hAnsi="Courier New"/>
                <w:sz w:val="15"/>
                <w:szCs w:val="15"/>
                <w:color w:val="auto"/>
              </w:rPr>
              <w:t>% change from prior year</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(8.2)%</w:t>
            </w:r>
          </w:p>
        </w:tc>
        <w:tc>
          <w:tcPr>
            <w:tcW w:w="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(5.1)%</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7"/>
              </w:rPr>
              <w:t>Net sales in the Casegoods Division in the third</w:t>
            </w:r>
          </w:p>
        </w:tc>
        <w:tc>
          <w:tcPr>
            <w:tcW w:w="32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quarter reflect an increase</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440" w:type="dxa"/>
            <w:vAlign w:val="bottom"/>
            <w:gridSpan w:val="4"/>
          </w:tcPr>
          <w:p>
            <w:pPr>
              <w:spacing w:after="0"/>
              <w:rPr>
                <w:sz w:val="20"/>
                <w:szCs w:val="20"/>
                <w:color w:val="auto"/>
              </w:rPr>
            </w:pPr>
            <w:r>
              <w:rPr>
                <w:rFonts w:ascii="Courier New" w:cs="Courier New" w:eastAsia="Courier New" w:hAnsi="Courier New"/>
                <w:sz w:val="15"/>
                <w:szCs w:val="15"/>
                <w:color w:val="auto"/>
              </w:rPr>
              <w:t>over the same quarter in 1995;  other Divisions were flat or down in comparison</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w w:val="98"/>
              </w:rPr>
              <w:t>to the prior year.  For the nine month period, the Motion and Upholstery</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Divisions accounted for the majority of decreased sales.</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440" w:type="dxa"/>
            <w:vAlign w:val="bottom"/>
            <w:gridSpan w:val="4"/>
          </w:tcPr>
          <w:p>
            <w:pPr>
              <w:spacing w:after="0"/>
              <w:rPr>
                <w:sz w:val="20"/>
                <w:szCs w:val="20"/>
                <w:color w:val="auto"/>
              </w:rPr>
            </w:pPr>
            <w:r>
              <w:rPr>
                <w:rFonts w:ascii="Courier New" w:cs="Courier New" w:eastAsia="Courier New" w:hAnsi="Courier New"/>
                <w:sz w:val="15"/>
                <w:szCs w:val="15"/>
                <w:color w:val="auto"/>
              </w:rPr>
              <w:t>Cost of sales for the 1996 third quarter (83.69%) improved over the second</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7"/>
              </w:rPr>
              <w:t>(84.08%) and first (84.13%) quarters.  The gross</w:t>
            </w:r>
          </w:p>
        </w:tc>
        <w:tc>
          <w:tcPr>
            <w:tcW w:w="32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profit margin for the nine</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7"/>
              </w:rPr>
              <w:t>month period has fallen 74 basis points compared</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to 1995.</w:t>
            </w:r>
          </w:p>
        </w:tc>
        <w:tc>
          <w:tcPr>
            <w:tcW w:w="234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The decrease in</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440" w:type="dxa"/>
            <w:vAlign w:val="bottom"/>
            <w:gridSpan w:val="4"/>
          </w:tcPr>
          <w:p>
            <w:pPr>
              <w:spacing w:after="0"/>
              <w:rPr>
                <w:sz w:val="20"/>
                <w:szCs w:val="20"/>
                <w:color w:val="auto"/>
              </w:rPr>
            </w:pPr>
            <w:r>
              <w:rPr>
                <w:rFonts w:ascii="Courier New" w:cs="Courier New" w:eastAsia="Courier New" w:hAnsi="Courier New"/>
                <w:sz w:val="15"/>
                <w:szCs w:val="15"/>
                <w:color w:val="auto"/>
              </w:rPr>
              <w:t>gross profit margin follows a decrease of approximately 90 basis points for the</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440" w:type="dxa"/>
            <w:vAlign w:val="bottom"/>
            <w:gridSpan w:val="4"/>
          </w:tcPr>
          <w:p>
            <w:pPr>
              <w:spacing w:after="0"/>
              <w:rPr>
                <w:sz w:val="20"/>
                <w:szCs w:val="20"/>
                <w:color w:val="auto"/>
              </w:rPr>
            </w:pPr>
            <w:r>
              <w:rPr>
                <w:rFonts w:ascii="Courier New" w:cs="Courier New" w:eastAsia="Courier New" w:hAnsi="Courier New"/>
                <w:sz w:val="15"/>
                <w:szCs w:val="15"/>
                <w:color w:val="auto"/>
              </w:rPr>
              <w:t>full fiscal year 1995 from 1994.  This decline in margins is the result of the</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7"/>
              </w:rPr>
              <w:t>continuing inability to increase sales prices to</w:t>
            </w:r>
          </w:p>
        </w:tc>
        <w:tc>
          <w:tcPr>
            <w:tcW w:w="32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compensate for incurred raw</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440" w:type="dxa"/>
            <w:vAlign w:val="bottom"/>
            <w:gridSpan w:val="4"/>
          </w:tcPr>
          <w:p>
            <w:pPr>
              <w:spacing w:after="0"/>
              <w:rPr>
                <w:sz w:val="20"/>
                <w:szCs w:val="20"/>
                <w:color w:val="auto"/>
              </w:rPr>
            </w:pPr>
            <w:r>
              <w:rPr>
                <w:rFonts w:ascii="Courier New" w:cs="Courier New" w:eastAsia="Courier New" w:hAnsi="Courier New"/>
                <w:sz w:val="15"/>
                <w:szCs w:val="15"/>
                <w:color w:val="auto"/>
              </w:rPr>
              <w:t>material cost increases.  This is shown by a comparison of the cost components</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100" w:type="dxa"/>
            <w:vAlign w:val="bottom"/>
            <w:gridSpan w:val="2"/>
          </w:tcPr>
          <w:p>
            <w:pPr>
              <w:spacing w:after="0"/>
              <w:rPr>
                <w:sz w:val="20"/>
                <w:szCs w:val="20"/>
                <w:color w:val="auto"/>
              </w:rPr>
            </w:pPr>
            <w:r>
              <w:rPr>
                <w:rFonts w:ascii="Courier New" w:cs="Courier New" w:eastAsia="Courier New" w:hAnsi="Courier New"/>
                <w:sz w:val="15"/>
                <w:szCs w:val="15"/>
                <w:color w:val="auto"/>
              </w:rPr>
              <w:t>comprising cost of sales as a percentage of net sales:</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4220" w:type="dxa"/>
            <w:vAlign w:val="bottom"/>
          </w:tcPr>
          <w:p>
            <w:pPr>
              <w:spacing w:after="0"/>
              <w:rPr>
                <w:sz w:val="24"/>
                <w:szCs w:val="24"/>
                <w:color w:val="auto"/>
              </w:rPr>
            </w:pPr>
          </w:p>
        </w:tc>
        <w:tc>
          <w:tcPr>
            <w:tcW w:w="32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Nine Months Ended August 31,</w:t>
            </w:r>
          </w:p>
        </w:tc>
        <w:tc>
          <w:tcPr>
            <w:tcW w:w="31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4220" w:type="dxa"/>
            <w:vAlign w:val="bottom"/>
          </w:tcPr>
          <w:p>
            <w:pPr>
              <w:spacing w:after="0"/>
              <w:rPr>
                <w:sz w:val="14"/>
                <w:szCs w:val="14"/>
                <w:color w:val="auto"/>
              </w:rPr>
            </w:pPr>
          </w:p>
        </w:tc>
        <w:tc>
          <w:tcPr>
            <w:tcW w:w="32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312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2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ind w:left="1040"/>
              <w:spacing w:after="0"/>
              <w:rPr>
                <w:sz w:val="20"/>
                <w:szCs w:val="20"/>
                <w:color w:val="auto"/>
              </w:rPr>
            </w:pPr>
            <w:r>
              <w:rPr>
                <w:rFonts w:ascii="Courier New" w:cs="Courier New" w:eastAsia="Courier New" w:hAnsi="Courier New"/>
                <w:sz w:val="15"/>
                <w:szCs w:val="15"/>
                <w:color w:val="auto"/>
              </w:rPr>
              <w:t>Materials</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49.96%</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49.51%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48.81%</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50.22%</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49.82%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0"/>
        </w:trPr>
        <w:tc>
          <w:tcPr>
            <w:tcW w:w="4220" w:type="dxa"/>
            <w:vAlign w:val="bottom"/>
          </w:tcPr>
          <w:p>
            <w:pPr>
              <w:ind w:left="1040"/>
              <w:spacing w:after="0"/>
              <w:rPr>
                <w:sz w:val="20"/>
                <w:szCs w:val="20"/>
                <w:color w:val="auto"/>
              </w:rPr>
            </w:pPr>
            <w:r>
              <w:rPr>
                <w:rFonts w:ascii="Courier New" w:cs="Courier New" w:eastAsia="Courier New" w:hAnsi="Courier New"/>
                <w:sz w:val="15"/>
                <w:szCs w:val="15"/>
                <w:color w:val="auto"/>
              </w:rPr>
              <w:t>Labor</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21.23</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21.33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21.57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20.96</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20.83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21.49</w:t>
            </w:r>
          </w:p>
        </w:tc>
      </w:tr>
      <w:tr>
        <w:trPr>
          <w:trHeight w:val="170"/>
        </w:trPr>
        <w:tc>
          <w:tcPr>
            <w:tcW w:w="4220" w:type="dxa"/>
            <w:vAlign w:val="bottom"/>
          </w:tcPr>
          <w:p>
            <w:pPr>
              <w:ind w:left="1040"/>
              <w:spacing w:after="0"/>
              <w:rPr>
                <w:sz w:val="20"/>
                <w:szCs w:val="20"/>
                <w:color w:val="auto"/>
              </w:rPr>
            </w:pPr>
            <w:r>
              <w:rPr>
                <w:rFonts w:ascii="Courier New" w:cs="Courier New" w:eastAsia="Courier New" w:hAnsi="Courier New"/>
                <w:sz w:val="15"/>
                <w:szCs w:val="15"/>
                <w:color w:val="auto"/>
              </w:rPr>
              <w:t>Overhead</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12.78</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12.39</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12.51</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11.97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11.94</w:t>
            </w:r>
          </w:p>
        </w:tc>
      </w:tr>
      <w:tr>
        <w:trPr>
          <w:trHeight w:val="170"/>
        </w:trPr>
        <w:tc>
          <w:tcPr>
            <w:tcW w:w="51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83.97%</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83.23%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82.39%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83.69%</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82.62%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82.79%</w:t>
            </w:r>
          </w:p>
        </w:tc>
      </w:tr>
    </w:tbl>
    <w:p>
      <w:pPr>
        <w:spacing w:after="0" w:line="200" w:lineRule="exact"/>
        <w:rPr>
          <w:sz w:val="20"/>
          <w:szCs w:val="20"/>
          <w:color w:val="auto"/>
        </w:rPr>
      </w:pPr>
    </w:p>
    <w:p>
      <w:pPr>
        <w:sectPr>
          <w:pgSz w:w="11900" w:h="16838" w:orient="portrait"/>
          <w:cols w:equalWidth="0" w:num="1">
            <w:col w:w="10560"/>
          </w:cols>
          <w:pgMar w:left="240" w:top="283" w:right="1099" w:bottom="1440" w:gutter="0" w:footer="0" w:header="0"/>
        </w:sectPr>
      </w:pPr>
    </w:p>
    <w:p>
      <w:pPr>
        <w:spacing w:after="0" w:line="31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Page 5 of 8</w:t>
      </w:r>
    </w:p>
    <w:p>
      <w:pPr>
        <w:sectPr>
          <w:pgSz w:w="11900" w:h="16838" w:orient="portrait"/>
          <w:cols w:equalWidth="0" w:num="1">
            <w:col w:w="10560"/>
          </w:cols>
          <w:pgMar w:left="240" w:top="283" w:right="109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ind w:left="1660"/>
        <w:spacing w:after="0"/>
        <w:rPr>
          <w:sz w:val="20"/>
          <w:szCs w:val="20"/>
          <w:color w:val="auto"/>
        </w:rPr>
      </w:pPr>
      <w:r>
        <w:rPr>
          <w:rFonts w:ascii="Courier New" w:cs="Courier New" w:eastAsia="Courier New" w:hAnsi="Courier New"/>
          <w:sz w:val="15"/>
          <w:szCs w:val="15"/>
          <w:color w:val="auto"/>
        </w:rPr>
        <w:t>PART I - FINANCIAL INFORMATION - CONTINUED</w:t>
      </w: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4" w:lineRule="exact"/>
        <w:rPr>
          <w:sz w:val="20"/>
          <w:szCs w:val="20"/>
          <w:color w:val="auto"/>
        </w:rPr>
      </w:pPr>
    </w:p>
    <w:p>
      <w:pPr>
        <w:ind w:right="4660"/>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 - continued</w:t>
      </w:r>
    </w:p>
    <w:p>
      <w:pPr>
        <w:spacing w:after="0" w:line="5" w:lineRule="exact"/>
        <w:rPr>
          <w:sz w:val="20"/>
          <w:szCs w:val="20"/>
          <w:color w:val="auto"/>
        </w:rPr>
      </w:pPr>
    </w:p>
    <w:p>
      <w:pPr>
        <w:ind w:right="4220"/>
        <w:spacing w:after="0" w:line="237" w:lineRule="auto"/>
        <w:rPr>
          <w:sz w:val="20"/>
          <w:szCs w:val="20"/>
          <w:color w:val="auto"/>
        </w:rPr>
      </w:pPr>
      <w:r>
        <w:rPr>
          <w:rFonts w:ascii="Courier New" w:cs="Courier New" w:eastAsia="Courier New" w:hAnsi="Courier New"/>
          <w:sz w:val="15"/>
          <w:szCs w:val="15"/>
          <w:color w:val="auto"/>
        </w:rPr>
        <w:t>The increase in the overhead component percentage is a result of decreased sales volume. Total overhead costs declined approximately $2.4 million in the 1996 nine month period and $625 thousand in the 1996 third quarter, compared to 1995 periods.</w:t>
      </w:r>
    </w:p>
    <w:p>
      <w:pPr>
        <w:spacing w:after="0" w:line="176" w:lineRule="exact"/>
        <w:rPr>
          <w:sz w:val="20"/>
          <w:szCs w:val="20"/>
          <w:color w:val="auto"/>
        </w:rPr>
      </w:pPr>
    </w:p>
    <w:p>
      <w:pPr>
        <w:ind w:right="4220"/>
        <w:spacing w:after="0" w:line="237" w:lineRule="auto"/>
        <w:rPr>
          <w:sz w:val="20"/>
          <w:szCs w:val="20"/>
          <w:color w:val="auto"/>
        </w:rPr>
      </w:pPr>
      <w:r>
        <w:rPr>
          <w:rFonts w:ascii="Courier New" w:cs="Courier New" w:eastAsia="Courier New" w:hAnsi="Courier New"/>
          <w:sz w:val="15"/>
          <w:szCs w:val="15"/>
          <w:color w:val="auto"/>
        </w:rPr>
        <w:t>The increase in SG&amp;A expenses as a percentage of net sales is also a result of the decline in net sales. Total dollars, including variable costs (primarily sales commissions), decreased in each period; and, in addition, the fixed cost components of SG&amp;A also declined during the periods reported.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rPr>
          <w:sz w:val="20"/>
          <w:szCs w:val="20"/>
          <w:color w:val="auto"/>
        </w:rPr>
      </w:pPr>
      <w:r>
        <w:rPr>
          <w:rFonts w:ascii="Courier New" w:cs="Courier New" w:eastAsia="Courier New" w:hAnsi="Courier New"/>
          <w:sz w:val="15"/>
          <w:szCs w:val="15"/>
          <w:color w:val="auto"/>
        </w:rPr>
        <w:t>Components of other income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322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Nine Months Ended August  31,</w:t>
            </w:r>
          </w:p>
        </w:tc>
        <w:tc>
          <w:tcPr>
            <w:tcW w:w="33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Three Months Ended August 31,</w:t>
            </w:r>
          </w:p>
        </w:tc>
      </w:tr>
      <w:tr>
        <w:trPr>
          <w:trHeight w:val="170"/>
        </w:trPr>
        <w:tc>
          <w:tcPr>
            <w:tcW w:w="4660" w:type="dxa"/>
            <w:vAlign w:val="bottom"/>
          </w:tcPr>
          <w:p>
            <w:pPr>
              <w:spacing w:after="0"/>
              <w:rPr>
                <w:sz w:val="14"/>
                <w:szCs w:val="14"/>
                <w:color w:val="auto"/>
              </w:rPr>
            </w:pPr>
          </w:p>
        </w:tc>
        <w:tc>
          <w:tcPr>
            <w:tcW w:w="322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6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Equity in unremitted income</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660" w:type="dxa"/>
            <w:vAlign w:val="bottom"/>
          </w:tcPr>
          <w:p>
            <w:pPr>
              <w:ind w:left="960"/>
              <w:spacing w:after="0"/>
              <w:rPr>
                <w:sz w:val="20"/>
                <w:szCs w:val="20"/>
                <w:color w:val="auto"/>
              </w:rPr>
            </w:pPr>
            <w:r>
              <w:rPr>
                <w:rFonts w:ascii="Courier New" w:cs="Courier New" w:eastAsia="Courier New" w:hAnsi="Courier New"/>
                <w:sz w:val="15"/>
                <w:szCs w:val="15"/>
                <w:color w:val="auto"/>
              </w:rPr>
              <w:t>of affiliated companies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$3,078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$1,011</w:t>
            </w:r>
          </w:p>
        </w:tc>
      </w:tr>
      <w:tr>
        <w:trPr>
          <w:trHeight w:val="170"/>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Interest (principally tax exempt)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419</w:t>
            </w:r>
          </w:p>
        </w:tc>
      </w:tr>
      <w:tr>
        <w:trPr>
          <w:trHeight w:val="170"/>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Dividends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318</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w:t>
            </w:r>
          </w:p>
        </w:tc>
      </w:tr>
      <w:tr>
        <w:trPr>
          <w:trHeight w:val="170"/>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Gains from sales of investment securities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1,221</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1,312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466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46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$11,546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$10,296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$6,607</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$3,225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$3,797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$1,963</w:t>
            </w:r>
          </w:p>
        </w:tc>
      </w:tr>
      <w:tr>
        <w:trPr>
          <w:trHeight w:val="678"/>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6820" w:type="dxa"/>
            <w:vAlign w:val="bottom"/>
            <w:gridSpan w:val="3"/>
          </w:tcPr>
          <w:p>
            <w:pPr>
              <w:spacing w:after="0"/>
              <w:rPr>
                <w:sz w:val="20"/>
                <w:szCs w:val="20"/>
                <w:color w:val="auto"/>
              </w:rPr>
            </w:pPr>
            <w:r>
              <w:rPr>
                <w:rFonts w:ascii="Courier New" w:cs="Courier New" w:eastAsia="Courier New" w:hAnsi="Courier New"/>
                <w:sz w:val="15"/>
                <w:szCs w:val="15"/>
                <w:color w:val="auto"/>
              </w:rPr>
              <w:t>The effective income tax rate has declined in 1996 due to the decline in</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and the increase in tax-exempt other income.</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LIQUIDITY AND CAPITAL RESOURCES:</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9"/>
        </w:trPr>
        <w:tc>
          <w:tcPr>
            <w:tcW w:w="4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Nine Months Ended August 31,</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57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Cash provided by operating activities (thousands)</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$22,859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$25,809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$12,268</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344" w:lineRule="exact"/>
        <w:rPr>
          <w:sz w:val="20"/>
          <w:szCs w:val="20"/>
          <w:color w:val="auto"/>
        </w:rPr>
      </w:pPr>
    </w:p>
    <w:p>
      <w:pPr>
        <w:ind w:right="4220"/>
        <w:spacing w:after="0" w:line="237" w:lineRule="auto"/>
        <w:rPr>
          <w:sz w:val="20"/>
          <w:szCs w:val="20"/>
          <w:color w:val="auto"/>
        </w:rPr>
      </w:pPr>
      <w:r>
        <w:rPr>
          <w:rFonts w:ascii="Courier New" w:cs="Courier New" w:eastAsia="Courier New" w:hAnsi="Courier New"/>
          <w:sz w:val="15"/>
          <w:szCs w:val="15"/>
          <w:color w:val="auto"/>
        </w:rPr>
        <w:t>The Company continued to purchase and retire its Common Stock during the first nine months of 1996, acquiring 517,043 shares at an average cost of $24.39, for a total expenditure of $12,611,000. In fiscal years 1995 and 1994, 429,701 shares and 361,386 shares were acquired for a total cost of $10,125,000 and $9,546,000 respectively.</w:t>
      </w:r>
    </w:p>
    <w:p>
      <w:pPr>
        <w:spacing w:after="0" w:line="178" w:lineRule="exact"/>
        <w:rPr>
          <w:sz w:val="20"/>
          <w:szCs w:val="20"/>
          <w:color w:val="auto"/>
        </w:rPr>
      </w:pPr>
    </w:p>
    <w:p>
      <w:pPr>
        <w:ind w:right="4500"/>
        <w:spacing w:after="0" w:line="237" w:lineRule="auto"/>
        <w:rPr>
          <w:sz w:val="20"/>
          <w:szCs w:val="20"/>
          <w:color w:val="auto"/>
        </w:rPr>
      </w:pPr>
      <w:r>
        <w:rPr>
          <w:rFonts w:ascii="Courier New" w:cs="Courier New" w:eastAsia="Courier New" w:hAnsi="Courier New"/>
          <w:sz w:val="15"/>
          <w:szCs w:val="15"/>
          <w:color w:val="auto"/>
        </w:rPr>
        <w:t>The current ratio was 6.05 to 1 at August 31, 1996 and 5.79 to 1 at November 30, 1995. Working capital was $166 million at August 31, 1996, compared to $170 million at November 30, 1995.</w:t>
      </w:r>
    </w:p>
    <w:p>
      <w:pPr>
        <w:spacing w:after="0" w:line="175" w:lineRule="exact"/>
        <w:rPr>
          <w:sz w:val="20"/>
          <w:szCs w:val="20"/>
          <w:color w:val="auto"/>
        </w:rPr>
      </w:pPr>
    </w:p>
    <w:p>
      <w:pPr>
        <w:ind w:right="4580"/>
        <w:spacing w:after="0" w:line="235"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operating requirements.</w:t>
      </w:r>
    </w:p>
    <w:p>
      <w:pPr>
        <w:spacing w:after="0" w:line="176" w:lineRule="exact"/>
        <w:rPr>
          <w:sz w:val="20"/>
          <w:szCs w:val="20"/>
          <w:color w:val="auto"/>
        </w:rPr>
      </w:pPr>
    </w:p>
    <w:p>
      <w:pPr>
        <w:ind w:right="4220"/>
        <w:spacing w:after="0" w:line="237" w:lineRule="auto"/>
        <w:rPr>
          <w:sz w:val="20"/>
          <w:szCs w:val="20"/>
          <w:color w:val="auto"/>
        </w:rPr>
      </w:pPr>
      <w:r>
        <w:rPr>
          <w:rFonts w:ascii="Courier New" w:cs="Courier New" w:eastAsia="Courier New" w:hAnsi="Courier New"/>
          <w:sz w:val="15"/>
          <w:szCs w:val="15"/>
          <w:color w:val="auto"/>
        </w:rPr>
        <w:t>There were no material commitments for capital expenditures at August 31, 1996. Capital expenditures that will be made in the future for normal expansion or other operating purposes will be made from funds on hand or those generated from operations.</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6 of 8</w:t>
      </w:r>
    </w:p>
    <w:p>
      <w:pPr>
        <w:sectPr>
          <w:pgSz w:w="11900" w:h="16838" w:orient="portrait"/>
          <w:cols w:equalWidth="0" w:num="1">
            <w:col w:w="11180"/>
          </w:cols>
          <w:pgMar w:left="240" w:top="283" w:right="479"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ind w:left="2290"/>
        <w:spacing w:after="0"/>
        <w:rPr>
          <w:sz w:val="20"/>
          <w:szCs w:val="20"/>
          <w:color w:val="auto"/>
        </w:rPr>
      </w:pPr>
      <w:r>
        <w:rPr>
          <w:rFonts w:ascii="Courier New" w:cs="Courier New" w:eastAsia="Courier New" w:hAnsi="Courier New"/>
          <w:sz w:val="15"/>
          <w:szCs w:val="15"/>
          <w:color w:val="auto"/>
        </w:rPr>
        <w:t>PART II - OTHER INFORMATION</w:t>
      </w:r>
    </w:p>
    <w:p>
      <w:pPr>
        <w:jc w:val="right"/>
        <w:ind w:right="3179"/>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38"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jc w:val="both"/>
        <w:ind w:left="10"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308" w:lineRule="exact"/>
        <w:rPr>
          <w:sz w:val="20"/>
          <w:szCs w:val="20"/>
          <w:color w:val="auto"/>
        </w:rPr>
      </w:pP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Chairman of the Board, and Chief Executive Officer</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w:t>
      </w:r>
    </w:p>
    <w:p>
      <w:pPr>
        <w:ind w:left="53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Philip E. Booker, Vice President, Controller (Chief Accounting Officer)</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w:t>
      </w:r>
    </w:p>
    <w:p>
      <w:pPr>
        <w:ind w:left="45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7 of 8</w:t>
      </w:r>
    </w:p>
    <w:p>
      <w:pPr>
        <w:sectPr>
          <w:pgSz w:w="11900" w:h="16838" w:orient="portrait"/>
          <w:cols w:equalWidth="0" w:num="1">
            <w:col w:w="10229"/>
          </w:cols>
          <w:pgMar w:left="230" w:top="28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the quarter ended</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August 31,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4"/>
          <w:szCs w:val="14"/>
          <w:color w:val="auto"/>
        </w:rPr>
        <w:t>Commission File Number</w:t>
      </w:r>
    </w:p>
    <w:p>
      <w:pPr>
        <w:spacing w:after="0" w:line="5"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3600" w:space="720"/>
            <w:col w:w="5639"/>
          </w:cols>
          <w:pgMar w:left="500" w:top="283" w:right="1440" w:bottom="1440" w:gutter="0" w:footer="0" w:header="0"/>
          <w:type w:val="continuous"/>
        </w:sectPr>
      </w:pPr>
    </w:p>
    <w:p>
      <w:pPr>
        <w:spacing w:after="0" w:line="14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BASSETT FURNITURE INDUSTRIES, INCORPORATED</w:t>
      </w:r>
    </w:p>
    <w:p>
      <w:pPr>
        <w:spacing w:after="0" w:line="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59"/>
          </w:cols>
          <w:pgMar w:left="50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Description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740" w:space="720"/>
            <w:col w:w="2360" w:space="720"/>
            <w:col w:w="4419"/>
          </w:cols>
          <w:pgMar w:left="500" w:top="28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5" w:lineRule="exact"/>
        <w:rPr>
          <w:sz w:val="20"/>
          <w:szCs w:val="20"/>
          <w:color w:val="auto"/>
        </w:rPr>
      </w:pPr>
    </w:p>
    <w:p>
      <w:pPr>
        <w:sectPr>
          <w:pgSz w:w="11900" w:h="16838" w:orient="portrait"/>
          <w:cols w:equalWidth="0" w:num="2">
            <w:col w:w="1840" w:space="720"/>
            <w:col w:w="7399"/>
          </w:cols>
          <w:pgMar w:left="50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Page 8 of 8</w:t>
      </w:r>
    </w:p>
    <w:p>
      <w:pPr>
        <w:sectPr>
          <w:pgSz w:w="11900" w:h="16838" w:orient="portrait"/>
          <w:cols w:equalWidth="0" w:num="1">
            <w:col w:w="9959"/>
          </w:cols>
          <w:pgMar w:left="500" w:top="283"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5</w:t>
      </w:r>
    </w:p>
    <w:p>
      <w:pPr>
        <w:spacing w:after="0"/>
        <w:rPr>
          <w:sz w:val="20"/>
          <w:szCs w:val="20"/>
          <w:color w:val="auto"/>
        </w:rPr>
      </w:pPr>
      <w:r>
        <w:rPr>
          <w:rFonts w:ascii="Courier New" w:cs="Courier New" w:eastAsia="Courier New" w:hAnsi="Courier New"/>
          <w:sz w:val="15"/>
          <w:szCs w:val="15"/>
          <w:color w:val="auto"/>
        </w:rPr>
        <w:t>1,000</w:t>
      </w:r>
    </w:p>
    <w:p>
      <w:pPr>
        <w:spacing w:after="0" w:line="33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9-MOS</w:t>
      </w:r>
    </w:p>
    <w:p>
      <w:pPr>
        <w:ind w:left="2200"/>
        <w:spacing w:after="0"/>
        <w:rPr>
          <w:sz w:val="20"/>
          <w:szCs w:val="20"/>
          <w:color w:val="auto"/>
        </w:rPr>
      </w:pPr>
      <w:r>
        <w:rPr>
          <w:rFonts w:ascii="Courier New" w:cs="Courier New" w:eastAsia="Courier New" w:hAnsi="Courier New"/>
          <w:sz w:val="15"/>
          <w:szCs w:val="15"/>
          <w:color w:val="auto"/>
        </w:rPr>
        <w:t>NOV-30-1996</w:t>
      </w:r>
    </w:p>
    <w:p>
      <w:pPr>
        <w:ind w:left="2460"/>
        <w:spacing w:after="0"/>
        <w:rPr>
          <w:sz w:val="20"/>
          <w:szCs w:val="20"/>
          <w:color w:val="auto"/>
        </w:rPr>
      </w:pPr>
      <w:r>
        <w:rPr>
          <w:rFonts w:ascii="Courier New" w:cs="Courier New" w:eastAsia="Courier New" w:hAnsi="Courier New"/>
          <w:sz w:val="15"/>
          <w:szCs w:val="15"/>
          <w:color w:val="auto"/>
        </w:rPr>
        <w:t>DEC-01-1995</w:t>
      </w:r>
    </w:p>
    <w:p>
      <w:pPr>
        <w:ind w:left="2640"/>
        <w:spacing w:after="0" w:line="238" w:lineRule="auto"/>
        <w:rPr>
          <w:sz w:val="20"/>
          <w:szCs w:val="20"/>
          <w:color w:val="auto"/>
        </w:rPr>
      </w:pPr>
      <w:r>
        <w:rPr>
          <w:rFonts w:ascii="Courier New" w:cs="Courier New" w:eastAsia="Courier New" w:hAnsi="Courier New"/>
          <w:sz w:val="15"/>
          <w:szCs w:val="15"/>
          <w:color w:val="auto"/>
        </w:rPr>
        <w:t>AUG-31-1996</w:t>
      </w:r>
    </w:p>
    <w:p>
      <w:pPr>
        <w:ind w:left="3620"/>
        <w:spacing w:after="0"/>
        <w:rPr>
          <w:sz w:val="20"/>
          <w:szCs w:val="20"/>
          <w:color w:val="auto"/>
        </w:rPr>
      </w:pPr>
      <w:r>
        <w:rPr>
          <w:rFonts w:ascii="Courier New" w:cs="Courier New" w:eastAsia="Courier New" w:hAnsi="Courier New"/>
          <w:sz w:val="15"/>
          <w:szCs w:val="15"/>
          <w:color w:val="auto"/>
        </w:rPr>
        <w:t>58,381</w:t>
      </w:r>
    </w:p>
    <w:p>
      <w:pPr>
        <w:ind w:left="3080"/>
        <w:spacing w:after="0"/>
        <w:rPr>
          <w:sz w:val="20"/>
          <w:szCs w:val="20"/>
          <w:color w:val="auto"/>
        </w:rPr>
      </w:pPr>
      <w:r>
        <w:rPr>
          <w:rFonts w:ascii="Courier New" w:cs="Courier New" w:eastAsia="Courier New" w:hAnsi="Courier New"/>
          <w:sz w:val="15"/>
          <w:szCs w:val="15"/>
          <w:color w:val="auto"/>
        </w:rPr>
        <w:t>27,488</w:t>
      </w:r>
    </w:p>
    <w:p>
      <w:pPr>
        <w:ind w:left="3000"/>
        <w:spacing w:after="0" w:line="238" w:lineRule="auto"/>
        <w:rPr>
          <w:sz w:val="20"/>
          <w:szCs w:val="20"/>
          <w:color w:val="auto"/>
        </w:rPr>
      </w:pPr>
      <w:r>
        <w:rPr>
          <w:rFonts w:ascii="Courier New" w:cs="Courier New" w:eastAsia="Courier New" w:hAnsi="Courier New"/>
          <w:sz w:val="15"/>
          <w:szCs w:val="15"/>
          <w:color w:val="auto"/>
        </w:rPr>
        <w:t>64,376</w:t>
      </w:r>
    </w:p>
    <w:p>
      <w:pPr>
        <w:ind w:left="3520"/>
        <w:spacing w:after="0"/>
        <w:rPr>
          <w:sz w:val="20"/>
          <w:szCs w:val="20"/>
          <w:color w:val="auto"/>
        </w:rPr>
      </w:pPr>
      <w:r>
        <w:rPr>
          <w:rFonts w:ascii="Courier New" w:cs="Courier New" w:eastAsia="Courier New" w:hAnsi="Courier New"/>
          <w:sz w:val="15"/>
          <w:szCs w:val="15"/>
          <w:color w:val="auto"/>
        </w:rPr>
        <w:t>0</w:t>
      </w:r>
    </w:p>
    <w:p>
      <w:pPr>
        <w:ind w:left="3180"/>
        <w:spacing w:after="0"/>
        <w:rPr>
          <w:sz w:val="20"/>
          <w:szCs w:val="20"/>
          <w:color w:val="auto"/>
        </w:rPr>
      </w:pPr>
      <w:r>
        <w:rPr>
          <w:rFonts w:ascii="Courier New" w:cs="Courier New" w:eastAsia="Courier New" w:hAnsi="Courier New"/>
          <w:sz w:val="15"/>
          <w:szCs w:val="15"/>
          <w:color w:val="auto"/>
        </w:rPr>
        <w:t>72,551</w:t>
      </w:r>
    </w:p>
    <w:p>
      <w:pPr>
        <w:ind w:left="2640"/>
        <w:spacing w:after="0"/>
        <w:rPr>
          <w:sz w:val="20"/>
          <w:szCs w:val="20"/>
          <w:color w:val="auto"/>
        </w:rPr>
      </w:pPr>
      <w:r>
        <w:rPr>
          <w:rFonts w:ascii="Courier New" w:cs="Courier New" w:eastAsia="Courier New" w:hAnsi="Courier New"/>
          <w:sz w:val="15"/>
          <w:szCs w:val="15"/>
          <w:color w:val="auto"/>
        </w:rPr>
        <w:t>199,480</w:t>
      </w:r>
    </w:p>
    <w:p>
      <w:pPr>
        <w:ind w:left="3520"/>
        <w:spacing w:after="0" w:line="238" w:lineRule="auto"/>
        <w:rPr>
          <w:sz w:val="20"/>
          <w:szCs w:val="20"/>
          <w:color w:val="auto"/>
        </w:rPr>
      </w:pPr>
      <w:r>
        <w:rPr>
          <w:rFonts w:ascii="Courier New" w:cs="Courier New" w:eastAsia="Courier New" w:hAnsi="Courier New"/>
          <w:sz w:val="15"/>
          <w:szCs w:val="15"/>
          <w:color w:val="auto"/>
        </w:rPr>
        <w:t>217,630</w:t>
      </w:r>
    </w:p>
    <w:p>
      <w:pPr>
        <w:ind w:left="2820"/>
        <w:spacing w:after="0"/>
        <w:rPr>
          <w:sz w:val="20"/>
          <w:szCs w:val="20"/>
          <w:color w:val="auto"/>
        </w:rPr>
      </w:pPr>
      <w:r>
        <w:rPr>
          <w:rFonts w:ascii="Courier New" w:cs="Courier New" w:eastAsia="Courier New" w:hAnsi="Courier New"/>
          <w:sz w:val="15"/>
          <w:szCs w:val="15"/>
          <w:color w:val="auto"/>
        </w:rPr>
        <w:t>164,802</w:t>
      </w:r>
    </w:p>
    <w:p>
      <w:pPr>
        <w:ind w:left="2820"/>
        <w:spacing w:after="0"/>
        <w:rPr>
          <w:sz w:val="20"/>
          <w:szCs w:val="20"/>
          <w:color w:val="auto"/>
        </w:rPr>
      </w:pPr>
      <w:r>
        <w:rPr>
          <w:rFonts w:ascii="Courier New" w:cs="Courier New" w:eastAsia="Courier New" w:hAnsi="Courier New"/>
          <w:sz w:val="15"/>
          <w:szCs w:val="15"/>
          <w:color w:val="auto"/>
        </w:rPr>
        <w:t>335,109</w:t>
      </w:r>
    </w:p>
    <w:p>
      <w:pPr>
        <w:ind w:left="2300"/>
        <w:spacing w:after="0" w:line="238" w:lineRule="auto"/>
        <w:rPr>
          <w:sz w:val="20"/>
          <w:szCs w:val="20"/>
          <w:color w:val="auto"/>
        </w:rPr>
      </w:pPr>
      <w:r>
        <w:rPr>
          <w:rFonts w:ascii="Courier New" w:cs="Courier New" w:eastAsia="Courier New" w:hAnsi="Courier New"/>
          <w:sz w:val="15"/>
          <w:szCs w:val="15"/>
          <w:color w:val="auto"/>
        </w:rPr>
        <w:t>32,999</w:t>
      </w:r>
    </w:p>
    <w:p>
      <w:pPr>
        <w:ind w:left="3960"/>
        <w:spacing w:after="0"/>
        <w:rPr>
          <w:sz w:val="20"/>
          <w:szCs w:val="20"/>
          <w:color w:val="auto"/>
        </w:rPr>
      </w:pPr>
      <w:r>
        <w:rPr>
          <w:rFonts w:ascii="Courier New" w:cs="Courier New" w:eastAsia="Courier New" w:hAnsi="Courier New"/>
          <w:sz w:val="15"/>
          <w:szCs w:val="15"/>
          <w:color w:val="auto"/>
        </w:rPr>
        <w:t>0</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440"/>
        <w:spacing w:after="0" w:line="238" w:lineRule="auto"/>
        <w:rPr>
          <w:sz w:val="20"/>
          <w:szCs w:val="20"/>
          <w:color w:val="auto"/>
        </w:rPr>
      </w:pPr>
      <w:r>
        <w:rPr>
          <w:rFonts w:ascii="Courier New" w:cs="Courier New" w:eastAsia="Courier New" w:hAnsi="Courier New"/>
          <w:sz w:val="15"/>
          <w:szCs w:val="15"/>
          <w:color w:val="auto"/>
        </w:rPr>
        <w:t>65,714</w:t>
      </w:r>
    </w:p>
    <w:p>
      <w:pPr>
        <w:ind w:left="3180"/>
        <w:spacing w:after="0"/>
        <w:rPr>
          <w:sz w:val="20"/>
          <w:szCs w:val="20"/>
          <w:color w:val="auto"/>
        </w:rPr>
      </w:pPr>
      <w:r>
        <w:rPr>
          <w:rFonts w:ascii="Courier New" w:cs="Courier New" w:eastAsia="Courier New" w:hAnsi="Courier New"/>
          <w:sz w:val="15"/>
          <w:szCs w:val="15"/>
          <w:color w:val="auto"/>
        </w:rPr>
        <w:t>224,644</w:t>
      </w:r>
    </w:p>
    <w:p>
      <w:pPr>
        <w:ind w:left="1580"/>
        <w:spacing w:after="0"/>
        <w:rPr>
          <w:sz w:val="20"/>
          <w:szCs w:val="20"/>
          <w:color w:val="auto"/>
        </w:rPr>
      </w:pPr>
      <w:r>
        <w:rPr>
          <w:rFonts w:ascii="Courier New" w:cs="Courier New" w:eastAsia="Courier New" w:hAnsi="Courier New"/>
          <w:sz w:val="15"/>
          <w:szCs w:val="15"/>
          <w:color w:val="auto"/>
        </w:rPr>
        <w:t>335,109</w:t>
      </w:r>
    </w:p>
    <w:p>
      <w:pPr>
        <w:ind w:left="3440"/>
        <w:spacing w:after="0" w:line="238" w:lineRule="auto"/>
        <w:rPr>
          <w:sz w:val="20"/>
          <w:szCs w:val="20"/>
          <w:color w:val="auto"/>
        </w:rPr>
      </w:pPr>
      <w:r>
        <w:rPr>
          <w:rFonts w:ascii="Courier New" w:cs="Courier New" w:eastAsia="Courier New" w:hAnsi="Courier New"/>
          <w:sz w:val="15"/>
          <w:szCs w:val="15"/>
          <w:color w:val="auto"/>
        </w:rPr>
        <w:t>332,232</w:t>
      </w:r>
    </w:p>
    <w:p>
      <w:pPr>
        <w:ind w:left="2640"/>
        <w:spacing w:after="0"/>
        <w:rPr>
          <w:sz w:val="20"/>
          <w:szCs w:val="20"/>
          <w:color w:val="auto"/>
        </w:rPr>
      </w:pPr>
      <w:r>
        <w:rPr>
          <w:rFonts w:ascii="Courier New" w:cs="Courier New" w:eastAsia="Courier New" w:hAnsi="Courier New"/>
          <w:sz w:val="15"/>
          <w:szCs w:val="15"/>
          <w:color w:val="auto"/>
        </w:rPr>
        <w:t>343,778</w:t>
      </w:r>
    </w:p>
    <w:p>
      <w:pPr>
        <w:jc w:val="right"/>
        <w:ind w:right="5919"/>
        <w:spacing w:after="0"/>
        <w:rPr>
          <w:sz w:val="20"/>
          <w:szCs w:val="20"/>
          <w:color w:val="auto"/>
        </w:rPr>
      </w:pPr>
      <w:r>
        <w:rPr>
          <w:rFonts w:ascii="Courier New" w:cs="Courier New" w:eastAsia="Courier New" w:hAnsi="Courier New"/>
          <w:sz w:val="15"/>
          <w:szCs w:val="15"/>
          <w:color w:val="auto"/>
        </w:rPr>
        <w:t>278,967</w:t>
      </w:r>
    </w:p>
    <w:p>
      <w:pPr>
        <w:ind w:left="2900"/>
        <w:spacing w:after="0"/>
        <w:rPr>
          <w:sz w:val="20"/>
          <w:szCs w:val="20"/>
          <w:color w:val="auto"/>
        </w:rPr>
      </w:pPr>
      <w:r>
        <w:rPr>
          <w:rFonts w:ascii="Courier New" w:cs="Courier New" w:eastAsia="Courier New" w:hAnsi="Courier New"/>
          <w:sz w:val="15"/>
          <w:szCs w:val="15"/>
          <w:color w:val="auto"/>
        </w:rPr>
        <w:t>325,106</w:t>
      </w:r>
    </w:p>
    <w:p>
      <w:pPr>
        <w:ind w:left="3180"/>
        <w:spacing w:after="0" w:line="238" w:lineRule="auto"/>
        <w:rPr>
          <w:sz w:val="20"/>
          <w:szCs w:val="20"/>
          <w:color w:val="auto"/>
        </w:rPr>
      </w:pPr>
      <w:r>
        <w:rPr>
          <w:rFonts w:ascii="Courier New" w:cs="Courier New" w:eastAsia="Courier New" w:hAnsi="Courier New"/>
          <w:sz w:val="15"/>
          <w:szCs w:val="15"/>
          <w:color w:val="auto"/>
        </w:rPr>
        <w:t>0</w:t>
      </w:r>
    </w:p>
    <w:p>
      <w:pPr>
        <w:ind w:left="3000"/>
        <w:spacing w:after="0"/>
        <w:rPr>
          <w:sz w:val="20"/>
          <w:szCs w:val="20"/>
          <w:color w:val="auto"/>
        </w:rPr>
      </w:pPr>
      <w:r>
        <w:rPr>
          <w:rFonts w:ascii="Courier New" w:cs="Courier New" w:eastAsia="Courier New" w:hAnsi="Courier New"/>
          <w:sz w:val="15"/>
          <w:szCs w:val="15"/>
          <w:color w:val="auto"/>
        </w:rPr>
        <w:t>378</w:t>
      </w:r>
    </w:p>
    <w:p>
      <w:pPr>
        <w:ind w:left="2640"/>
        <w:spacing w:after="0"/>
        <w:rPr>
          <w:sz w:val="20"/>
          <w:szCs w:val="20"/>
          <w:color w:val="auto"/>
        </w:rPr>
      </w:pPr>
      <w:r>
        <w:rPr>
          <w:rFonts w:ascii="Courier New" w:cs="Courier New" w:eastAsia="Courier New" w:hAnsi="Courier New"/>
          <w:sz w:val="15"/>
          <w:szCs w:val="15"/>
          <w:color w:val="auto"/>
        </w:rPr>
        <w:t>4,350</w:t>
      </w:r>
    </w:p>
    <w:p>
      <w:pPr>
        <w:ind w:left="2820"/>
        <w:spacing w:after="0" w:line="238" w:lineRule="auto"/>
        <w:rPr>
          <w:sz w:val="20"/>
          <w:szCs w:val="20"/>
          <w:color w:val="auto"/>
        </w:rPr>
      </w:pPr>
      <w:r>
        <w:rPr>
          <w:rFonts w:ascii="Courier New" w:cs="Courier New" w:eastAsia="Courier New" w:hAnsi="Courier New"/>
          <w:sz w:val="15"/>
          <w:szCs w:val="15"/>
          <w:color w:val="auto"/>
        </w:rPr>
        <w:t>18,672</w:t>
      </w:r>
    </w:p>
    <w:p>
      <w:pPr>
        <w:ind w:left="3180"/>
        <w:spacing w:after="0"/>
        <w:rPr>
          <w:sz w:val="20"/>
          <w:szCs w:val="20"/>
          <w:color w:val="auto"/>
        </w:rPr>
      </w:pPr>
      <w:r>
        <w:rPr>
          <w:rFonts w:ascii="Courier New" w:cs="Courier New" w:eastAsia="Courier New" w:hAnsi="Courier New"/>
          <w:sz w:val="15"/>
          <w:szCs w:val="15"/>
          <w:color w:val="auto"/>
        </w:rPr>
        <w:t>4,140</w:t>
      </w:r>
    </w:p>
    <w:p>
      <w:pPr>
        <w:ind w:left="2460"/>
        <w:spacing w:after="0"/>
        <w:rPr>
          <w:sz w:val="20"/>
          <w:szCs w:val="20"/>
          <w:color w:val="auto"/>
        </w:rPr>
      </w:pPr>
      <w:r>
        <w:rPr>
          <w:rFonts w:ascii="Courier New" w:cs="Courier New" w:eastAsia="Courier New" w:hAnsi="Courier New"/>
          <w:sz w:val="15"/>
          <w:szCs w:val="15"/>
          <w:color w:val="auto"/>
        </w:rPr>
        <w:t>14,532</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260"/>
        <w:spacing w:after="0"/>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jc w:val="center"/>
        <w:ind w:right="3459"/>
        <w:spacing w:after="0"/>
        <w:rPr>
          <w:sz w:val="20"/>
          <w:szCs w:val="20"/>
          <w:color w:val="auto"/>
        </w:rPr>
      </w:pPr>
      <w:r>
        <w:rPr>
          <w:rFonts w:ascii="Courier New" w:cs="Courier New" w:eastAsia="Courier New" w:hAnsi="Courier New"/>
          <w:sz w:val="15"/>
          <w:szCs w:val="15"/>
          <w:color w:val="auto"/>
        </w:rPr>
        <w:t>14,532</w:t>
      </w:r>
    </w:p>
    <w:p>
      <w:pPr>
        <w:jc w:val="center"/>
        <w:ind w:right="3459"/>
        <w:spacing w:after="0" w:line="238" w:lineRule="auto"/>
        <w:rPr>
          <w:sz w:val="20"/>
          <w:szCs w:val="20"/>
          <w:color w:val="auto"/>
        </w:rPr>
      </w:pPr>
      <w:r>
        <w:rPr>
          <w:rFonts w:ascii="Courier New" w:cs="Courier New" w:eastAsia="Courier New" w:hAnsi="Courier New"/>
          <w:sz w:val="15"/>
          <w:szCs w:val="15"/>
          <w:color w:val="auto"/>
        </w:rPr>
        <w:t>1.08</w:t>
      </w:r>
    </w:p>
    <w:p>
      <w:pPr>
        <w:jc w:val="center"/>
        <w:ind w:right="317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lvl w:ilvl="1">
      <w:lvlJc w:val="left"/>
      <w:lvlText w:val="(%2)"/>
      <w:numFmt w:val="decimal"/>
      <w:start w:val="27"/>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2019-12-12T05:54:44Z</dcterms:created>
  <dcterms:modified xsi:type="dcterms:W3CDTF">2019-12-12T05:54:44Z</dcterms:modified>
</cp:coreProperties>
</file>