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Specialized Disclosure Report</w:t>
      </w:r>
    </w:p>
    <w:p>
      <w:pPr>
        <w:spacing w:after="0" w:line="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9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Bassett Furniture Industries, Incorporated</w:t>
      </w:r>
    </w:p>
    <w:p>
      <w:pPr>
        <w:spacing w:after="0" w:line="19" w:lineRule="exact"/>
        <w:rPr>
          <w:sz w:val="24"/>
          <w:szCs w:val="24"/>
          <w:color w:val="auto"/>
        </w:rPr>
      </w:pPr>
    </w:p>
    <w:p>
      <w:pPr>
        <w:jc w:val="center"/>
        <w:ind w:right="-49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11"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740" w:type="dxa"/>
            <w:vAlign w:val="bottom"/>
          </w:tcPr>
          <w:p>
            <w:pPr>
              <w:jc w:val="center"/>
              <w:ind w:right="290"/>
              <w:spacing w:after="0"/>
              <w:rPr>
                <w:sz w:val="20"/>
                <w:szCs w:val="20"/>
                <w:color w:val="auto"/>
              </w:rPr>
            </w:pPr>
            <w:r>
              <w:rPr>
                <w:rFonts w:ascii="Arial" w:cs="Arial" w:eastAsia="Arial" w:hAnsi="Arial"/>
                <w:sz w:val="18"/>
                <w:szCs w:val="18"/>
                <w:color w:val="auto"/>
                <w:w w:val="99"/>
              </w:rPr>
              <w:t>Virginia</w:t>
            </w:r>
          </w:p>
        </w:tc>
        <w:tc>
          <w:tcPr>
            <w:tcW w:w="2760" w:type="dxa"/>
            <w:vAlign w:val="bottom"/>
          </w:tcPr>
          <w:p>
            <w:pPr>
              <w:jc w:val="center"/>
              <w:ind w:left="1530"/>
              <w:spacing w:after="0"/>
              <w:rPr>
                <w:sz w:val="20"/>
                <w:szCs w:val="20"/>
                <w:color w:val="auto"/>
              </w:rPr>
            </w:pPr>
            <w:r>
              <w:rPr>
                <w:rFonts w:ascii="Arial" w:cs="Arial" w:eastAsia="Arial" w:hAnsi="Arial"/>
                <w:sz w:val="18"/>
                <w:szCs w:val="18"/>
                <w:color w:val="auto"/>
                <w:w w:val="91"/>
              </w:rPr>
              <w:t>0-209</w:t>
            </w:r>
          </w:p>
        </w:tc>
        <w:tc>
          <w:tcPr>
            <w:tcW w:w="3840" w:type="dxa"/>
            <w:vAlign w:val="bottom"/>
          </w:tcPr>
          <w:p>
            <w:pPr>
              <w:jc w:val="right"/>
              <w:ind w:right="150"/>
              <w:spacing w:after="0"/>
              <w:rPr>
                <w:sz w:val="20"/>
                <w:szCs w:val="20"/>
                <w:color w:val="auto"/>
              </w:rPr>
            </w:pPr>
            <w:r>
              <w:rPr>
                <w:rFonts w:ascii="Arial" w:cs="Arial" w:eastAsia="Arial" w:hAnsi="Arial"/>
                <w:sz w:val="18"/>
                <w:szCs w:val="18"/>
                <w:color w:val="auto"/>
              </w:rPr>
              <w:t>54-0135270</w:t>
            </w:r>
          </w:p>
        </w:tc>
      </w:tr>
      <w:tr>
        <w:trPr>
          <w:trHeight w:val="216"/>
        </w:trPr>
        <w:tc>
          <w:tcPr>
            <w:tcW w:w="2740" w:type="dxa"/>
            <w:vAlign w:val="bottom"/>
          </w:tcPr>
          <w:p>
            <w:pPr>
              <w:jc w:val="center"/>
              <w:ind w:right="290"/>
              <w:spacing w:after="0"/>
              <w:rPr>
                <w:sz w:val="20"/>
                <w:szCs w:val="20"/>
                <w:color w:val="auto"/>
              </w:rPr>
            </w:pPr>
            <w:r>
              <w:rPr>
                <w:rFonts w:ascii="Arial" w:cs="Arial" w:eastAsia="Arial" w:hAnsi="Arial"/>
                <w:sz w:val="18"/>
                <w:szCs w:val="18"/>
                <w:color w:val="auto"/>
                <w:w w:val="91"/>
              </w:rPr>
              <w:t>(State or other jurisdiction</w:t>
            </w:r>
          </w:p>
        </w:tc>
        <w:tc>
          <w:tcPr>
            <w:tcW w:w="2760" w:type="dxa"/>
            <w:vAlign w:val="bottom"/>
          </w:tcPr>
          <w:p>
            <w:pPr>
              <w:jc w:val="center"/>
              <w:ind w:left="1510"/>
              <w:spacing w:after="0"/>
              <w:rPr>
                <w:sz w:val="20"/>
                <w:szCs w:val="20"/>
                <w:color w:val="auto"/>
              </w:rPr>
            </w:pPr>
            <w:r>
              <w:rPr>
                <w:rFonts w:ascii="Arial" w:cs="Arial" w:eastAsia="Arial" w:hAnsi="Arial"/>
                <w:sz w:val="18"/>
                <w:szCs w:val="18"/>
                <w:color w:val="auto"/>
                <w:w w:val="91"/>
              </w:rPr>
              <w:t>(Commission</w:t>
            </w:r>
          </w:p>
        </w:tc>
        <w:tc>
          <w:tcPr>
            <w:tcW w:w="3840" w:type="dxa"/>
            <w:vAlign w:val="bottom"/>
          </w:tcPr>
          <w:p>
            <w:pPr>
              <w:jc w:val="center"/>
              <w:ind w:left="2410"/>
              <w:spacing w:after="0"/>
              <w:rPr>
                <w:sz w:val="20"/>
                <w:szCs w:val="20"/>
                <w:color w:val="auto"/>
              </w:rPr>
            </w:pPr>
            <w:r>
              <w:rPr>
                <w:rFonts w:ascii="Arial" w:cs="Arial" w:eastAsia="Arial" w:hAnsi="Arial"/>
                <w:sz w:val="18"/>
                <w:szCs w:val="18"/>
                <w:color w:val="auto"/>
                <w:w w:val="93"/>
              </w:rPr>
              <w:t>(IRS Employer</w:t>
            </w:r>
          </w:p>
        </w:tc>
      </w:tr>
      <w:tr>
        <w:trPr>
          <w:trHeight w:val="230"/>
        </w:trPr>
        <w:tc>
          <w:tcPr>
            <w:tcW w:w="2740" w:type="dxa"/>
            <w:vAlign w:val="bottom"/>
          </w:tcPr>
          <w:p>
            <w:pPr>
              <w:jc w:val="center"/>
              <w:ind w:right="290"/>
              <w:spacing w:after="0"/>
              <w:rPr>
                <w:sz w:val="20"/>
                <w:szCs w:val="20"/>
                <w:color w:val="auto"/>
              </w:rPr>
            </w:pPr>
            <w:r>
              <w:rPr>
                <w:rFonts w:ascii="Arial" w:cs="Arial" w:eastAsia="Arial" w:hAnsi="Arial"/>
                <w:sz w:val="18"/>
                <w:szCs w:val="18"/>
                <w:color w:val="auto"/>
                <w:w w:val="92"/>
              </w:rPr>
              <w:t>of incorporation or organization)</w:t>
            </w:r>
          </w:p>
        </w:tc>
        <w:tc>
          <w:tcPr>
            <w:tcW w:w="2760" w:type="dxa"/>
            <w:vAlign w:val="bottom"/>
          </w:tcPr>
          <w:p>
            <w:pPr>
              <w:jc w:val="center"/>
              <w:ind w:left="1530"/>
              <w:spacing w:after="0"/>
              <w:rPr>
                <w:sz w:val="20"/>
                <w:szCs w:val="20"/>
                <w:color w:val="auto"/>
              </w:rPr>
            </w:pPr>
            <w:r>
              <w:rPr>
                <w:rFonts w:ascii="Arial" w:cs="Arial" w:eastAsia="Arial" w:hAnsi="Arial"/>
                <w:sz w:val="18"/>
                <w:szCs w:val="18"/>
                <w:color w:val="auto"/>
                <w:w w:val="94"/>
              </w:rPr>
              <w:t>File Number)</w:t>
            </w:r>
          </w:p>
        </w:tc>
        <w:tc>
          <w:tcPr>
            <w:tcW w:w="3840" w:type="dxa"/>
            <w:vAlign w:val="bottom"/>
          </w:tcPr>
          <w:p>
            <w:pPr>
              <w:jc w:val="center"/>
              <w:ind w:left="24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50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3525 Fairystone Park Highway, P.O. Box 626, Bassett, VA</w:t>
            </w:r>
          </w:p>
        </w:tc>
        <w:tc>
          <w:tcPr>
            <w:tcW w:w="3840" w:type="dxa"/>
            <w:vAlign w:val="bottom"/>
          </w:tcPr>
          <w:p>
            <w:pPr>
              <w:jc w:val="right"/>
              <w:ind w:right="350"/>
              <w:spacing w:after="0"/>
              <w:rPr>
                <w:sz w:val="20"/>
                <w:szCs w:val="20"/>
                <w:color w:val="auto"/>
              </w:rPr>
            </w:pPr>
            <w:r>
              <w:rPr>
                <w:rFonts w:ascii="Arial" w:cs="Arial" w:eastAsia="Arial" w:hAnsi="Arial"/>
                <w:sz w:val="18"/>
                <w:szCs w:val="18"/>
                <w:color w:val="auto"/>
              </w:rPr>
              <w:t>24055</w:t>
            </w:r>
          </w:p>
        </w:tc>
      </w:tr>
      <w:tr>
        <w:trPr>
          <w:trHeight w:val="230"/>
        </w:trPr>
        <w:tc>
          <w:tcPr>
            <w:tcW w:w="550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2410"/>
              <w:spacing w:after="0"/>
              <w:rPr>
                <w:sz w:val="20"/>
                <w:szCs w:val="20"/>
                <w:color w:val="auto"/>
              </w:rPr>
            </w:pPr>
            <w:r>
              <w:rPr>
                <w:rFonts w:ascii="Arial" w:cs="Arial" w:eastAsia="Arial" w:hAnsi="Arial"/>
                <w:sz w:val="18"/>
                <w:szCs w:val="18"/>
                <w:color w:val="auto"/>
                <w:w w:val="91"/>
              </w:rPr>
              <w:t>(Zip Code)</w:t>
            </w:r>
          </w:p>
        </w:tc>
      </w:tr>
      <w:tr>
        <w:trPr>
          <w:trHeight w:val="432"/>
        </w:trPr>
        <w:tc>
          <w:tcPr>
            <w:tcW w:w="2740" w:type="dxa"/>
            <w:vAlign w:val="bottom"/>
          </w:tcPr>
          <w:p>
            <w:pPr>
              <w:spacing w:after="0"/>
              <w:rPr>
                <w:sz w:val="24"/>
                <w:szCs w:val="24"/>
                <w:color w:val="auto"/>
              </w:rPr>
            </w:pPr>
          </w:p>
        </w:tc>
        <w:tc>
          <w:tcPr>
            <w:tcW w:w="2760" w:type="dxa"/>
            <w:vAlign w:val="bottom"/>
          </w:tcPr>
          <w:p>
            <w:pPr>
              <w:ind w:left="380"/>
              <w:spacing w:after="0"/>
              <w:rPr>
                <w:sz w:val="20"/>
                <w:szCs w:val="20"/>
                <w:color w:val="auto"/>
              </w:rPr>
            </w:pPr>
            <w:r>
              <w:rPr>
                <w:rFonts w:ascii="Arial" w:cs="Arial" w:eastAsia="Arial" w:hAnsi="Arial"/>
                <w:sz w:val="18"/>
                <w:szCs w:val="18"/>
                <w:color w:val="auto"/>
              </w:rPr>
              <w:t>Jay R. Hervey</w:t>
            </w:r>
          </w:p>
        </w:tc>
        <w:tc>
          <w:tcPr>
            <w:tcW w:w="3840" w:type="dxa"/>
            <w:vAlign w:val="bottom"/>
          </w:tcPr>
          <w:p>
            <w:pPr>
              <w:jc w:val="right"/>
              <w:ind w:right="2530"/>
              <w:spacing w:after="0"/>
              <w:rPr>
                <w:sz w:val="20"/>
                <w:szCs w:val="20"/>
                <w:color w:val="auto"/>
              </w:rPr>
            </w:pPr>
            <w:r>
              <w:rPr>
                <w:rFonts w:ascii="Arial" w:cs="Arial" w:eastAsia="Arial" w:hAnsi="Arial"/>
                <w:sz w:val="18"/>
                <w:szCs w:val="18"/>
                <w:color w:val="auto"/>
                <w:w w:val="97"/>
              </w:rPr>
              <w:t>(276) 629-6000</w:t>
            </w:r>
          </w:p>
        </w:tc>
      </w:tr>
    </w:tbl>
    <w:p>
      <w:pPr>
        <w:jc w:val="center"/>
        <w:ind w:right="-49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5220" w:right="60" w:hanging="4378"/>
        <w:spacing w:after="0" w:line="527" w:lineRule="auto"/>
        <w:tabs>
          <w:tab w:leader="none" w:pos="129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Rule 13p-1 under the Securities Exchange Act (17 CFR 240.13p-1) for the reporting period from January 1 to December 31, </w:t>
      </w:r>
      <w:r>
        <w:rPr>
          <w:rFonts w:ascii="Arial" w:cs="Arial" w:eastAsia="Arial" w:hAnsi="Arial"/>
          <w:sz w:val="18"/>
          <w:szCs w:val="18"/>
          <w:u w:val="single" w:color="auto"/>
          <w:color w:val="auto"/>
        </w:rPr>
        <w:t>2022</w:t>
      </w:r>
      <w:r>
        <w:rPr>
          <w:rFonts w:ascii="Arial" w:cs="Arial" w:eastAsia="Arial" w:hAnsi="Arial"/>
          <w:sz w:val="18"/>
          <w:szCs w:val="18"/>
          <w:color w:val="auto"/>
        </w:rPr>
        <w:t>. Page 1 of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-455930</wp:posOffset>
            </wp:positionV>
            <wp:extent cx="4254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ectPr>
          <w:pgSz w:w="11900" w:h="16838" w:orient="portrait"/>
          <w:cols w:equalWidth="0" w:num="1">
            <w:col w:w="10740"/>
          </w:cols>
          <w:pgMar w:left="320" w:top="463"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w:t>
      </w:r>
      <w:r>
        <w:rPr>
          <w:rFonts w:ascii="Arial" w:cs="Arial" w:eastAsia="Arial" w:hAnsi="Arial"/>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Reasonable Country of Origin Inquiry Related to SEC Conflict Minerals Rule</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Please refer to Rule 13p-1 (Rule 13p-1) under the Securities Exchange Act of 1934 (1934 Act) and the 1934 Act Release No. 34-67716 for definitions of terms used herein, unless otherwise defined herein. In accordance with Rule 13p-1 regarding ‘conflict minerals’ contained in its products for calendar year 2022, Bassett Furniture Industries, Incorporated (“BFI” or the “Company”):</w:t>
      </w:r>
    </w:p>
    <w:p>
      <w:pPr>
        <w:spacing w:after="0" w:line="184" w:lineRule="exact"/>
        <w:rPr>
          <w:sz w:val="20"/>
          <w:szCs w:val="20"/>
          <w:color w:val="auto"/>
        </w:rPr>
      </w:pPr>
    </w:p>
    <w:p>
      <w:pPr>
        <w:ind w:left="980" w:right="10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Established, in 2013, a six point compliance policy for all suppliers of products or components to the Company. Among other requirements, this policy prohibits the use of materials originating in the Democratic Republic of the Congo (DRC) or any adjoining countries and requires all suppliers to fully cooperate in conducting a reasonable country of origin inquiry.</w:t>
      </w:r>
    </w:p>
    <w:p>
      <w:pPr>
        <w:spacing w:after="0" w:line="183" w:lineRule="exact"/>
        <w:rPr>
          <w:rFonts w:ascii="Arial" w:cs="Arial" w:eastAsia="Arial" w:hAnsi="Arial"/>
          <w:sz w:val="18"/>
          <w:szCs w:val="18"/>
          <w:color w:val="auto"/>
        </w:rPr>
      </w:pPr>
    </w:p>
    <w:p>
      <w:pPr>
        <w:ind w:left="980" w:right="380" w:hanging="324"/>
        <w:spacing w:after="0" w:line="308"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Specifically, the policy provides that- </w:t>
      </w:r>
      <w:r>
        <w:rPr>
          <w:rFonts w:ascii="Arial" w:cs="Arial" w:eastAsia="Arial" w:hAnsi="Arial"/>
          <w:sz w:val="17"/>
          <w:szCs w:val="17"/>
          <w:i w:val="1"/>
          <w:iCs w:val="1"/>
          <w:color w:val="auto"/>
        </w:rPr>
        <w:t>[p]ursuant to and in accordance with existing corporate disclosure policies, and in response to the</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imposed by the SEC</w:t>
      </w:r>
      <w:r>
        <w:rPr>
          <w:rFonts w:ascii="Arial" w:cs="Arial" w:eastAsia="Arial" w:hAnsi="Arial"/>
          <w:sz w:val="17"/>
          <w:szCs w:val="17"/>
          <w:color w:val="auto"/>
        </w:rPr>
        <w:t>’</w:t>
      </w:r>
      <w:r>
        <w:rPr>
          <w:rFonts w:ascii="Arial" w:cs="Arial" w:eastAsia="Arial" w:hAnsi="Arial"/>
          <w:sz w:val="17"/>
          <w:szCs w:val="17"/>
          <w:i w:val="1"/>
          <w:iCs w:val="1"/>
          <w:color w:val="auto"/>
        </w:rPr>
        <w:t>s Conflict Minerals Rule, BFI has established the following compliance policy:</w:t>
      </w:r>
    </w:p>
    <w:p>
      <w:pPr>
        <w:spacing w:after="0" w:line="146" w:lineRule="exact"/>
        <w:rPr>
          <w:rFonts w:ascii="Arial" w:cs="Arial" w:eastAsia="Arial" w:hAnsi="Arial"/>
          <w:sz w:val="17"/>
          <w:szCs w:val="17"/>
          <w:color w:val="auto"/>
        </w:rPr>
      </w:pPr>
    </w:p>
    <w:p>
      <w:pPr>
        <w:ind w:left="1620" w:right="340" w:hanging="316"/>
        <w:spacing w:after="0" w:line="277"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BFI will undertake all necessary and appropriate measures to address due diligence and reasonable inquiries for its products in accordance with the requirements of the Conflict Minerals Rule.</w:t>
      </w:r>
    </w:p>
    <w:p>
      <w:pPr>
        <w:spacing w:after="0" w:line="170" w:lineRule="exact"/>
        <w:rPr>
          <w:rFonts w:ascii="Arial" w:cs="Arial" w:eastAsia="Arial" w:hAnsi="Arial"/>
          <w:sz w:val="18"/>
          <w:szCs w:val="18"/>
          <w:i w:val="1"/>
          <w:iCs w:val="1"/>
          <w:color w:val="auto"/>
        </w:rPr>
      </w:pPr>
    </w:p>
    <w:p>
      <w:pPr>
        <w:ind w:left="1620" w:right="40" w:hanging="316"/>
        <w:spacing w:after="0" w:line="277"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 addition to all other diligence and data compilation efforts, BFI will establish an internal program to coordinate thorough review of its supply chain on at least an annual basis.</w:t>
      </w:r>
    </w:p>
    <w:p>
      <w:pPr>
        <w:spacing w:after="0" w:line="170" w:lineRule="exact"/>
        <w:rPr>
          <w:rFonts w:ascii="Arial" w:cs="Arial" w:eastAsia="Arial" w:hAnsi="Arial"/>
          <w:sz w:val="18"/>
          <w:szCs w:val="18"/>
          <w:i w:val="1"/>
          <w:iCs w:val="1"/>
          <w:color w:val="auto"/>
        </w:rPr>
      </w:pPr>
    </w:p>
    <w:p>
      <w:pPr>
        <w:ind w:left="1620" w:right="20" w:hanging="316"/>
        <w:spacing w:after="0" w:line="257"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As part of such internal program and consistent with the standards and requirements of the final Conflict Minerals Rule, all BFI furniture suppliers and contractors will be required to (A) conduct a reasonable country of origin inquiry of any materials, products, or components sold or delivered to BFI under any supply agreement, and (B) provide reasonable evidence to BFI certifying (i) that no conflict minerals originating from the DRC or any adjacent country were used in the products sold to BFI, or, (ii) that conflict minerals are included or contained in such materials, products, or components.</w:t>
      </w:r>
    </w:p>
    <w:p>
      <w:pPr>
        <w:spacing w:after="0" w:line="187" w:lineRule="exact"/>
        <w:rPr>
          <w:rFonts w:ascii="Arial" w:cs="Arial" w:eastAsia="Arial" w:hAnsi="Arial"/>
          <w:sz w:val="18"/>
          <w:szCs w:val="18"/>
          <w:i w:val="1"/>
          <w:iCs w:val="1"/>
          <w:color w:val="auto"/>
        </w:rPr>
      </w:pPr>
    </w:p>
    <w:p>
      <w:pPr>
        <w:ind w:left="1620" w:right="180" w:hanging="316"/>
        <w:spacing w:after="0" w:line="259" w:lineRule="auto"/>
        <w:tabs>
          <w:tab w:leader="none" w:pos="16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Upon request, all suppliers will be required to provide (A) a detailed description of the materials, products, or components sold or delivered to BFI that contain conflict minerals, and (B) a detailed narrative explanation and all relevant documentation evidence supporting the specific due diligence methods and standards utilized by the supplier to determine the original market source and country of origin of such conflict minerals.</w:t>
      </w:r>
    </w:p>
    <w:p>
      <w:pPr>
        <w:spacing w:after="0" w:line="186" w:lineRule="exact"/>
        <w:rPr>
          <w:rFonts w:ascii="Arial" w:cs="Arial" w:eastAsia="Arial" w:hAnsi="Arial"/>
          <w:sz w:val="18"/>
          <w:szCs w:val="18"/>
          <w:i w:val="1"/>
          <w:iCs w:val="1"/>
          <w:color w:val="auto"/>
        </w:rPr>
      </w:pPr>
    </w:p>
    <w:p>
      <w:pPr>
        <w:ind w:left="1620" w:right="360" w:hanging="316"/>
        <w:spacing w:after="0" w:line="342" w:lineRule="auto"/>
        <w:tabs>
          <w:tab w:leader="none" w:pos="162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All suppliers will be required to fully cooperate with BFI at all times to coordinate and execute all necessary and appropriate measures to compile and disclose information in furtherance of BFI</w:t>
      </w:r>
      <w:r>
        <w:rPr>
          <w:rFonts w:ascii="Arial" w:cs="Arial" w:eastAsia="Arial" w:hAnsi="Arial"/>
          <w:sz w:val="16"/>
          <w:szCs w:val="16"/>
          <w:color w:val="auto"/>
        </w:rPr>
        <w:t>’</w:t>
      </w:r>
      <w:r>
        <w:rPr>
          <w:rFonts w:ascii="Arial" w:cs="Arial" w:eastAsia="Arial" w:hAnsi="Arial"/>
          <w:sz w:val="16"/>
          <w:szCs w:val="16"/>
          <w:i w:val="1"/>
          <w:iCs w:val="1"/>
          <w:color w:val="auto"/>
        </w:rPr>
        <w:t>s compliance obligations under the Conflict Minerals Rule.</w:t>
      </w:r>
    </w:p>
    <w:p>
      <w:pPr>
        <w:spacing w:after="0" w:line="123" w:lineRule="exact"/>
        <w:rPr>
          <w:rFonts w:ascii="Arial" w:cs="Arial" w:eastAsia="Arial" w:hAnsi="Arial"/>
          <w:sz w:val="16"/>
          <w:szCs w:val="16"/>
          <w:i w:val="1"/>
          <w:iCs w:val="1"/>
          <w:color w:val="auto"/>
        </w:rPr>
      </w:pPr>
    </w:p>
    <w:p>
      <w:pPr>
        <w:ind w:left="1620" w:hanging="316"/>
        <w:spacing w:after="0" w:line="308" w:lineRule="auto"/>
        <w:tabs>
          <w:tab w:leader="none" w:pos="1620" w:val="left"/>
        </w:tabs>
        <w:numPr>
          <w:ilvl w:val="1"/>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All suppliers to BFI are required to develop policies for the reasonable prevention of any conflict minerals originating from the DRC and surrounding countries to be contained in any materials, products, or components sold or delivered to BFI.</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ind w:left="980" w:right="1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policy was distributed to suppliers of products contracted by the Company for manufacture or of component items used in products manufactured by the Company that may contain conflict minerals.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Declaration forms for CY 2022 were provided to each vendor described above. The vendor was to declare ‘no conflict minerals present’ or ‘conflict minerals present’ with additional information provided.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responses of the majority of the vendors whose declaration forms indicated no conflict materials are present.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Evaluated the responses of the few vendors whose declaration forms indicated that some conflict minerals are present.</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primary material identified was tin as used in solder.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 vendor identified the DRC or any adjoining countries as a country of origin for any conflict mineral(s).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no reason to believe that any necessary conflict minerals may have originated in the DRC or any adjoining country.</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Bassett Furniture Industries,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ind w:left="60"/>
              <w:spacing w:after="0"/>
              <w:rPr>
                <w:sz w:val="20"/>
                <w:szCs w:val="20"/>
                <w:color w:val="auto"/>
              </w:rPr>
            </w:pPr>
            <w:r>
              <w:rPr>
                <w:rFonts w:ascii="Arial" w:cs="Arial" w:eastAsia="Arial" w:hAnsi="Arial"/>
                <w:sz w:val="18"/>
                <w:szCs w:val="18"/>
                <w:color w:val="auto"/>
                <w:w w:val="91"/>
              </w:rPr>
              <w:t>/s/ J. Michael Daniel - Senior Vice President and Chief Financial Officer</w:t>
            </w:r>
          </w:p>
        </w:tc>
        <w:tc>
          <w:tcPr>
            <w:tcW w:w="1860" w:type="dxa"/>
            <w:vAlign w:val="bottom"/>
          </w:tcPr>
          <w:p>
            <w:pPr>
              <w:spacing w:after="0"/>
              <w:rPr>
                <w:sz w:val="17"/>
                <w:szCs w:val="17"/>
                <w:color w:val="auto"/>
              </w:rPr>
            </w:pPr>
          </w:p>
        </w:tc>
        <w:tc>
          <w:tcPr>
            <w:tcW w:w="2120" w:type="dxa"/>
            <w:vAlign w:val="bottom"/>
            <w:gridSpan w:val="2"/>
          </w:tcPr>
          <w:p>
            <w:pPr>
              <w:ind w:left="1120"/>
              <w:spacing w:after="0"/>
              <w:rPr>
                <w:sz w:val="20"/>
                <w:szCs w:val="20"/>
                <w:color w:val="auto"/>
              </w:rPr>
            </w:pPr>
            <w:r>
              <w:rPr>
                <w:rFonts w:ascii="Arial" w:cs="Arial" w:eastAsia="Arial" w:hAnsi="Arial"/>
                <w:sz w:val="18"/>
                <w:szCs w:val="18"/>
                <w:color w:val="auto"/>
                <w:w w:val="89"/>
              </w:rPr>
              <w:t>May 30, 2023</w:t>
            </w:r>
          </w:p>
        </w:tc>
      </w:tr>
      <w:tr>
        <w:trPr>
          <w:trHeight w:val="20"/>
        </w:trPr>
        <w:tc>
          <w:tcPr>
            <w:tcW w:w="52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By (Signature and Title)</w:t>
            </w:r>
          </w:p>
        </w:tc>
        <w:tc>
          <w:tcPr>
            <w:tcW w:w="1860" w:type="dxa"/>
            <w:vAlign w:val="bottom"/>
          </w:tcPr>
          <w:p>
            <w:pPr>
              <w:spacing w:after="0"/>
              <w:rPr>
                <w:sz w:val="20"/>
                <w:szCs w:val="20"/>
                <w:color w:val="auto"/>
              </w:rPr>
            </w:pPr>
          </w:p>
        </w:tc>
        <w:tc>
          <w:tcPr>
            <w:tcW w:w="2120" w:type="dxa"/>
            <w:vAlign w:val="bottom"/>
            <w:gridSpan w:val="2"/>
          </w:tcPr>
          <w:p>
            <w:pPr>
              <w:ind w:left="1120"/>
              <w:spacing w:after="0"/>
              <w:rPr>
                <w:sz w:val="20"/>
                <w:szCs w:val="20"/>
                <w:color w:val="auto"/>
              </w:rPr>
            </w:pPr>
            <w:r>
              <w:rPr>
                <w:rFonts w:ascii="Arial" w:cs="Arial" w:eastAsia="Arial" w:hAnsi="Arial"/>
                <w:sz w:val="18"/>
                <w:szCs w:val="18"/>
                <w:color w:val="auto"/>
              </w:rPr>
              <w:t>(Date)</w:t>
            </w:r>
          </w:p>
        </w:tc>
      </w:tr>
      <w:tr>
        <w:trPr>
          <w:trHeight w:val="432"/>
        </w:trPr>
        <w:tc>
          <w:tcPr>
            <w:tcW w:w="7140" w:type="dxa"/>
            <w:vAlign w:val="bottom"/>
            <w:gridSpan w:val="2"/>
          </w:tcPr>
          <w:p>
            <w:pPr>
              <w:ind w:left="5220"/>
              <w:spacing w:after="0"/>
              <w:rPr>
                <w:sz w:val="20"/>
                <w:szCs w:val="20"/>
                <w:color w:val="auto"/>
              </w:rPr>
            </w:pPr>
            <w:r>
              <w:rPr>
                <w:rFonts w:ascii="Arial" w:cs="Arial" w:eastAsia="Arial" w:hAnsi="Arial"/>
                <w:sz w:val="18"/>
                <w:szCs w:val="18"/>
                <w:color w:val="auto"/>
              </w:rPr>
              <w:t>Page 3 of 3</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320" w:top="58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upperLetter"/>
      <w:start w:val="1"/>
    </w:lvl>
    <w:lvl w:ilvl="1">
      <w:lvlJc w:val="left"/>
      <w:lvlText w:val="%2."/>
      <w:numFmt w:val="decimal"/>
      <w:start w:val="1"/>
    </w:lvl>
  </w:abstractNum>
  <w:abstractNum w:abstractNumId="2">
    <w:nsid w:val="19495CFF"/>
    <w:multiLevelType w:val="hybridMultilevel"/>
    <w:lvl w:ilvl="0">
      <w:lvlJc w:val="left"/>
      <w:lvlText w:val="%1."/>
      <w:numFmt w:val="upperLetter"/>
      <w:start w:val="3"/>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2023-05-30T11:16:12Z</dcterms:created>
  <dcterms:modified xsi:type="dcterms:W3CDTF">2023-05-30T11:16:12Z</dcterms:modified>
</cp:coreProperties>
</file>