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right="3039" w:hanging="1168"/>
        <w:spacing w:after="0" w:line="347"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MAY 29,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left="2440" w:right="2939" w:hanging="1168"/>
        <w:spacing w:after="0" w:line="347" w:lineRule="auto"/>
        <w:tabs>
          <w:tab w:leader="none" w:pos="149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_________________________ to ____________________</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 0-209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148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Virginia</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54-0135270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rPr>
              <w:t>of incorporation or organization)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No.)</w:t>
            </w:r>
          </w:p>
        </w:tc>
      </w:tr>
    </w:tbl>
    <w:p>
      <w:pPr>
        <w:spacing w:after="0" w:line="10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3525 Fairystone Park Highway</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Bassett, Virginia 24055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ind w:left="3700"/>
        <w:spacing w:after="0"/>
        <w:rPr>
          <w:sz w:val="20"/>
          <w:szCs w:val="20"/>
          <w:color w:val="auto"/>
        </w:rPr>
      </w:pPr>
      <w:r>
        <w:rPr>
          <w:rFonts w:ascii="Courier New" w:cs="Courier New" w:eastAsia="Courier New" w:hAnsi="Courier New"/>
          <w:sz w:val="18"/>
          <w:szCs w:val="18"/>
          <w:color w:val="auto"/>
        </w:rPr>
        <w:t>(Zip Code)</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(540) 629-6000</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jc w:val="both"/>
        <w:ind w:right="1779"/>
        <w:spacing w:after="0" w:line="30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w:t>
      </w:r>
    </w:p>
    <w:p>
      <w:pPr>
        <w:sectPr>
          <w:pgSz w:w="11900" w:h="16838" w:orient="portrait"/>
          <w:cols w:equalWidth="0" w:num="1">
            <w:col w:w="10219"/>
          </w:cols>
          <w:pgMar w:left="240" w:top="218" w:right="1440" w:bottom="1440" w:gutter="0" w:footer="0" w:header="0"/>
        </w:sectPr>
      </w:pPr>
    </w:p>
    <w:p>
      <w:pPr>
        <w:spacing w:after="0" w:line="1" w:lineRule="exact"/>
        <w:rPr>
          <w:sz w:val="24"/>
          <w:szCs w:val="24"/>
          <w:color w:val="auto"/>
        </w:rPr>
      </w:pPr>
    </w:p>
    <w:p>
      <w:pPr>
        <w:jc w:val="both"/>
        <w:ind w:left="2640" w:hanging="3159"/>
        <w:spacing w:after="0"/>
        <w:tabs>
          <w:tab w:leader="none" w:pos="2620" w:val="left"/>
        </w:tabs>
        <w:rPr>
          <w:sz w:val="20"/>
          <w:szCs w:val="20"/>
          <w:color w:val="auto"/>
        </w:rPr>
      </w:pPr>
      <w:r>
        <w:rPr>
          <w:rFonts w:ascii="Courier New" w:cs="Courier New" w:eastAsia="Courier New" w:hAnsi="Courier New"/>
          <w:sz w:val="18"/>
          <w:szCs w:val="18"/>
          <w:color w:val="auto"/>
        </w:rPr>
        <w:t>for the past 90 days.</w:t>
      </w:r>
      <w:r>
        <w:rPr>
          <w:sz w:val="20"/>
          <w:szCs w:val="20"/>
          <w:color w:val="auto"/>
        </w:rPr>
        <w:tab/>
      </w:r>
      <w:r>
        <w:rPr>
          <w:rFonts w:ascii="Courier New" w:cs="Courier New" w:eastAsia="Courier New" w:hAnsi="Courier New"/>
          <w:sz w:val="18"/>
          <w:szCs w:val="18"/>
          <w:color w:val="auto"/>
        </w:rPr>
        <w:t>Yes X No ---</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120" w:space="100"/>
            <w:col w:w="5999"/>
          </w:cols>
          <w:pgMar w:left="240" w:top="218" w:right="1440" w:bottom="1440" w:gutter="0" w:footer="0" w:header="0"/>
          <w:type w:val="continuous"/>
        </w:sectPr>
      </w:pPr>
    </w:p>
    <w:p>
      <w:pPr>
        <w:spacing w:after="0" w:line="24" w:lineRule="exact"/>
        <w:rPr>
          <w:sz w:val="24"/>
          <w:szCs w:val="24"/>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At July 6, 1999, 12,516,857 shares of common stock of the Registrant were outstanding.</w:t>
      </w:r>
    </w:p>
    <w:p>
      <w:pPr>
        <w:spacing w:after="0" w:line="22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 of 14</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2520"/>
        <w:spacing w:after="0" w:line="238" w:lineRule="auto"/>
        <w:rPr>
          <w:sz w:val="20"/>
          <w:szCs w:val="20"/>
          <w:color w:val="auto"/>
        </w:rPr>
      </w:pPr>
      <w:r>
        <w:rPr>
          <w:rFonts w:ascii="Courier New" w:cs="Courier New" w:eastAsia="Courier New" w:hAnsi="Courier New"/>
          <w:sz w:val="18"/>
          <w:szCs w:val="18"/>
          <w:color w:val="auto"/>
        </w:rPr>
        <w:t>BASSETT FURNITURE INDUSTRIES, INCORPORATED AND SUBSIDIARIES</w:t>
      </w:r>
    </w:p>
    <w:p>
      <w:pPr>
        <w:jc w:val="center"/>
        <w:ind w:right="2520"/>
        <w:spacing w:after="0"/>
        <w:rPr>
          <w:sz w:val="20"/>
          <w:szCs w:val="20"/>
          <w:color w:val="auto"/>
        </w:rPr>
      </w:pPr>
      <w:r>
        <w:rPr>
          <w:rFonts w:ascii="Courier New" w:cs="Courier New" w:eastAsia="Courier New" w:hAnsi="Courier New"/>
          <w:sz w:val="18"/>
          <w:szCs w:val="18"/>
          <w:color w:val="auto"/>
        </w:rPr>
        <w:t>CONDENSED CONSOLIDATED STATEMENTS OF INCOME AND RETAINED EARNINGS - UNAUDITED</w:t>
      </w:r>
    </w:p>
    <w:tbl>
      <w:tblPr>
        <w:tblLayout w:type="fixed"/>
        <w:tblInd w:w="0" w:type="dxa"/>
        <w:tblCellMar>
          <w:top w:w="0" w:type="dxa"/>
          <w:left w:w="0" w:type="dxa"/>
          <w:bottom w:w="0" w:type="dxa"/>
          <w:right w:w="0" w:type="dxa"/>
        </w:tblCellMar>
      </w:tblPr>
      <w:tr>
        <w:trPr>
          <w:trHeight w:val="296"/>
        </w:trPr>
        <w:tc>
          <w:tcPr>
            <w:tcW w:w="62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(in thousands except per share data)</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4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c>
          <w:tcPr>
            <w:tcW w:w="5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QUARTER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MAY 29, 1999</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MAY 30, 1998</w:t>
            </w: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MAY, 29 1999</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30, 1998</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$ 203,468</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$ 196,668</w:t>
            </w:r>
          </w:p>
        </w:tc>
        <w:tc>
          <w:tcPr>
            <w:tcW w:w="1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$ 103,659</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98,335</w:t>
            </w: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5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161,428</w:t>
            </w:r>
          </w:p>
        </w:tc>
        <w:tc>
          <w:tcPr>
            <w:tcW w:w="3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160,559</w:t>
            </w:r>
          </w:p>
        </w:tc>
        <w:tc>
          <w:tcPr>
            <w:tcW w:w="58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81,195</w:t>
            </w:r>
          </w:p>
        </w:tc>
        <w:tc>
          <w:tcPr>
            <w:tcW w:w="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79,808</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42,040</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36,109</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22,464</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18,527</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35,009</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32,153</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18,479</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16,374</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7,031</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3,956</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3,985</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2,153</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6,808</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5,860</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3,456</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3,113</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13,839</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9,816</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7,441</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5,266</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580" w:type="dxa"/>
            <w:vAlign w:val="bottom"/>
          </w:tcPr>
          <w:p>
            <w:pPr>
              <w:spacing w:after="0"/>
              <w:rPr>
                <w:sz w:val="24"/>
                <w:szCs w:val="24"/>
                <w:color w:val="auto"/>
              </w:rPr>
            </w:pP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(4,364)</w:t>
            </w:r>
          </w:p>
        </w:tc>
        <w:tc>
          <w:tcPr>
            <w:tcW w:w="38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(2,422)</w:t>
            </w:r>
          </w:p>
        </w:tc>
        <w:tc>
          <w:tcPr>
            <w:tcW w:w="5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(2,381)</w:t>
            </w:r>
          </w:p>
        </w:tc>
        <w:tc>
          <w:tcPr>
            <w:tcW w:w="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(1,307)</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9,475</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7,394</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5,060</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3,959</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Retained earnings-beginning of period</w:t>
            </w:r>
          </w:p>
        </w:tc>
        <w:tc>
          <w:tcPr>
            <w:tcW w:w="58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193,130</w:t>
            </w:r>
          </w:p>
        </w:tc>
        <w:tc>
          <w:tcPr>
            <w:tcW w:w="3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188,761</w:t>
            </w:r>
          </w:p>
        </w:tc>
        <w:tc>
          <w:tcPr>
            <w:tcW w:w="58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192,102</w:t>
            </w:r>
          </w:p>
        </w:tc>
        <w:tc>
          <w:tcPr>
            <w:tcW w:w="6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189,586</w:t>
            </w: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w:t>
            </w:r>
          </w:p>
        </w:tc>
        <w:tc>
          <w:tcPr>
            <w:tcW w:w="5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(5,072)</w:t>
            </w:r>
          </w:p>
        </w:tc>
        <w:tc>
          <w:tcPr>
            <w:tcW w:w="38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(5,225)</w:t>
            </w:r>
          </w:p>
        </w:tc>
        <w:tc>
          <w:tcPr>
            <w:tcW w:w="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(2,521)</w:t>
            </w:r>
          </w:p>
        </w:tc>
        <w:tc>
          <w:tcPr>
            <w:tcW w:w="6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(2,615)</w:t>
            </w: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and retirement of</w:t>
            </w:r>
          </w:p>
        </w:tc>
        <w:tc>
          <w:tcPr>
            <w:tcW w:w="580" w:type="dxa"/>
            <w:vAlign w:val="bottom"/>
          </w:tcPr>
          <w:p>
            <w:pPr>
              <w:spacing w:after="0"/>
              <w:rPr>
                <w:sz w:val="17"/>
                <w:szCs w:val="17"/>
                <w:color w:val="auto"/>
              </w:rPr>
            </w:pPr>
          </w:p>
        </w:tc>
        <w:tc>
          <w:tcPr>
            <w:tcW w:w="14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(5,709)</w:t>
            </w:r>
          </w:p>
        </w:tc>
        <w:tc>
          <w:tcPr>
            <w:tcW w:w="380" w:type="dxa"/>
            <w:vAlign w:val="bottom"/>
          </w:tcPr>
          <w:p>
            <w:pPr>
              <w:spacing w:after="0"/>
              <w:rPr>
                <w:sz w:val="17"/>
                <w:szCs w:val="17"/>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(2,817)</w:t>
            </w:r>
          </w:p>
        </w:tc>
        <w:tc>
          <w:tcPr>
            <w:tcW w:w="68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5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Retained earnings-end of period</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$ 191,824</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$ 190,930</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$ 191,824</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$ 190,930</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0.75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0.57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0.40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0.75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0.56</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0.40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Dividends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0.40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0.20</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right="3040"/>
        <w:spacing w:after="0" w:line="347" w:lineRule="auto"/>
        <w:rPr>
          <w:sz w:val="20"/>
          <w:szCs w:val="20"/>
          <w:color w:val="auto"/>
        </w:rPr>
      </w:pPr>
      <w:r>
        <w:rPr>
          <w:rFonts w:ascii="Courier New" w:cs="Courier New" w:eastAsia="Courier New" w:hAnsi="Courier New"/>
          <w:sz w:val="18"/>
          <w:szCs w:val="18"/>
          <w:color w:val="auto"/>
        </w:rPr>
        <w:t>The accompanying notes to condensed consolidated financial statements are an integral part of the condensed consolidated financial statements.</w:t>
      </w: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 of 14</w:t>
      </w:r>
    </w:p>
    <w:p>
      <w:pPr>
        <w:sectPr>
          <w:pgSz w:w="11900" w:h="16838" w:orient="portrait"/>
          <w:cols w:equalWidth="0" w:num="1">
            <w:col w:w="11060"/>
          </w:cols>
          <w:pgMar w:left="240" w:top="285" w:right="59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PART I - FINANCIAL INFORMATION - CONTINUED</w:t>
      </w:r>
    </w:p>
    <w:p>
      <w:pPr>
        <w:ind w:left="1160"/>
        <w:spacing w:after="0" w:line="238" w:lineRule="auto"/>
        <w:rPr>
          <w:sz w:val="20"/>
          <w:szCs w:val="20"/>
          <w:color w:val="auto"/>
        </w:rPr>
      </w:pPr>
      <w:r>
        <w:rPr>
          <w:rFonts w:ascii="Courier New" w:cs="Courier New" w:eastAsia="Courier New" w:hAnsi="Courier New"/>
          <w:sz w:val="18"/>
          <w:szCs w:val="18"/>
          <w:color w:val="auto"/>
        </w:rPr>
        <w:t>BASSETT FURNITURE INDUSTRIES, INCORPORATED AND SUBSIDIARIES</w:t>
      </w:r>
    </w:p>
    <w:p>
      <w:pPr>
        <w:ind w:left="2320"/>
        <w:spacing w:after="0"/>
        <w:rPr>
          <w:sz w:val="20"/>
          <w:szCs w:val="20"/>
          <w:color w:val="auto"/>
        </w:rPr>
      </w:pPr>
      <w:r>
        <w:rPr>
          <w:rFonts w:ascii="Courier New" w:cs="Courier New" w:eastAsia="Courier New" w:hAnsi="Courier New"/>
          <w:sz w:val="18"/>
          <w:szCs w:val="18"/>
          <w:color w:val="auto"/>
        </w:rPr>
        <w:t>CONDENSED CONSOLIDATED BALANCE SHEETS</w:t>
      </w:r>
    </w:p>
    <w:p>
      <w:pPr>
        <w:ind w:left="2440"/>
        <w:spacing w:after="0" w:line="238" w:lineRule="auto"/>
        <w:rPr>
          <w:sz w:val="20"/>
          <w:szCs w:val="20"/>
          <w:color w:val="auto"/>
        </w:rPr>
      </w:pPr>
      <w:r>
        <w:rPr>
          <w:rFonts w:ascii="Courier New" w:cs="Courier New" w:eastAsia="Courier New" w:hAnsi="Courier New"/>
          <w:sz w:val="18"/>
          <w:szCs w:val="18"/>
          <w:color w:val="auto"/>
        </w:rPr>
        <w:t>MAY 29, 1999 AND NOVEMBER 28, 1998</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(Unaudited)</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35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6"/>
              </w:rPr>
              <w:t>May 29, 1999  November 28, 1998</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assets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791</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5,499</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3,313</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8,923</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receivable, net</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58,471</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59,203</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 net</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45,137</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47,285</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2,537</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2,038</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2,287</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8,018</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10,063</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12,682</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 from sale of bedding division (Note H)</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8,175</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current assets</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130,774</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143,648</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&amp; equipment</w:t>
            </w:r>
          </w:p>
        </w:tc>
        <w:tc>
          <w:tcPr>
            <w:tcW w:w="580" w:type="dxa"/>
            <w:vAlign w:val="bottom"/>
          </w:tcPr>
          <w:p>
            <w:pPr>
              <w:spacing w:after="0"/>
              <w:rPr>
                <w:sz w:val="24"/>
                <w:szCs w:val="24"/>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205,065</w:t>
            </w:r>
          </w:p>
        </w:tc>
        <w:tc>
          <w:tcPr>
            <w:tcW w:w="680" w:type="dxa"/>
            <w:vAlign w:val="bottom"/>
          </w:tcPr>
          <w:p>
            <w:pPr>
              <w:spacing w:after="0"/>
              <w:rPr>
                <w:sz w:val="24"/>
                <w:szCs w:val="24"/>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185,392</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w:t>
            </w: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allowances for depreciation</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133,126</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129,005</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property &amp; equipment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71,939</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56,387</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Other long-term assets</w:t>
            </w:r>
          </w:p>
        </w:tc>
        <w:tc>
          <w:tcPr>
            <w:tcW w:w="580" w:type="dxa"/>
            <w:vAlign w:val="bottom"/>
          </w:tcPr>
          <w:p>
            <w:pPr>
              <w:spacing w:after="0"/>
              <w:rPr>
                <w:sz w:val="24"/>
                <w:szCs w:val="24"/>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32,187</w:t>
            </w:r>
          </w:p>
        </w:tc>
        <w:tc>
          <w:tcPr>
            <w:tcW w:w="680" w:type="dxa"/>
            <w:vAlign w:val="bottom"/>
          </w:tcPr>
          <w:p>
            <w:pPr>
              <w:spacing w:after="0"/>
              <w:rPr>
                <w:sz w:val="24"/>
                <w:szCs w:val="24"/>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50,739</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 in affiliated companies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64,183</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52,769</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401</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1,023</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17,843</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16,948</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other long-term assets</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114,614</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121,479</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assets</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$ 317,327</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$ 321,514</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23,021</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20,221</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21,348</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24,514</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current liabilities</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44,369</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44,735</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580" w:type="dxa"/>
            <w:vAlign w:val="bottom"/>
          </w:tcPr>
          <w:p>
            <w:pPr>
              <w:spacing w:after="0"/>
              <w:rPr>
                <w:sz w:val="24"/>
                <w:szCs w:val="24"/>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11,006</w:t>
            </w:r>
          </w:p>
        </w:tc>
        <w:tc>
          <w:tcPr>
            <w:tcW w:w="680" w:type="dxa"/>
            <w:vAlign w:val="bottom"/>
          </w:tcPr>
          <w:p>
            <w:pPr>
              <w:spacing w:after="0"/>
              <w:rPr>
                <w:sz w:val="24"/>
                <w:szCs w:val="24"/>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11,272</w:t>
            </w: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Employee benefits</w:t>
            </w: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595</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long-term liabilities</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11,325</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11,867</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 E)</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80" w:type="dxa"/>
            <w:vAlign w:val="bottom"/>
          </w:tcPr>
          <w:p>
            <w:pPr>
              <w:spacing w:after="0"/>
              <w:rPr>
                <w:sz w:val="24"/>
                <w:szCs w:val="24"/>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62,747</w:t>
            </w:r>
          </w:p>
        </w:tc>
        <w:tc>
          <w:tcPr>
            <w:tcW w:w="680" w:type="dxa"/>
            <w:vAlign w:val="bottom"/>
          </w:tcPr>
          <w:p>
            <w:pPr>
              <w:spacing w:after="0"/>
              <w:rPr>
                <w:sz w:val="24"/>
                <w:szCs w:val="24"/>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64,425</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191,824</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193,130</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Unrealized holding gains, net of tax</w:t>
            </w: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7,872</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8,286</w:t>
            </w:r>
          </w:p>
        </w:tc>
        <w:tc>
          <w:tcPr>
            <w:tcW w:w="0" w:type="dxa"/>
            <w:vAlign w:val="bottom"/>
          </w:tcPr>
          <w:p>
            <w:pPr>
              <w:spacing w:after="0"/>
              <w:rPr>
                <w:sz w:val="1"/>
                <w:szCs w:val="1"/>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Unamortized stock compensation</w:t>
            </w:r>
          </w:p>
        </w:tc>
        <w:tc>
          <w:tcPr>
            <w:tcW w:w="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w:t>
            </w:r>
          </w:p>
        </w:tc>
        <w:tc>
          <w:tcPr>
            <w:tcW w:w="680" w:type="dxa"/>
            <w:vAlign w:val="bottom"/>
          </w:tcPr>
          <w:p>
            <w:pPr>
              <w:spacing w:after="0"/>
              <w:rPr>
                <w:sz w:val="17"/>
                <w:szCs w:val="17"/>
                <w:color w:val="auto"/>
              </w:rPr>
            </w:pP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(929)</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stockholders' equity</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261,633</w:t>
            </w:r>
          </w:p>
        </w:tc>
        <w:tc>
          <w:tcPr>
            <w:tcW w:w="6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264,912</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$ 317,327</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$ 321,514</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85" w:right="1440" w:bottom="186" w:gutter="0" w:footer="0" w:header="0"/>
        </w:sectPr>
      </w:pPr>
    </w:p>
    <w:bookmarkStart w:id="3" w:name="page4"/>
    <w:bookmarkEnd w:id="3"/>
    <w:p>
      <w:pPr>
        <w:ind w:right="2199"/>
        <w:spacing w:after="0" w:line="347" w:lineRule="auto"/>
        <w:rPr>
          <w:sz w:val="20"/>
          <w:szCs w:val="20"/>
          <w:color w:val="auto"/>
        </w:rPr>
      </w:pPr>
      <w:r>
        <w:rPr>
          <w:rFonts w:ascii="Courier New" w:cs="Courier New" w:eastAsia="Courier New" w:hAnsi="Courier New"/>
          <w:sz w:val="18"/>
          <w:szCs w:val="18"/>
          <w:color w:val="auto"/>
        </w:rPr>
        <w:t>The accompanying notes to condensed consolidated financial statements are an integral part of the condensed consolidated financial statements.</w:t>
      </w: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 of 14</w:t>
      </w:r>
    </w:p>
    <w:p>
      <w:pPr>
        <w:sectPr>
          <w:pgSz w:w="11900" w:h="16838" w:orient="portrait"/>
          <w:cols w:equalWidth="0" w:num="1">
            <w:col w:w="10219"/>
          </w:cols>
          <w:pgMar w:left="240" w:top="110"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PART I - FINANCIAL INFORMATION - CONTINUED</w:t>
      </w:r>
    </w:p>
    <w:p>
      <w:pPr>
        <w:ind w:left="1160"/>
        <w:spacing w:after="0" w:line="238" w:lineRule="auto"/>
        <w:rPr>
          <w:sz w:val="20"/>
          <w:szCs w:val="20"/>
          <w:color w:val="auto"/>
        </w:rPr>
      </w:pPr>
      <w:r>
        <w:rPr>
          <w:rFonts w:ascii="Courier New" w:cs="Courier New" w:eastAsia="Courier New" w:hAnsi="Courier New"/>
          <w:sz w:val="18"/>
          <w:szCs w:val="18"/>
          <w:color w:val="auto"/>
        </w:rPr>
        <w:t>BASSETT FURNITURE INDUSTRIES, INCORPORATED AND SUBSIDIARIES</w:t>
      </w:r>
    </w:p>
    <w:p>
      <w:pPr>
        <w:ind w:left="1700"/>
        <w:spacing w:after="0"/>
        <w:rPr>
          <w:sz w:val="20"/>
          <w:szCs w:val="20"/>
          <w:color w:val="auto"/>
        </w:rPr>
      </w:pPr>
      <w:r>
        <w:rPr>
          <w:rFonts w:ascii="Courier New" w:cs="Courier New" w:eastAsia="Courier New" w:hAnsi="Courier New"/>
          <w:sz w:val="18"/>
          <w:szCs w:val="18"/>
          <w:color w:val="auto"/>
        </w:rPr>
        <w:t>CONDENSED CONSOLIDATED STATEMENTS OF CASH FLOWS</w:t>
      </w:r>
    </w:p>
    <w:p>
      <w:pPr>
        <w:ind w:left="740"/>
        <w:spacing w:after="0" w:line="238" w:lineRule="auto"/>
        <w:rPr>
          <w:sz w:val="20"/>
          <w:szCs w:val="20"/>
          <w:color w:val="auto"/>
        </w:rPr>
      </w:pPr>
      <w:r>
        <w:rPr>
          <w:rFonts w:ascii="Courier New" w:cs="Courier New" w:eastAsia="Courier New" w:hAnsi="Courier New"/>
          <w:sz w:val="18"/>
          <w:szCs w:val="18"/>
          <w:color w:val="auto"/>
        </w:rPr>
        <w:t>FOR THE SIX MONTHS ENDED MAY 29, 1999 AND MAY 30, 1998 - UNAUDITED</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9,475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7,394</w:t>
            </w:r>
          </w:p>
        </w:tc>
        <w:tc>
          <w:tcPr>
            <w:tcW w:w="0" w:type="dxa"/>
            <w:vAlign w:val="bottom"/>
          </w:tcPr>
          <w:p>
            <w:pPr>
              <w:spacing w:after="0"/>
              <w:rPr>
                <w:sz w:val="1"/>
                <w:szCs w:val="1"/>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4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4,121</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3,464</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Equity in undistributed income of affiliated companies</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(5,364)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(3,331)</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Provision for losses on trade accounts receivable</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Provision for deferred income taxes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2,608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1,114</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gain from sales of investment securities</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gain from sales of property and equipment</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Compensation earned under restricted stock plan</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c>
          <w:tcPr>
            <w:tcW w:w="0" w:type="dxa"/>
            <w:vAlign w:val="bottom"/>
          </w:tcPr>
          <w:p>
            <w:pPr>
              <w:spacing w:after="0"/>
              <w:rPr>
                <w:sz w:val="1"/>
                <w:szCs w:val="1"/>
                <w:color w:val="auto"/>
              </w:rPr>
            </w:pPr>
          </w:p>
        </w:tc>
      </w:tr>
      <w:tr>
        <w:trPr>
          <w:trHeight w:val="203"/>
        </w:trPr>
        <w:tc>
          <w:tcPr>
            <w:tcW w:w="6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480" w:type="dxa"/>
            <w:vAlign w:val="bottom"/>
          </w:tcPr>
          <w:p>
            <w:pPr>
              <w:spacing w:after="0"/>
              <w:rPr>
                <w:sz w:val="17"/>
                <w:szCs w:val="17"/>
                <w:color w:val="auto"/>
              </w:rPr>
            </w:pPr>
          </w:p>
        </w:tc>
        <w:tc>
          <w:tcPr>
            <w:tcW w:w="12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(1,943)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6,732</w:t>
            </w: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Inventory</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(2,263)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(6,305)</w:t>
            </w: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w:t>
            </w: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Income taxes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5,731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(8,417)</w:t>
            </w:r>
          </w:p>
        </w:tc>
        <w:tc>
          <w:tcPr>
            <w:tcW w:w="0" w:type="dxa"/>
            <w:vAlign w:val="bottom"/>
          </w:tcPr>
          <w:p>
            <w:pPr>
              <w:spacing w:after="0"/>
              <w:rPr>
                <w:sz w:val="1"/>
                <w:szCs w:val="1"/>
                <w:color w:val="auto"/>
              </w:rPr>
            </w:pPr>
          </w:p>
        </w:tc>
      </w:tr>
      <w:tr>
        <w:trPr>
          <w:trHeight w:val="203"/>
        </w:trPr>
        <w:tc>
          <w:tcPr>
            <w:tcW w:w="6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w:t>
            </w:r>
          </w:p>
        </w:tc>
        <w:tc>
          <w:tcPr>
            <w:tcW w:w="0" w:type="dxa"/>
            <w:vAlign w:val="bottom"/>
          </w:tcPr>
          <w:p>
            <w:pPr>
              <w:spacing w:after="0"/>
              <w:rPr>
                <w:sz w:val="1"/>
                <w:szCs w:val="1"/>
                <w:color w:val="auto"/>
              </w:rPr>
            </w:pPr>
          </w:p>
        </w:tc>
      </w:tr>
      <w:tr>
        <w:trPr>
          <w:trHeight w:val="203"/>
        </w:trPr>
        <w:tc>
          <w:tcPr>
            <w:tcW w:w="680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11,428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1,768</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480" w:type="dxa"/>
            <w:vAlign w:val="bottom"/>
          </w:tcPr>
          <w:p>
            <w:pPr>
              <w:spacing w:after="0"/>
              <w:rPr>
                <w:sz w:val="24"/>
                <w:szCs w:val="24"/>
                <w:color w:val="auto"/>
              </w:rPr>
            </w:pPr>
          </w:p>
        </w:tc>
        <w:tc>
          <w:tcPr>
            <w:tcW w:w="12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4"/>
              </w:rPr>
              <w:t>(22,372)</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(7,455)</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sales of property and equipment</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970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3,054</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investment securities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investment securities</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24,439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1,532</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 in affiliated companies</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 from affiliate</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w:t>
            </w: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ind w:left="1160"/>
              <w:spacing w:after="0"/>
              <w:rPr>
                <w:sz w:val="20"/>
                <w:szCs w:val="20"/>
                <w:color w:val="auto"/>
              </w:rPr>
            </w:pPr>
            <w:r>
              <w:rPr>
                <w:rFonts w:ascii="Courier New" w:cs="Courier New" w:eastAsia="Courier New" w:hAnsi="Courier New"/>
                <w:sz w:val="18"/>
                <w:szCs w:val="18"/>
                <w:color w:val="auto"/>
              </w:rPr>
              <w:t>Net cash used in investing activities</w:t>
            </w:r>
          </w:p>
        </w:tc>
        <w:tc>
          <w:tcPr>
            <w:tcW w:w="48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(3,592)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(2,300)</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480" w:type="dxa"/>
            <w:vAlign w:val="bottom"/>
          </w:tcPr>
          <w:p>
            <w:pPr>
              <w:spacing w:after="0"/>
              <w:rPr>
                <w:sz w:val="24"/>
                <w:szCs w:val="24"/>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29</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243</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common stock</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(7,501)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(5,072)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(5,225)</w:t>
            </w:r>
          </w:p>
        </w:tc>
        <w:tc>
          <w:tcPr>
            <w:tcW w:w="0" w:type="dxa"/>
            <w:vAlign w:val="bottom"/>
          </w:tcPr>
          <w:p>
            <w:pPr>
              <w:spacing w:after="0"/>
              <w:rPr>
                <w:sz w:val="1"/>
                <w:szCs w:val="1"/>
                <w:color w:val="auto"/>
              </w:rPr>
            </w:pPr>
          </w:p>
        </w:tc>
      </w:tr>
      <w:tr>
        <w:trPr>
          <w:trHeight w:val="203"/>
        </w:trPr>
        <w:tc>
          <w:tcPr>
            <w:tcW w:w="680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Net cash used in financing activities</w:t>
            </w: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(12,544)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(4,982)</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change in cash and cash equivalents</w:t>
            </w:r>
          </w:p>
        </w:tc>
        <w:tc>
          <w:tcPr>
            <w:tcW w:w="48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(4,708)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(5,514)</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 of period</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5,499</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29,552</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 period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791</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$ 24,038</w:t>
            </w: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800" w:type="dxa"/>
            <w:vAlign w:val="bottom"/>
          </w:tcPr>
          <w:p>
            <w:pPr>
              <w:spacing w:after="0"/>
              <w:rPr>
                <w:sz w:val="20"/>
                <w:szCs w:val="20"/>
                <w:color w:val="auto"/>
              </w:rPr>
            </w:pPr>
            <w:r>
              <w:rPr>
                <w:rFonts w:ascii="Courier New" w:cs="Courier New" w:eastAsia="Courier New" w:hAnsi="Courier New"/>
                <w:sz w:val="18"/>
                <w:szCs w:val="18"/>
                <w:color w:val="auto"/>
              </w:rPr>
              <w:t>Supplemental disclosure of noncash activities: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8,175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 from sale of bedding division (Note H)</w:t>
            </w:r>
          </w:p>
        </w:tc>
        <w:tc>
          <w:tcPr>
            <w:tcW w:w="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80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120" w:right="2099"/>
        <w:spacing w:after="0" w:line="347" w:lineRule="auto"/>
        <w:rPr>
          <w:sz w:val="20"/>
          <w:szCs w:val="20"/>
          <w:color w:val="auto"/>
        </w:rPr>
      </w:pPr>
      <w:r>
        <w:rPr>
          <w:rFonts w:ascii="Courier New" w:cs="Courier New" w:eastAsia="Courier New" w:hAnsi="Courier New"/>
          <w:sz w:val="18"/>
          <w:szCs w:val="18"/>
          <w:color w:val="auto"/>
        </w:rPr>
        <w:t>The accompanying notes to condensed consolidated financial statements are an integral part of the condensed consolidated financial statements.</w:t>
      </w:r>
    </w:p>
    <w:p>
      <w:pPr>
        <w:sectPr>
          <w:pgSz w:w="11900" w:h="16838" w:orient="portrait"/>
          <w:cols w:equalWidth="0" w:num="1">
            <w:col w:w="10219"/>
          </w:cols>
          <w:pgMar w:left="240" w:top="285" w:right="1440" w:bottom="1019" w:gutter="0" w:footer="0" w:header="0"/>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4 of 14</w:t>
      </w:r>
    </w:p>
    <w:p>
      <w:pPr>
        <w:sectPr>
          <w:pgSz w:w="11900" w:h="16838" w:orient="portrait"/>
          <w:cols w:equalWidth="0" w:num="1">
            <w:col w:w="10219"/>
          </w:cols>
          <w:pgMar w:left="240" w:top="285" w:right="1440" w:bottom="1019"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jc w:val="center"/>
        <w:ind w:right="1779"/>
        <w:spacing w:after="0" w:line="323" w:lineRule="auto"/>
        <w:rPr>
          <w:sz w:val="20"/>
          <w:szCs w:val="20"/>
          <w:color w:val="auto"/>
        </w:rPr>
      </w:pPr>
      <w:r>
        <w:rPr>
          <w:rFonts w:ascii="Courier New" w:cs="Courier New" w:eastAsia="Courier New" w:hAnsi="Courier New"/>
          <w:sz w:val="16"/>
          <w:szCs w:val="16"/>
          <w:color w:val="auto"/>
        </w:rPr>
        <w:t>BASSETT FURNITURE INDUSTRIES, INCORPORATED AND SUBSIDIARIES NOTES TO CONDENSED CONSOLIDATED FINANCIAL STATEMENTS-UNAUDITED MAY 29, 1999 (in thousands except share and per share data)</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Basis of presentation:</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Inventories:</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Inventories are carried at last-in, first-out (LIFO) cost which is not in excess of market. Inventories at May 29, 1999 and November 28, 1998 consisted of the following: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May 29,</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November 28,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$ 36,586</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$ 37,430</w:t>
            </w:r>
          </w:p>
        </w:tc>
        <w:tc>
          <w:tcPr>
            <w:tcW w:w="0" w:type="dxa"/>
            <w:vAlign w:val="bottom"/>
          </w:tcPr>
          <w:p>
            <w:pPr>
              <w:spacing w:after="0"/>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8,962</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9,169</w:t>
            </w:r>
          </w:p>
        </w:tc>
        <w:tc>
          <w:tcPr>
            <w:tcW w:w="0" w:type="dxa"/>
            <w:vAlign w:val="bottom"/>
          </w:tcPr>
          <w:p>
            <w:pPr>
              <w:spacing w:after="0"/>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25,909</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26,506</w:t>
            </w:r>
          </w:p>
        </w:tc>
        <w:tc>
          <w:tcPr>
            <w:tcW w:w="0" w:type="dxa"/>
            <w:vAlign w:val="bottom"/>
          </w:tcPr>
          <w:p>
            <w:pPr>
              <w:spacing w:after="0"/>
              <w:rPr>
                <w:sz w:val="1"/>
                <w:szCs w:val="1"/>
                <w:color w:val="auto"/>
              </w:rPr>
            </w:pPr>
          </w:p>
        </w:tc>
      </w:tr>
      <w:tr>
        <w:trPr>
          <w:trHeight w:val="203"/>
        </w:trPr>
        <w:tc>
          <w:tcPr>
            <w:tcW w:w="6600" w:type="dxa"/>
            <w:vAlign w:val="bottom"/>
            <w:vMerge w:val="restart"/>
          </w:tcPr>
          <w:p>
            <w:pPr>
              <w:spacing w:after="0"/>
              <w:rPr>
                <w:sz w:val="20"/>
                <w:szCs w:val="20"/>
                <w:color w:val="auto"/>
              </w:rPr>
            </w:pPr>
            <w:r>
              <w:rPr>
                <w:rFonts w:ascii="Courier New" w:cs="Courier New" w:eastAsia="Courier New" w:hAnsi="Courier New"/>
                <w:sz w:val="18"/>
                <w:szCs w:val="18"/>
                <w:color w:val="auto"/>
              </w:rPr>
              <w:t>Total inventories valued at first-in, first-out (FIFO) cost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71,457</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73,105</w:t>
            </w:r>
          </w:p>
        </w:tc>
        <w:tc>
          <w:tcPr>
            <w:tcW w:w="0" w:type="dxa"/>
            <w:vAlign w:val="bottom"/>
          </w:tcPr>
          <w:p>
            <w:pPr>
              <w:spacing w:after="0"/>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adjustment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(26,320)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(25,820)</w:t>
            </w:r>
          </w:p>
        </w:tc>
        <w:tc>
          <w:tcPr>
            <w:tcW w:w="0" w:type="dxa"/>
            <w:vAlign w:val="bottom"/>
          </w:tcPr>
          <w:p>
            <w:pPr>
              <w:spacing w:after="0"/>
              <w:rPr>
                <w:sz w:val="1"/>
                <w:szCs w:val="1"/>
                <w:color w:val="auto"/>
              </w:rPr>
            </w:pPr>
          </w:p>
        </w:tc>
      </w:tr>
      <w:tr>
        <w:trPr>
          <w:trHeight w:val="203"/>
        </w:trPr>
        <w:tc>
          <w:tcPr>
            <w:tcW w:w="6600" w:type="dxa"/>
            <w:vAlign w:val="bottom"/>
            <w:vMerge w:val="restart"/>
          </w:tcPr>
          <w:p>
            <w:pPr>
              <w:spacing w:after="0"/>
              <w:rPr>
                <w:sz w:val="20"/>
                <w:szCs w:val="20"/>
                <w:color w:val="auto"/>
              </w:rPr>
            </w:pPr>
            <w:r>
              <w:rPr>
                <w:rFonts w:ascii="Courier New" w:cs="Courier New" w:eastAsia="Courier New" w:hAnsi="Courier New"/>
                <w:sz w:val="18"/>
                <w:szCs w:val="18"/>
                <w:color w:val="auto"/>
              </w:rPr>
              <w:t>Total inventories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$ 45,137</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$ 47,285</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Investment in affiliated companies:</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Summarized combined income statement information for the Company's equity method investments for the six months ended May 29, 1999 and May 30, 1998 are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30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96"/>
        </w:trPr>
        <w:tc>
          <w:tcPr>
            <w:tcW w:w="3960" w:type="dxa"/>
            <w:vAlign w:val="bottom"/>
          </w:tcPr>
          <w:p>
            <w:pPr>
              <w:spacing w:after="0"/>
              <w:rPr>
                <w:sz w:val="24"/>
                <w:szCs w:val="24"/>
                <w:color w:val="auto"/>
              </w:rPr>
            </w:pPr>
          </w:p>
        </w:tc>
        <w:tc>
          <w:tcPr>
            <w:tcW w:w="3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$22,200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$20,600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14,549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11,139</w:t>
            </w:r>
          </w:p>
        </w:tc>
      </w:t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8,937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6,987</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Comprehensive income:</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For the quarters ended May 29, 1999, and May 30, 1998, total comprehensive income was $4,839 and $5,643, respectively. Included in total comprehensive income is net income of $5,060 and $3,959 and unrealized holding gains (losses), net of tax of ($221) and $1,684. Comprehensive income was $9,061 and $9,748, consisting of net income of $9,475 and $7,394 and unrealized holding gains (losses), net of tax, of ($414) and $2,354 for the six month periods ended May 29, 1999 and May 30, 1998, respectively.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Contingencies:</w:t>
      </w:r>
    </w:p>
    <w:p>
      <w:pPr>
        <w:spacing w:after="0" w:line="201"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Legislation phased out interest deductions on certain policy loans related to Company owned life insurance (COLI) as of January 1, 1999. The Company recorded cumulative reductions to income tax expenses of approximately $8,000 as the result of COLI interest deductions through November 28, 1998. The Internal Revenue Service, on a national level, is evaluating its position regarding the deductibility of COLI policy loan interest for years prior to January 1, 1999. In 1998 and 1999, the IRS issued several Technical Advice Memoranda regarding the deductibility of certain aspects of COLI for taxpayers unrelated to the Company. Management understands that the adverse position taken by the IRS will be subjected to extensive challenges in court. In the event that the IRS prevails, the outcome could result in a material impact upon the Company's future income taxes and results of operations.</w:t>
      </w:r>
    </w:p>
    <w:p>
      <w:pPr>
        <w:sectPr>
          <w:pgSz w:w="11900" w:h="16838" w:orient="portrait"/>
          <w:cols w:equalWidth="0" w:num="1">
            <w:col w:w="10219"/>
          </w:cols>
          <w:pgMar w:left="240" w:top="285" w:right="1440" w:bottom="0" w:gutter="0" w:footer="0" w:header="0"/>
        </w:sectPr>
      </w:pPr>
    </w:p>
    <w:p>
      <w:pPr>
        <w:spacing w:after="0" w:line="30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5 of 14</w:t>
      </w:r>
    </w:p>
    <w:p>
      <w:pPr>
        <w:sectPr>
          <w:pgSz w:w="11900" w:h="16838" w:orient="portrait"/>
          <w:cols w:equalWidth="0" w:num="1">
            <w:col w:w="10219"/>
          </w:cols>
          <w:pgMar w:left="240" w:top="285"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jc w:val="center"/>
        <w:ind w:right="1779"/>
        <w:spacing w:after="0" w:line="323" w:lineRule="auto"/>
        <w:rPr>
          <w:sz w:val="20"/>
          <w:szCs w:val="20"/>
          <w:color w:val="auto"/>
        </w:rPr>
      </w:pPr>
      <w:r>
        <w:rPr>
          <w:rFonts w:ascii="Courier New" w:cs="Courier New" w:eastAsia="Courier New" w:hAnsi="Courier New"/>
          <w:sz w:val="16"/>
          <w:szCs w:val="16"/>
          <w:color w:val="auto"/>
        </w:rPr>
        <w:t>BASSETT FURNITURE INDUSTRIES, INCORPORATED AND SUBSIDIARIES NOTES TO CONDENSED CONSOLIDATED FINANCIAL STATEMENTS-UNAUDITED MAY 29, 1999 (in thousands except share and per share data)</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Contingencies (continued):</w:t>
      </w:r>
    </w:p>
    <w:p>
      <w:pPr>
        <w:spacing w:after="0" w:line="201"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The Company is also involved in various other claims and actions, including a product specification lawsuit concerning its E. B. Malone subsidiary, and environmental matters at certain of its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Investment Securities:</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In the first quarter of 1999, the Company entered into a series of equity index collars in order to manage equity risk exposures related to its approximate $24 million portfolio of equity securities. The collars expire quarterly over a period of three years commencing December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Earnings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reconciles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Income</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Earnings per</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For the six months ended May 29, 1999</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9,475</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12,704,089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$0.75</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420" w:type="dxa"/>
            <w:vAlign w:val="bottom"/>
          </w:tcPr>
          <w:p>
            <w:pPr>
              <w:spacing w:after="0"/>
              <w:rPr>
                <w:sz w:val="17"/>
                <w:szCs w:val="17"/>
                <w:color w:val="auto"/>
              </w:rPr>
            </w:pP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8,828</w:t>
            </w:r>
          </w:p>
        </w:tc>
        <w:tc>
          <w:tcPr>
            <w:tcW w:w="1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 and restricted stock</w:t>
            </w:r>
          </w:p>
        </w:tc>
        <w:tc>
          <w:tcPr>
            <w:tcW w:w="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earnings per share</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9,475</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12,712,917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$0.75</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6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For the quarter ended May 29, 1999</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5,060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12,613,367</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$0.40</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420" w:type="dxa"/>
            <w:vAlign w:val="bottom"/>
          </w:tcPr>
          <w:p>
            <w:pPr>
              <w:spacing w:after="0"/>
              <w:rPr>
                <w:sz w:val="17"/>
                <w:szCs w:val="17"/>
                <w:color w:val="auto"/>
              </w:rPr>
            </w:pP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11,888</w:t>
            </w:r>
          </w:p>
        </w:tc>
        <w:tc>
          <w:tcPr>
            <w:tcW w:w="1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 and restricted stock</w:t>
            </w:r>
          </w:p>
        </w:tc>
        <w:tc>
          <w:tcPr>
            <w:tcW w:w="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earnings per share</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5,060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12,625,255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$0.40</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6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six months ended May 30, 1998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7,394</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13,023,627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$0.57</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580" w:type="dxa"/>
            <w:vAlign w:val="bottom"/>
          </w:tcPr>
          <w:p>
            <w:pPr>
              <w:spacing w:after="0"/>
              <w:rPr>
                <w:sz w:val="17"/>
                <w:szCs w:val="17"/>
                <w:color w:val="auto"/>
              </w:rPr>
            </w:pP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113,690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 and restricted stock</w:t>
            </w:r>
          </w:p>
        </w:tc>
        <w:tc>
          <w:tcPr>
            <w:tcW w:w="5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earnings per share</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7,394</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13,137,317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$0.56</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6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For the quarter ended May 30, 1998</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3,959</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13,027,005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580" w:type="dxa"/>
            <w:vAlign w:val="bottom"/>
          </w:tcPr>
          <w:p>
            <w:pPr>
              <w:spacing w:after="0"/>
              <w:rPr>
                <w:sz w:val="17"/>
                <w:szCs w:val="17"/>
                <w:color w:val="auto"/>
              </w:rPr>
            </w:pP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131,084</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 and restricted stock</w:t>
            </w:r>
          </w:p>
        </w:tc>
        <w:tc>
          <w:tcPr>
            <w:tcW w:w="5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earnings per share</w:t>
            </w:r>
          </w:p>
        </w:tc>
        <w:tc>
          <w:tcPr>
            <w:tcW w:w="16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3,959</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13,158,089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16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to purchase 1,361,788 shares of common stock at prices ranging from</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$22.50 to $37.40 per share were outstanding during the six months ended May 29, 1999 but were not included in the computation of diluted EPS because the options' exercise prices were greater than the average market price of the</w:t>
      </w:r>
    </w:p>
    <w:p>
      <w:pPr>
        <w:sectPr>
          <w:pgSz w:w="11900" w:h="16838" w:orient="portrait"/>
          <w:cols w:equalWidth="0" w:num="1">
            <w:col w:w="10219"/>
          </w:cols>
          <w:pgMar w:left="240" w:top="285" w:right="1440" w:bottom="0" w:gutter="0" w:footer="0" w:header="0"/>
        </w:sectPr>
      </w:pPr>
    </w:p>
    <w:bookmarkStart w:id="7" w:name="page8"/>
    <w:bookmarkEnd w:id="7"/>
    <w:p>
      <w:pPr>
        <w:ind w:right="2519"/>
        <w:spacing w:after="0" w:line="347" w:lineRule="auto"/>
        <w:rPr>
          <w:sz w:val="20"/>
          <w:szCs w:val="20"/>
          <w:color w:val="auto"/>
        </w:rPr>
      </w:pPr>
      <w:r>
        <w:rPr>
          <w:rFonts w:ascii="Courier New" w:cs="Courier New" w:eastAsia="Courier New" w:hAnsi="Courier New"/>
          <w:sz w:val="18"/>
          <w:szCs w:val="18"/>
          <w:color w:val="auto"/>
        </w:rPr>
        <w:t>common shares. In 1998, 804,898 shares ranging from $32.25 to $37.40 were similarly excluded.</w:t>
      </w: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 of 14</w:t>
      </w:r>
    </w:p>
    <w:p>
      <w:pPr>
        <w:sectPr>
          <w:pgSz w:w="11900" w:h="16838" w:orient="portrait"/>
          <w:cols w:equalWidth="0" w:num="1">
            <w:col w:w="10219"/>
          </w:cols>
          <w:pgMar w:left="240" w:top="110"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jc w:val="center"/>
        <w:ind w:right="1779"/>
        <w:spacing w:after="0" w:line="323" w:lineRule="auto"/>
        <w:rPr>
          <w:sz w:val="20"/>
          <w:szCs w:val="20"/>
          <w:color w:val="auto"/>
        </w:rPr>
      </w:pPr>
      <w:r>
        <w:rPr>
          <w:rFonts w:ascii="Courier New" w:cs="Courier New" w:eastAsia="Courier New" w:hAnsi="Courier New"/>
          <w:sz w:val="16"/>
          <w:szCs w:val="16"/>
          <w:color w:val="auto"/>
        </w:rPr>
        <w:t>BASSETT FURNITURE INDUSTRIES, INCORPORATED AND SUBSIDIARIES NOTES TO CONDENSED CONSOLIDATED FINANCIAL STATEMENTS-UNAUDITED MAY 29, 1999 (in thousands except share and per share data)</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Sale of Bedding Division:</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Subsequent to the end of the second quarter of 1999, the Company finalized the sale of its Bedding Division to Premier Bedding Group LLC (PBG), a new company formed by LIS Corporation. The sale was effective as of April 30, 1999, and accordingly the net assets to be sold have been combined into a receivable from sale of bedding division in the May 29, 1999 Condensed Consolidated Balance Sheet. Net sales and operating income (losses) for the bedding division were $4,399 and $(474) in the second quarter of 1999, and $10,392 and $313 in the second quarter of 1998. For the six month period ended May 29, 1999 net sales were $11.6 million and operating losses were $0.4 million. For the six month period ended May 30, 1998, net sales were $20.5 million and operating income was $0.6 million. Total net assets for the division approximated $11 million as of May 29, 1999 and November 28, 1998. As of May 29, 1999 this total included the $8.2 million of net assets to be sold and certain other assets retained by the Company.</w:t>
      </w:r>
    </w:p>
    <w:p>
      <w:pPr>
        <w:spacing w:after="0" w:line="3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 of 14</w:t>
      </w:r>
    </w:p>
    <w:p>
      <w:pPr>
        <w:sectPr>
          <w:pgSz w:w="11900" w:h="16838" w:orient="portrait"/>
          <w:cols w:equalWidth="0" w:num="1">
            <w:col w:w="10219"/>
          </w:cols>
          <w:pgMar w:left="24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jc w:val="center"/>
        <w:ind w:left="340" w:right="1060"/>
        <w:spacing w:after="0" w:line="285" w:lineRule="auto"/>
        <w:rPr>
          <w:sz w:val="20"/>
          <w:szCs w:val="20"/>
          <w:color w:val="auto"/>
        </w:rPr>
      </w:pPr>
      <w:r>
        <w:rPr>
          <w:rFonts w:ascii="Courier New" w:cs="Courier New" w:eastAsia="Courier New" w:hAnsi="Courier New"/>
          <w:sz w:val="18"/>
          <w:szCs w:val="18"/>
          <w:color w:val="auto"/>
        </w:rPr>
        <w:t>PART I-FINANCIAL INFORMATION-CONTINUED BASSETT FURNITURE INDUSTRIES, INCORPORATED AND SUBSIDIARIES MAY 29,1999</w:t>
      </w:r>
    </w:p>
    <w:p>
      <w:pPr>
        <w:spacing w:after="0" w:line="294"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second quarter periods of fiscal 1999 and 1998 each consisted of thirteen weeks. The six-month periods for 1999 and 1998 both consisted of twenty-six weeks. Since the bedding division was sold effective April 30, 1999, results for this division were included for only nine weeks for the quarter and twenty-two weeks for the six-month period of 1999.</w:t>
      </w:r>
    </w:p>
    <w:p>
      <w:pPr>
        <w:spacing w:after="0" w:line="90"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For the quarter, net sales increased 5.4% to $103.7 million in 1999, from $98.3 million in 1998. Sales for the six months ended May 29, 1999 were $203.5 million, an increase of $6.8 million, or 3.4% compared to sales of $196.7 million for the six months ended May 30, 1998. The sales increase for the quarter was led by the Bassett Furniture Direct (BFD) stores which grew from $12 million in the second quarter of 1998 to $18 million in the second quarter of 1999, but also included notable gains with two large national accounts. There are currently 44 BFD stores across the country, including four additional company-owned stores opened or acquired during the second quarter. For the six-month period ended May 29, 1999, sales to BFD's have increased 67% over the six months ended May 30, 1998, and now represent 19% of total net sales, up from 12% in the first half of 1998.</w:t>
      </w:r>
    </w:p>
    <w:p>
      <w:pPr>
        <w:spacing w:after="0" w:line="105"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Retail sales from the six company-owned BFD stores, none of which were open in fiscal 1998, totaled $2.1 million for the second quarter and $2.4 million for the first six months of 1999. Sales of Bassett branded home furnishings were up even greater percentages, than these highlighted above, as declines in bedding division sales lowered the Company's overall sales growth percentages. Bedding division sales for the second quarter ended May 29, 1999 of $4.4 million and the six month period ended May 29, 1999 of $11.6 million were approximately $6 million and $9 million below the comparable 1998 periods. Wood Division sales increased 16% for the quarter due to BFD expansion and improved product offerings.</w:t>
      </w:r>
    </w:p>
    <w:p>
      <w:pPr>
        <w:spacing w:after="0" w:line="104"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gross profit margin was 21.7% in the second quarter of 1999 and 20.7% for the six month period ended May 29, 1999, compared with 18.8% in the second quarter of 1998 and 18.4% for the six month period ended May 30, 1998. Non-recurring charges of $1.5 million and $3.0 million were recorded to cost of sales in the second quarter of 1998 and the six month period ended May 30, 1998, respectively. On a continuing operations basis, second quarter margins improved from 19.6% in 1998 to 21.7% in 1999 due primarily to the Wood Division, where the impact of price increases, increased production levels, process improvements, and product mix have improved gross margin by approximately two percentage points for this division. In addition, retail operations with higher gross margins are included in the 1999 results.</w:t>
      </w:r>
    </w:p>
    <w:p>
      <w:pPr>
        <w:spacing w:after="0" w:line="104"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The operating margin was 3.8% in the second quarter of 1999 compared to 2.2% in the second quarter of 1998. For the six month periods ended May 29, 1999 and May 30, 1998, operating margin improved from 2.0% to 3.5%. Nonrecurring charges totaling $1.5 million and $3.0 million were recorded in the second quarter of 1998 and the six month period ended May 30, 1998, respectively. On a continuing operations basis, operating margin was basically equal to last year as we continue to invest in the Bassett brand, on systems, and our organization infrastructure, especially in retail. Operating losses in our retail division approximated $.6 million for the second quarter of 1999 and $.8 million for the six month period ended May 29, 1999. These losses represent both start-up related costs for the four new company-owned stores and losses associated with two acquired stores. Operating losses for the bedding division approximated $.5 million for the second quarter of 1999 and the six months ended May 29, 1999 due primarily to declining sales, product mix, and the impending sale of the business.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8 of 14</w:t>
      </w:r>
    </w:p>
    <w:p>
      <w:pPr>
        <w:sectPr>
          <w:pgSz w:w="11900" w:h="16838" w:orient="portrait"/>
          <w:cols w:equalWidth="0" w:num="1">
            <w:col w:w="10219"/>
          </w:cols>
          <w:pgMar w:left="240" w:top="285"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jc w:val="center"/>
        <w:ind w:left="340" w:right="1060"/>
        <w:spacing w:after="0" w:line="285" w:lineRule="auto"/>
        <w:rPr>
          <w:sz w:val="20"/>
          <w:szCs w:val="20"/>
          <w:color w:val="auto"/>
        </w:rPr>
      </w:pPr>
      <w:r>
        <w:rPr>
          <w:rFonts w:ascii="Courier New" w:cs="Courier New" w:eastAsia="Courier New" w:hAnsi="Courier New"/>
          <w:sz w:val="18"/>
          <w:szCs w:val="18"/>
          <w:color w:val="auto"/>
        </w:rPr>
        <w:t>PART I-FINANCIAL INFORMATION-CONTINUED BASSETT FURNITURE INDUSTRIES, INCORPORATED AND SUBSIDIARIES MAY 29,1999</w:t>
      </w:r>
    </w:p>
    <w:p>
      <w:pPr>
        <w:spacing w:after="0" w:line="294"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(continued)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(continued)</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Other income increased from $3.1 million in the second quarter of 1998 and $5.9 million for the six months ended May 30, 1998 to $3.5 million in the second quarter of 1999 and $6.8 million in the six months ended May 29, 1999 due to improved investment earnings and a more strategic investment of our excess capital.</w:t>
      </w:r>
    </w:p>
    <w:p>
      <w:pPr>
        <w:spacing w:after="0" w:line="90"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The effective tax rate was 32% in the second quarter of 1999 and six months ended May 29, 1999, compared to 25% in the second quarter of 1998 and six months ended May 30, 1998. This increase is the result of the phase out of interest deductions on certain policy loans related to Company owned life insurance (COLI). The 1999 effective tax rate was lower than the statutory federal income tax rate due to exclusions for tax exempt and undistributed affiliate income.</w:t>
      </w:r>
    </w:p>
    <w:p>
      <w:pPr>
        <w:spacing w:after="0" w:line="68"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For the quarter ended May 29, 1999, net income was $5.1 million, or $.40 per diluted share, compared to net income of $4.0 million or $.30 per diluted share, for the same quarter a year ago. Net income for the six month period ended May 29, 1999 was $ 9.5 million, or $.75 per diluted share, compared to $7.4 million, or $.56 per diluted share, for the comparable period of the previous year.</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Cash provided by operating activities for the six months ended May 29, 1999 was $11.5 million compared to $1.8 million provided by operating activities in the six month period ended May 30, 1998. This change was due primarily to improved profitability, a $5.7 million income tax refund received in the second quarter of 1999, and the unusually high utilization of cash for payables and accruals in the first six months of 1998.</w:t>
      </w:r>
    </w:p>
    <w:p>
      <w:pPr>
        <w:spacing w:after="0" w:line="93" w:lineRule="exact"/>
        <w:rPr>
          <w:sz w:val="20"/>
          <w:szCs w:val="20"/>
          <w:color w:val="auto"/>
        </w:rPr>
      </w:pPr>
    </w:p>
    <w:p>
      <w:pPr>
        <w:ind w:right="1879"/>
        <w:spacing w:after="0" w:line="287" w:lineRule="auto"/>
        <w:rPr>
          <w:sz w:val="20"/>
          <w:szCs w:val="20"/>
          <w:color w:val="auto"/>
        </w:rPr>
      </w:pPr>
      <w:r>
        <w:rPr>
          <w:rFonts w:ascii="Courier New" w:cs="Courier New" w:eastAsia="Courier New" w:hAnsi="Courier New"/>
          <w:sz w:val="16"/>
          <w:szCs w:val="16"/>
          <w:color w:val="auto"/>
        </w:rPr>
        <w:t>The Company has invested $22.4 million in property and equipment in 1999 for real estate, manufacturing equipment to improve productivity, new enterprise wide information systems, and its new dining room table plant. Cash proceeds of $24.4 million were received from municipal bonds which were sold or matured during the year. These funds were invested in property and equipment as discussed above, and selected strategic investment opportunities, linked to the Company's marketing and distribution strategies. These proceeds along with cash provided by operating activities were also used to fund two quarterly dividend payments totaling $5.1 million and to repurchase $7.5 million of Company stock.</w:t>
      </w:r>
    </w:p>
    <w:p>
      <w:pPr>
        <w:spacing w:after="0" w:line="75"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The Company purchased and retired 162,000 shares of its Common Stock during the second quarter of 1999 and has now purchased and retired 337,000 shares for the six month period ended May 29, 1999. These purchases were part of the Company's stock repurchase program, approved in 1998, which allows the Company to repurchase up to 1.3 million shares for an aggregate purchase price not to exceed $40 million. The average cost of the shares purchased during the second quarter was $22.71, resulting in a total expenditure of $3.7 million.</w:t>
      </w:r>
    </w:p>
    <w:p>
      <w:pPr>
        <w:spacing w:after="0" w:line="72"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Company plans to invest approximately $50 to $60 million per year over the next few years to aggressively execute its BFD expansion and upgrade its manufacturing capabilities. The Company's solid financial position with significant liquidity and no debt affords it many options. Management intends to examine opportunities to strengthen its balance sheet and increase shareholder value which may require debt financing. The Company has not typically used the debt or equity markets as sources of funds or capital.</w:t>
      </w:r>
    </w:p>
    <w:p>
      <w:pPr>
        <w:sectPr>
          <w:pgSz w:w="11900" w:h="16838" w:orient="portrait"/>
          <w:cols w:equalWidth="0" w:num="1">
            <w:col w:w="10219"/>
          </w:cols>
          <w:pgMar w:left="240" w:top="285" w:right="1440" w:bottom="1440" w:gutter="0" w:footer="0" w:header="0"/>
        </w:sectPr>
      </w:pPr>
    </w:p>
    <w:p>
      <w:pPr>
        <w:spacing w:after="0" w:line="30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9 of 14</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jc w:val="center"/>
        <w:ind w:left="340" w:right="1060"/>
        <w:spacing w:after="0" w:line="285" w:lineRule="auto"/>
        <w:rPr>
          <w:sz w:val="20"/>
          <w:szCs w:val="20"/>
          <w:color w:val="auto"/>
        </w:rPr>
      </w:pPr>
      <w:r>
        <w:rPr>
          <w:rFonts w:ascii="Courier New" w:cs="Courier New" w:eastAsia="Courier New" w:hAnsi="Courier New"/>
          <w:sz w:val="18"/>
          <w:szCs w:val="18"/>
          <w:color w:val="auto"/>
        </w:rPr>
        <w:t>PART I-FINANCIAL INFORMATION-CONTINUED BASSETT FURNITURE INDUSTRIES, INCORPORATED AND SUBSIDIARIES MAY 29,1999</w:t>
      </w:r>
    </w:p>
    <w:p>
      <w:pPr>
        <w:spacing w:after="0" w:line="294"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(continued)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 (continued)</w:t>
      </w:r>
    </w:p>
    <w:p>
      <w:pPr>
        <w:spacing w:after="0" w:line="201" w:lineRule="exact"/>
        <w:rPr>
          <w:sz w:val="20"/>
          <w:szCs w:val="20"/>
          <w:color w:val="auto"/>
        </w:rPr>
      </w:pPr>
    </w:p>
    <w:p>
      <w:pPr>
        <w:ind w:right="2099"/>
        <w:spacing w:after="0" w:line="293" w:lineRule="auto"/>
        <w:rPr>
          <w:sz w:val="20"/>
          <w:szCs w:val="20"/>
          <w:color w:val="auto"/>
        </w:rPr>
      </w:pPr>
      <w:r>
        <w:rPr>
          <w:rFonts w:ascii="Courier New" w:cs="Courier New" w:eastAsia="Courier New" w:hAnsi="Courier New"/>
          <w:sz w:val="16"/>
          <w:szCs w:val="16"/>
          <w:color w:val="auto"/>
        </w:rPr>
        <w:t>The current ratio as of May 29, 1999 and November 28, 1998, respectively, was 2.95 to 1 and 3.21 to 1. Working capital at May 29, 1999 was $86.4 million compared to $98.9 million at November 28, 1998. The Company's consolidated financial statements are prepared on the basis of historical dollars and are not intended to show the impact of inflation or changing prices. Neither inflation nor changing prices have had a material effect on the Company's consolidated financial position and results of operations in prior years.</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Company is involved in various claims and litigation, including a product specification lawsuit concerning a subsidiary, E. B. Malone Corporation, as well as environmental matters at certain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04"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Legislation phased out interest deductions on certain policy loans related to Company owned life insurance (COLI) as of January 1, 1999. The Company recorded cumulative reductions to income tax expenses of approximately $8,000 as the result of COLI interest deductions through November 28, 1998. The Internal Revenue Service, on a national level, is evaluating its position regarding the deductibility of COLI policy loan interest for years prior to January 1, 1999. In 1998 and 1999, the IRS issued several Technical Advice Memoranda regarding the deductibility of certain aspects of COLI for taxpayers unrelated to the Company. Management understands that the adverse position taken by the IRS will be subjected to extensive challenges in court. In the event that the IRS prevails, the outcome could result in a material impact upon the Company's future income taxes and results of operations.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Over the past few years, the Company has been steadily reengineering its business processes and information systems to prepare for the conversion to year 2000. This effort has incorporated an analysis of Year 2000 issues, and management believes that appropriate and timely actions are being taken. The Year 2000 issue results from the inability of many computer systems and applications to recognize the year 2000 as the year following 1999. This could cause systems to process critical information incorrectly. The Company plans to implement new systems and technologies in 1999 that will provide solutions to these issues. The most significant step in accomplishing this goal was completed in the second quarter of 1998 when a comprehensive enterprise system (which had been installed in over 4,400 companies and is Year 2000 compliant) was purchased; implementation began immediately and should be completed in the fourth quarter of 1999. In 1998, the Company engaged a consultant, knowledgeable of the enterprise system being installed, to advise and assist in the installation and implementation of the system. The Company has made a thorough survey to identify all microcontrollers that are embedded within equipment to determine compliance in this area. All microcontrollers that were identified as non-compliant were or will be replaced. The Company now has a verification program to insure that all microcontrollers have been properly identified and replaced.</w:t>
      </w:r>
    </w:p>
    <w:p>
      <w:pPr>
        <w:spacing w:after="0" w:line="108" w:lineRule="exact"/>
        <w:rPr>
          <w:sz w:val="20"/>
          <w:szCs w:val="20"/>
          <w:color w:val="auto"/>
        </w:rPr>
      </w:pPr>
    </w:p>
    <w:p>
      <w:pPr>
        <w:ind w:right="2099"/>
        <w:spacing w:after="0" w:line="287" w:lineRule="auto"/>
        <w:rPr>
          <w:sz w:val="20"/>
          <w:szCs w:val="20"/>
          <w:color w:val="auto"/>
        </w:rPr>
      </w:pPr>
      <w:r>
        <w:rPr>
          <w:rFonts w:ascii="Courier New" w:cs="Courier New" w:eastAsia="Courier New" w:hAnsi="Courier New"/>
          <w:sz w:val="16"/>
          <w:szCs w:val="16"/>
          <w:color w:val="auto"/>
        </w:rPr>
        <w:t>The Company continues to work with its customers, suppliers and third-party service providers to identify external weaknesses and provide solutions which will prevent the disruption of business activities at that time; it does not believe that it will be significantly affected by direct suppliers of raw materials or supplies that will be non-compliant. However, the Company cannot guarantee that Year 2000 related systems or hardware issues of its business partners will be corrected in a timely manner or that the failure of its business partners to correct these issues would not have a material adverse effect on its future results of operations or financial condition.</w:t>
      </w:r>
    </w:p>
    <w:p>
      <w:pPr>
        <w:sectPr>
          <w:pgSz w:w="11900" w:h="16838" w:orient="portrait"/>
          <w:cols w:equalWidth="0" w:num="1">
            <w:col w:w="10219"/>
          </w:cols>
          <w:pgMar w:left="240" w:top="285" w:right="1440" w:bottom="208" w:gutter="0" w:footer="0" w:header="0"/>
        </w:sectPr>
      </w:pPr>
    </w:p>
    <w:p>
      <w:pPr>
        <w:spacing w:after="0" w:line="27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10 of 14</w:t>
      </w:r>
    </w:p>
    <w:p>
      <w:pPr>
        <w:sectPr>
          <w:pgSz w:w="11900" w:h="16838" w:orient="portrait"/>
          <w:cols w:equalWidth="0" w:num="1">
            <w:col w:w="10219"/>
          </w:cols>
          <w:pgMar w:left="240" w:top="285" w:right="1440" w:bottom="208"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jc w:val="center"/>
        <w:ind w:left="340" w:right="1060"/>
        <w:spacing w:after="0" w:line="285" w:lineRule="auto"/>
        <w:rPr>
          <w:sz w:val="20"/>
          <w:szCs w:val="20"/>
          <w:color w:val="auto"/>
        </w:rPr>
      </w:pPr>
      <w:r>
        <w:rPr>
          <w:rFonts w:ascii="Courier New" w:cs="Courier New" w:eastAsia="Courier New" w:hAnsi="Courier New"/>
          <w:sz w:val="18"/>
          <w:szCs w:val="18"/>
          <w:color w:val="auto"/>
        </w:rPr>
        <w:t>PART I-FINANCIAL INFORMATION-CONTINUED BASSETT FURNITURE INDUSTRIES, INCORPORATED AND SUBSIDIARIES MAY 29,1999</w:t>
      </w:r>
    </w:p>
    <w:p>
      <w:pPr>
        <w:spacing w:after="0" w:line="294"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(continued)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(continued)</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Management believes that the most likely "worst case scenario" will involve the failure of service providers to be compliant, thereby potentially causing business interruptions in the Company's normal channels of supply and distribution. The Company does not believe that it will be significantly affected by non-compliance by companies outside of the United States.</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Company is developing a contingency plan in the event that a business interruption caused by Year 2000 problems should occur. Contingency plans are in place for all information technology systems. The Company is preparing to upgrade its existing computer systems in order to ensure compliance. Management is researching key raw materials markets to ensure that the Company is adequately supplied in the event that a key supplier is not compliant.</w:t>
      </w:r>
    </w:p>
    <w:p>
      <w:pPr>
        <w:spacing w:after="0" w:line="93"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The Company does not expect the cost of implementation to have a material adverse effect on its future results of operations, liquidity or capital resources. The total cost of the new enterprise system is estimated at $8 million. This total includes the Year 2000 Project. The new system was not purchased to solely achieve Year 2000 compliance in the Company's information systems. Instead it was purchased to provide management with the information and tools that it needs to better manage the Company. The Year 2000 problem has slightly accelerated the timetable for implementation, however. Of the total project cost, $7 million represents the purchase of new software, new hardware, and related implementation costs which will be capitalized. The remaining will be expensed as incurred during 1999 and 2000. As of the end of the second quarter, the Company has spent approximately $5 million on the project.</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w:t>
      </w:r>
    </w:p>
    <w:p>
      <w:pPr>
        <w:spacing w:after="0" w:line="20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The Company has significant investments in both equity securities and municipal securities. The Company does not use these securities for trading purposes and is not a party to any leveraged derivatives. For securities held, the Company utilizes a sensitivity analysis technique to evaluate the effect that hypothetical changes in market prices will have on the Company's investment securities. In the first quarter of 1999, the Company entered into a series of equity index collars in order to manage risk exposures related to its portfolio of equity securities. In the opinion of management, market changes in the Company's equity securities portfolio are highly correlated to the equity index collars. At May 29, 1999, the potential change in fair value of investment securities and the equity index collars, assuming a 10% change in market prices was approximately $3 million. This amount is not significant compared with the overall financial position of the Company.</w:t>
      </w:r>
    </w:p>
    <w:p>
      <w:pPr>
        <w:spacing w:after="0" w:line="108"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In addition, the Company has investments in affiliated companies accounted for under the equity method of accounting.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Safe-harbor forward-looking statements</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the Company operates; (II) demand for the Company's products and acceptance of new products; (III) fluctuations in raw material prices; and (IV) general economic conditions that are less favorable than expected.</w:t>
      </w:r>
    </w:p>
    <w:p>
      <w:pPr>
        <w:sectPr>
          <w:pgSz w:w="11900" w:h="16838" w:orient="portrait"/>
          <w:cols w:equalWidth="0" w:num="1">
            <w:col w:w="10219"/>
          </w:cols>
          <w:pgMar w:left="240" w:top="285" w:right="1440" w:bottom="1440" w:gutter="0" w:footer="0" w:header="0"/>
        </w:sectPr>
      </w:pPr>
    </w:p>
    <w:p>
      <w:pPr>
        <w:spacing w:after="0" w:line="30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11 of 14</w:t>
      </w:r>
    </w:p>
    <w:p>
      <w:pPr>
        <w:sectPr>
          <w:pgSz w:w="11900" w:h="16838" w:orient="portrait"/>
          <w:cols w:equalWidth="0" w:num="1">
            <w:col w:w="10219"/>
          </w:cols>
          <w:pgMar w:left="240" w:top="285"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 - OTHER INFORMATION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BASSETT FURNITURE INDUSTRIES, INCORPORATED AND SUBSIDIARIES</w:t>
      </w:r>
    </w:p>
    <w:p>
      <w:pPr>
        <w:jc w:val="center"/>
        <w:ind w:right="1759"/>
        <w:spacing w:after="0"/>
        <w:rPr>
          <w:sz w:val="20"/>
          <w:szCs w:val="20"/>
          <w:color w:val="auto"/>
        </w:rPr>
      </w:pPr>
      <w:r>
        <w:rPr>
          <w:rFonts w:ascii="Courier New" w:cs="Courier New" w:eastAsia="Courier New" w:hAnsi="Courier New"/>
          <w:sz w:val="18"/>
          <w:szCs w:val="18"/>
          <w:color w:val="auto"/>
        </w:rPr>
        <w:t>MAY 29, 1999</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30, 1999</w:t>
      </w:r>
    </w:p>
    <w:p>
      <w:pPr>
        <w:spacing w:after="0" w:line="201"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Vote of stockholders was reported in the 10-Q filed for the period ended February 27, 1999.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0" w:lineRule="exact"/>
        <w:rPr>
          <w:rFonts w:ascii="Courier New" w:cs="Courier New" w:eastAsia="Courier New" w:hAnsi="Courier New"/>
          <w:sz w:val="18"/>
          <w:szCs w:val="18"/>
          <w:color w:val="auto"/>
        </w:rPr>
      </w:pPr>
    </w:p>
    <w:p>
      <w:pPr>
        <w:ind w:left="1280" w:hanging="535"/>
        <w:spacing w:after="0"/>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16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reports were filed on Form 8-K during the quarter.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 of 14</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372"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Barry C. Safrit</w:t>
      </w:r>
    </w:p>
    <w:p>
      <w:pPr>
        <w:spacing w:after="0" w:line="2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Barry C. Safrit, Vice President, Chief Accounting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13, 1999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 of 14</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Description</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3">
            <w:col w:w="2240" w:space="720"/>
            <w:col w:w="3920" w:space="720"/>
            <w:col w:w="2619"/>
          </w:cols>
          <w:pgMar w:left="240" w:top="285"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22" w:lineRule="exact"/>
        <w:rPr>
          <w:sz w:val="20"/>
          <w:szCs w:val="20"/>
          <w:color w:val="auto"/>
        </w:rPr>
      </w:pPr>
    </w:p>
    <w:p>
      <w:pPr>
        <w:sectPr>
          <w:pgSz w:w="11900" w:h="16838" w:orient="portrait"/>
          <w:cols w:equalWidth="0" w:num="2">
            <w:col w:w="2020" w:space="720"/>
            <w:col w:w="747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14 of 14</w:t>
      </w:r>
    </w:p>
    <w:p>
      <w:pPr>
        <w:sectPr>
          <w:pgSz w:w="11900" w:h="16838" w:orient="portrait"/>
          <w:cols w:equalWidth="0" w:num="1">
            <w:col w:w="10219"/>
          </w:cols>
          <w:pgMar w:left="240" w:top="285"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372"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spacing w:after="0" w:line="29"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NOV-27-1999</w:t>
      </w:r>
    </w:p>
    <w:p>
      <w:pPr>
        <w:ind w:left="2940"/>
        <w:spacing w:after="0" w:line="238" w:lineRule="auto"/>
        <w:rPr>
          <w:sz w:val="20"/>
          <w:szCs w:val="20"/>
          <w:color w:val="auto"/>
        </w:rPr>
      </w:pPr>
      <w:r>
        <w:rPr>
          <w:rFonts w:ascii="Courier New" w:cs="Courier New" w:eastAsia="Courier New" w:hAnsi="Courier New"/>
          <w:sz w:val="18"/>
          <w:szCs w:val="18"/>
          <w:color w:val="auto"/>
        </w:rPr>
        <w:t>NOV-29-1998</w:t>
      </w:r>
    </w:p>
    <w:p>
      <w:pPr>
        <w:ind w:left="3160"/>
        <w:spacing w:after="0"/>
        <w:rPr>
          <w:sz w:val="20"/>
          <w:szCs w:val="20"/>
          <w:color w:val="auto"/>
        </w:rPr>
      </w:pPr>
      <w:r>
        <w:rPr>
          <w:rFonts w:ascii="Courier New" w:cs="Courier New" w:eastAsia="Courier New" w:hAnsi="Courier New"/>
          <w:sz w:val="18"/>
          <w:szCs w:val="18"/>
          <w:color w:val="auto"/>
        </w:rPr>
        <w:t>MAY-29-1999</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620"/>
        <w:spacing w:after="0"/>
        <w:rPr>
          <w:sz w:val="20"/>
          <w:szCs w:val="20"/>
          <w:color w:val="auto"/>
        </w:rPr>
      </w:pPr>
      <w:r>
        <w:rPr>
          <w:rFonts w:ascii="Courier New" w:cs="Courier New" w:eastAsia="Courier New" w:hAnsi="Courier New"/>
          <w:sz w:val="18"/>
          <w:szCs w:val="18"/>
          <w:color w:val="auto"/>
        </w:rPr>
        <w:t>791</w:t>
      </w:r>
    </w:p>
    <w:p>
      <w:pPr>
        <w:ind w:left="3780"/>
        <w:spacing w:after="0" w:line="238" w:lineRule="auto"/>
        <w:rPr>
          <w:sz w:val="20"/>
          <w:szCs w:val="20"/>
          <w:color w:val="auto"/>
        </w:rPr>
      </w:pPr>
      <w:r>
        <w:rPr>
          <w:rFonts w:ascii="Courier New" w:cs="Courier New" w:eastAsia="Courier New" w:hAnsi="Courier New"/>
          <w:sz w:val="18"/>
          <w:szCs w:val="18"/>
          <w:color w:val="auto"/>
        </w:rPr>
        <w:t>3,313</w:t>
      </w:r>
    </w:p>
    <w:p>
      <w:pPr>
        <w:ind w:left="3580"/>
        <w:spacing w:after="0"/>
        <w:rPr>
          <w:sz w:val="20"/>
          <w:szCs w:val="20"/>
          <w:color w:val="auto"/>
        </w:rPr>
      </w:pPr>
      <w:r>
        <w:rPr>
          <w:rFonts w:ascii="Courier New" w:cs="Courier New" w:eastAsia="Courier New" w:hAnsi="Courier New"/>
          <w:sz w:val="18"/>
          <w:szCs w:val="18"/>
          <w:color w:val="auto"/>
        </w:rPr>
        <w:t>60,871</w:t>
      </w:r>
    </w:p>
    <w:p>
      <w:pPr>
        <w:ind w:left="3780"/>
        <w:spacing w:after="0" w:line="238" w:lineRule="auto"/>
        <w:rPr>
          <w:sz w:val="20"/>
          <w:szCs w:val="20"/>
          <w:color w:val="auto"/>
        </w:rPr>
      </w:pPr>
      <w:r>
        <w:rPr>
          <w:rFonts w:ascii="Courier New" w:cs="Courier New" w:eastAsia="Courier New" w:hAnsi="Courier New"/>
          <w:sz w:val="18"/>
          <w:szCs w:val="18"/>
          <w:color w:val="auto"/>
        </w:rPr>
        <w:t>2,400</w:t>
      </w:r>
    </w:p>
    <w:p>
      <w:pPr>
        <w:ind w:left="3780"/>
        <w:spacing w:after="0"/>
        <w:rPr>
          <w:sz w:val="20"/>
          <w:szCs w:val="20"/>
          <w:color w:val="auto"/>
        </w:rPr>
      </w:pPr>
      <w:r>
        <w:rPr>
          <w:rFonts w:ascii="Courier New" w:cs="Courier New" w:eastAsia="Courier New" w:hAnsi="Courier New"/>
          <w:sz w:val="18"/>
          <w:szCs w:val="18"/>
          <w:color w:val="auto"/>
        </w:rPr>
        <w:t>45,137</w:t>
      </w:r>
    </w:p>
    <w:p>
      <w:pPr>
        <w:ind w:left="3160"/>
        <w:spacing w:after="0" w:line="238" w:lineRule="auto"/>
        <w:rPr>
          <w:sz w:val="20"/>
          <w:szCs w:val="20"/>
          <w:color w:val="auto"/>
        </w:rPr>
      </w:pPr>
      <w:r>
        <w:rPr>
          <w:rFonts w:ascii="Courier New" w:cs="Courier New" w:eastAsia="Courier New" w:hAnsi="Courier New"/>
          <w:sz w:val="18"/>
          <w:szCs w:val="18"/>
          <w:color w:val="auto"/>
        </w:rPr>
        <w:t>130,774</w:t>
      </w:r>
    </w:p>
    <w:p>
      <w:pPr>
        <w:ind w:left="4200"/>
        <w:spacing w:after="0"/>
        <w:rPr>
          <w:sz w:val="20"/>
          <w:szCs w:val="20"/>
          <w:color w:val="auto"/>
        </w:rPr>
      </w:pPr>
      <w:r>
        <w:rPr>
          <w:rFonts w:ascii="Courier New" w:cs="Courier New" w:eastAsia="Courier New" w:hAnsi="Courier New"/>
          <w:sz w:val="18"/>
          <w:szCs w:val="18"/>
          <w:color w:val="auto"/>
        </w:rPr>
        <w:t>205,065</w:t>
      </w:r>
    </w:p>
    <w:p>
      <w:pPr>
        <w:ind w:left="3360"/>
        <w:spacing w:after="0" w:line="238" w:lineRule="auto"/>
        <w:rPr>
          <w:sz w:val="20"/>
          <w:szCs w:val="20"/>
          <w:color w:val="auto"/>
        </w:rPr>
      </w:pPr>
      <w:r>
        <w:rPr>
          <w:rFonts w:ascii="Courier New" w:cs="Courier New" w:eastAsia="Courier New" w:hAnsi="Courier New"/>
          <w:sz w:val="18"/>
          <w:szCs w:val="18"/>
          <w:color w:val="auto"/>
        </w:rPr>
        <w:t>133,126</w:t>
      </w:r>
    </w:p>
    <w:p>
      <w:pPr>
        <w:ind w:left="3360"/>
        <w:spacing w:after="0"/>
        <w:rPr>
          <w:sz w:val="20"/>
          <w:szCs w:val="20"/>
          <w:color w:val="auto"/>
        </w:rPr>
      </w:pPr>
      <w:r>
        <w:rPr>
          <w:rFonts w:ascii="Courier New" w:cs="Courier New" w:eastAsia="Courier New" w:hAnsi="Courier New"/>
          <w:sz w:val="18"/>
          <w:szCs w:val="18"/>
          <w:color w:val="auto"/>
        </w:rPr>
        <w:t>317,327</w:t>
      </w:r>
    </w:p>
    <w:p>
      <w:pPr>
        <w:ind w:left="2740"/>
        <w:spacing w:after="0" w:line="238" w:lineRule="auto"/>
        <w:rPr>
          <w:sz w:val="20"/>
          <w:szCs w:val="20"/>
          <w:color w:val="auto"/>
        </w:rPr>
      </w:pPr>
      <w:r>
        <w:rPr>
          <w:rFonts w:ascii="Courier New" w:cs="Courier New" w:eastAsia="Courier New" w:hAnsi="Courier New"/>
          <w:sz w:val="18"/>
          <w:szCs w:val="18"/>
          <w:color w:val="auto"/>
        </w:rPr>
        <w:t>44,369</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8"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62,747</w:t>
      </w:r>
    </w:p>
    <w:p>
      <w:pPr>
        <w:ind w:left="3780"/>
        <w:spacing w:after="0"/>
        <w:rPr>
          <w:sz w:val="20"/>
          <w:szCs w:val="20"/>
          <w:color w:val="auto"/>
        </w:rPr>
      </w:pPr>
      <w:r>
        <w:rPr>
          <w:rFonts w:ascii="Courier New" w:cs="Courier New" w:eastAsia="Courier New" w:hAnsi="Courier New"/>
          <w:sz w:val="18"/>
          <w:szCs w:val="18"/>
          <w:color w:val="auto"/>
        </w:rPr>
        <w:t>198,886</w:t>
      </w:r>
    </w:p>
    <w:p>
      <w:pPr>
        <w:ind w:left="1880"/>
        <w:spacing w:after="0" w:line="238" w:lineRule="auto"/>
        <w:rPr>
          <w:sz w:val="20"/>
          <w:szCs w:val="20"/>
          <w:color w:val="auto"/>
        </w:rPr>
      </w:pPr>
      <w:r>
        <w:rPr>
          <w:rFonts w:ascii="Courier New" w:cs="Courier New" w:eastAsia="Courier New" w:hAnsi="Courier New"/>
          <w:sz w:val="18"/>
          <w:szCs w:val="18"/>
          <w:color w:val="auto"/>
        </w:rPr>
        <w:t>317,327</w:t>
      </w:r>
    </w:p>
    <w:p>
      <w:pPr>
        <w:ind w:left="4100"/>
        <w:spacing w:after="0"/>
        <w:rPr>
          <w:sz w:val="20"/>
          <w:szCs w:val="20"/>
          <w:color w:val="auto"/>
        </w:rPr>
      </w:pPr>
      <w:r>
        <w:rPr>
          <w:rFonts w:ascii="Courier New" w:cs="Courier New" w:eastAsia="Courier New" w:hAnsi="Courier New"/>
          <w:sz w:val="18"/>
          <w:szCs w:val="18"/>
          <w:color w:val="auto"/>
        </w:rPr>
        <w:t>203,468</w:t>
      </w:r>
    </w:p>
    <w:p>
      <w:pPr>
        <w:ind w:left="3160"/>
        <w:spacing w:after="0" w:line="238" w:lineRule="auto"/>
        <w:rPr>
          <w:sz w:val="20"/>
          <w:szCs w:val="20"/>
          <w:color w:val="auto"/>
        </w:rPr>
      </w:pPr>
      <w:r>
        <w:rPr>
          <w:rFonts w:ascii="Courier New" w:cs="Courier New" w:eastAsia="Courier New" w:hAnsi="Courier New"/>
          <w:sz w:val="18"/>
          <w:szCs w:val="18"/>
          <w:color w:val="auto"/>
        </w:rPr>
        <w:t>210,276</w:t>
      </w:r>
    </w:p>
    <w:p>
      <w:pPr>
        <w:jc w:val="right"/>
        <w:ind w:right="5059"/>
        <w:spacing w:after="0"/>
        <w:rPr>
          <w:sz w:val="20"/>
          <w:szCs w:val="20"/>
          <w:color w:val="auto"/>
        </w:rPr>
      </w:pPr>
      <w:r>
        <w:rPr>
          <w:rFonts w:ascii="Courier New" w:cs="Courier New" w:eastAsia="Courier New" w:hAnsi="Courier New"/>
          <w:sz w:val="18"/>
          <w:szCs w:val="18"/>
          <w:color w:val="auto"/>
        </w:rPr>
        <w:t>161,428</w:t>
      </w:r>
    </w:p>
    <w:p>
      <w:pPr>
        <w:jc w:val="center"/>
        <w:ind w:right="2439"/>
        <w:spacing w:after="0" w:line="238" w:lineRule="auto"/>
        <w:rPr>
          <w:sz w:val="20"/>
          <w:szCs w:val="20"/>
          <w:color w:val="auto"/>
        </w:rPr>
      </w:pPr>
      <w:r>
        <w:rPr>
          <w:rFonts w:ascii="Courier New" w:cs="Courier New" w:eastAsia="Courier New" w:hAnsi="Courier New"/>
          <w:sz w:val="18"/>
          <w:szCs w:val="18"/>
          <w:color w:val="auto"/>
        </w:rPr>
        <w:t>196,437</w:t>
      </w:r>
    </w:p>
    <w:p>
      <w:pPr>
        <w:jc w:val="center"/>
        <w:ind w:right="2439"/>
        <w:spacing w:after="0"/>
        <w:rPr>
          <w:sz w:val="20"/>
          <w:szCs w:val="20"/>
          <w:color w:val="auto"/>
        </w:rPr>
      </w:pPr>
      <w:r>
        <w:rPr>
          <w:rFonts w:ascii="Courier New" w:cs="Courier New" w:eastAsia="Courier New" w:hAnsi="Courier New"/>
          <w:sz w:val="18"/>
          <w:szCs w:val="18"/>
          <w:color w:val="auto"/>
        </w:rPr>
        <w:t>0</w:t>
      </w:r>
    </w:p>
    <w:p>
      <w:pPr>
        <w:jc w:val="center"/>
        <w:ind w:right="2439"/>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0</w:t>
      </w:r>
    </w:p>
    <w:p>
      <w:pPr>
        <w:ind w:left="3360"/>
        <w:spacing w:after="0" w:line="238" w:lineRule="auto"/>
        <w:rPr>
          <w:sz w:val="20"/>
          <w:szCs w:val="20"/>
          <w:color w:val="auto"/>
        </w:rPr>
      </w:pPr>
      <w:r>
        <w:rPr>
          <w:rFonts w:ascii="Courier New" w:cs="Courier New" w:eastAsia="Courier New" w:hAnsi="Courier New"/>
          <w:sz w:val="18"/>
          <w:szCs w:val="18"/>
          <w:color w:val="auto"/>
        </w:rPr>
        <w:t>13,839</w:t>
      </w:r>
    </w:p>
    <w:p>
      <w:pPr>
        <w:ind w:left="3780"/>
        <w:spacing w:after="0"/>
        <w:rPr>
          <w:sz w:val="20"/>
          <w:szCs w:val="20"/>
          <w:color w:val="auto"/>
        </w:rPr>
      </w:pPr>
      <w:r>
        <w:rPr>
          <w:rFonts w:ascii="Courier New" w:cs="Courier New" w:eastAsia="Courier New" w:hAnsi="Courier New"/>
          <w:sz w:val="18"/>
          <w:szCs w:val="18"/>
          <w:color w:val="auto"/>
        </w:rPr>
        <w:t>4,364</w:t>
      </w:r>
    </w:p>
    <w:p>
      <w:pPr>
        <w:ind w:left="3040"/>
        <w:spacing w:after="0" w:line="238" w:lineRule="auto"/>
        <w:rPr>
          <w:sz w:val="20"/>
          <w:szCs w:val="20"/>
          <w:color w:val="auto"/>
        </w:rPr>
      </w:pPr>
      <w:r>
        <w:rPr>
          <w:rFonts w:ascii="Courier New" w:cs="Courier New" w:eastAsia="Courier New" w:hAnsi="Courier New"/>
          <w:sz w:val="18"/>
          <w:szCs w:val="18"/>
          <w:color w:val="auto"/>
        </w:rPr>
        <w:t>9,475</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780"/>
        <w:spacing w:after="0" w:line="238" w:lineRule="auto"/>
        <w:rPr>
          <w:sz w:val="20"/>
          <w:szCs w:val="20"/>
          <w:color w:val="auto"/>
        </w:rPr>
      </w:pPr>
      <w:r>
        <w:rPr>
          <w:rFonts w:ascii="Courier New" w:cs="Courier New" w:eastAsia="Courier New" w:hAnsi="Courier New"/>
          <w:sz w:val="18"/>
          <w:szCs w:val="18"/>
          <w:color w:val="auto"/>
        </w:rPr>
        <w:t>9,475</w:t>
      </w:r>
    </w:p>
    <w:p>
      <w:pPr>
        <w:ind w:left="4100"/>
        <w:spacing w:after="0"/>
        <w:rPr>
          <w:sz w:val="20"/>
          <w:szCs w:val="20"/>
          <w:color w:val="auto"/>
        </w:rPr>
      </w:pPr>
      <w:r>
        <w:rPr>
          <w:rFonts w:ascii="Courier New" w:cs="Courier New" w:eastAsia="Courier New" w:hAnsi="Courier New"/>
          <w:sz w:val="18"/>
          <w:szCs w:val="18"/>
          <w:color w:val="auto"/>
        </w:rPr>
        <w:t>.75</w:t>
      </w:r>
    </w:p>
    <w:p>
      <w:pPr>
        <w:ind w:left="3900"/>
        <w:spacing w:after="0"/>
        <w:rPr>
          <w:sz w:val="20"/>
          <w:szCs w:val="20"/>
          <w:color w:val="auto"/>
        </w:rPr>
      </w:pPr>
      <w:r>
        <w:rPr>
          <w:rFonts w:ascii="Courier New" w:cs="Courier New" w:eastAsia="Courier New" w:hAnsi="Courier New"/>
          <w:sz w:val="18"/>
          <w:szCs w:val="18"/>
          <w:color w:val="auto"/>
        </w:rPr>
        <w:t>.75</w:t>
      </w:r>
    </w:p>
    <w:sectPr>
      <w:pgSz w:w="11900" w:h="16838" w:orient="portrait"/>
      <w:cols w:equalWidth="0" w:num="1">
        <w:col w:w="10099"/>
      </w:cols>
      <w:pgMar w:left="36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2020-02-22T14:53:22Z</dcterms:created>
  <dcterms:modified xsi:type="dcterms:W3CDTF">2020-02-22T14:53:22Z</dcterms:modified>
</cp:coreProperties>
</file>