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4"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FORM 10-Q</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(X) QUARTERLY REPORT PURSUANT TO SECTION 13 OR 15 (d) OF</w:t>
      </w:r>
    </w:p>
    <w:p>
      <w:pPr>
        <w:spacing w:after="0" w:line="30"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THE QUARTERLY PERIOD ENDED AUGUST 26, 2000</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 ] TRANSITION REPORT PURSUANT TO SECTION 13 OR 15 (d) OF</w:t>
      </w:r>
    </w:p>
    <w:p>
      <w:pPr>
        <w:spacing w:after="0" w:line="30"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46"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For the transition period from _______________ to _________________</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No. 0-209</w:t>
      </w:r>
    </w:p>
    <w:p>
      <w:pPr>
        <w:spacing w:after="0" w:line="3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30"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46" w:lineRule="exact"/>
        <w:rPr>
          <w:sz w:val="24"/>
          <w:szCs w:val="24"/>
          <w:color w:val="auto"/>
        </w:rPr>
      </w:pPr>
    </w:p>
    <w:tbl>
      <w:tblPr>
        <w:tblLayout w:type="fixed"/>
        <w:tblInd w:w="1160" w:type="dxa"/>
        <w:tblCellMar>
          <w:top w:w="0" w:type="dxa"/>
          <w:left w:w="0" w:type="dxa"/>
          <w:bottom w:w="0" w:type="dxa"/>
          <w:right w:w="0" w:type="dxa"/>
        </w:tblCellMar>
      </w:tblP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Virginia</w:t>
            </w:r>
          </w:p>
        </w:tc>
        <w:tc>
          <w:tcPr>
            <w:tcW w:w="19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54-0135270</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(State or other jurisdiction</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(I.R.S. Employer</w:t>
            </w:r>
          </w:p>
        </w:tc>
      </w:tr>
      <w:tr>
        <w:trPr>
          <w:trHeight w:val="252"/>
        </w:trPr>
        <w:tc>
          <w:tcPr>
            <w:tcW w:w="3220" w:type="dxa"/>
            <w:vAlign w:val="bottom"/>
          </w:tcPr>
          <w:p>
            <w:pPr>
              <w:spacing w:after="0"/>
              <w:rPr>
                <w:sz w:val="20"/>
                <w:szCs w:val="20"/>
                <w:color w:val="auto"/>
              </w:rPr>
            </w:pPr>
            <w:r>
              <w:rPr>
                <w:rFonts w:ascii="Courier New" w:cs="Courier New" w:eastAsia="Courier New" w:hAnsi="Courier New"/>
                <w:sz w:val="15"/>
                <w:szCs w:val="15"/>
                <w:color w:val="auto"/>
              </w:rPr>
              <w:t>of incorporation or organization)</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w w:val="98"/>
              </w:rPr>
              <w:t>Identification No.)</w:t>
            </w:r>
          </w:p>
        </w:tc>
      </w:tr>
    </w:tbl>
    <w:p>
      <w:pPr>
        <w:spacing w:after="0" w:line="92" w:lineRule="exact"/>
        <w:rPr>
          <w:sz w:val="24"/>
          <w:szCs w:val="24"/>
          <w:color w:val="auto"/>
        </w:rPr>
      </w:pPr>
    </w:p>
    <w:p>
      <w:pPr>
        <w:ind w:left="2320"/>
        <w:spacing w:after="0"/>
        <w:rPr>
          <w:sz w:val="20"/>
          <w:szCs w:val="20"/>
          <w:color w:val="auto"/>
        </w:rPr>
      </w:pPr>
      <w:r>
        <w:rPr>
          <w:rFonts w:ascii="Courier New" w:cs="Courier New" w:eastAsia="Courier New" w:hAnsi="Courier New"/>
          <w:sz w:val="15"/>
          <w:szCs w:val="15"/>
          <w:color w:val="auto"/>
        </w:rPr>
        <w:t>3525 Fairystone Park Highway</w:t>
      </w:r>
    </w:p>
    <w:p>
      <w:pPr>
        <w:spacing w:after="0" w:line="30"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Bassett, Virginia 24055</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(Zip Code)</w:t>
      </w:r>
    </w:p>
    <w:p>
      <w:pPr>
        <w:spacing w:after="0" w:line="318"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(540) 629-6000</w:t>
      </w:r>
    </w:p>
    <w:p>
      <w:pPr>
        <w:spacing w:after="0" w:line="30"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46" w:lineRule="exact"/>
        <w:rPr>
          <w:sz w:val="24"/>
          <w:szCs w:val="24"/>
          <w:color w:val="auto"/>
        </w:rPr>
      </w:pPr>
    </w:p>
    <w:p>
      <w:pPr>
        <w:jc w:val="both"/>
        <w:ind w:right="3079"/>
        <w:spacing w:after="0" w:line="27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such filing requirements</w:t>
      </w:r>
    </w:p>
    <w:p>
      <w:pPr>
        <w:spacing w:after="0" w:line="1" w:lineRule="exact"/>
        <w:rPr>
          <w:sz w:val="24"/>
          <w:szCs w:val="24"/>
          <w:color w:val="auto"/>
        </w:rPr>
      </w:pPr>
    </w:p>
    <w:p>
      <w:pPr>
        <w:spacing w:after="0"/>
        <w:tabs>
          <w:tab w:leader="none" w:pos="2560" w:val="left"/>
        </w:tabs>
        <w:rPr>
          <w:sz w:val="20"/>
          <w:szCs w:val="20"/>
          <w:color w:val="auto"/>
        </w:rPr>
      </w:pPr>
      <w:r>
        <w:rPr>
          <w:rFonts w:ascii="Courier New" w:cs="Courier New" w:eastAsia="Courier New" w:hAnsi="Courier New"/>
          <w:sz w:val="15"/>
          <w:szCs w:val="15"/>
          <w:color w:val="auto"/>
        </w:rPr>
        <w:t>for the past 90 days. Yes</w:t>
      </w:r>
      <w:r>
        <w:rPr>
          <w:sz w:val="20"/>
          <w:szCs w:val="20"/>
          <w:color w:val="auto"/>
        </w:rPr>
        <w:tab/>
      </w:r>
      <w:r>
        <w:rPr>
          <w:rFonts w:ascii="Courier New" w:cs="Courier New" w:eastAsia="Courier New" w:hAnsi="Courier New"/>
          <w:sz w:val="14"/>
          <w:szCs w:val="14"/>
          <w:color w:val="auto"/>
        </w:rPr>
        <w:t>No X</w:t>
      </w:r>
    </w:p>
    <w:p>
      <w:pPr>
        <w:spacing w:after="0" w:line="2" w:lineRule="exact"/>
        <w:rPr>
          <w:sz w:val="24"/>
          <w:szCs w:val="24"/>
          <w:color w:val="auto"/>
        </w:rPr>
      </w:pPr>
    </w:p>
    <w:p>
      <w:pPr>
        <w:ind w:left="2220"/>
        <w:spacing w:after="0"/>
        <w:tabs>
          <w:tab w:leader="none" w:pos="2740" w:val="left"/>
        </w:tabs>
        <w:rPr>
          <w:sz w:val="20"/>
          <w:szCs w:val="20"/>
          <w:color w:val="auto"/>
        </w:rPr>
      </w:pPr>
      <w:r>
        <w:rPr>
          <w:rFonts w:ascii="Courier New" w:cs="Courier New" w:eastAsia="Courier New" w:hAnsi="Courier New"/>
          <w:sz w:val="15"/>
          <w:szCs w:val="15"/>
          <w:color w:val="auto"/>
        </w:rPr>
        <w:t>---</w:t>
        <w:tab/>
        <w:t>---</w:t>
      </w:r>
    </w:p>
    <w:p>
      <w:pPr>
        <w:spacing w:after="0" w:line="146" w:lineRule="exact"/>
        <w:rPr>
          <w:sz w:val="24"/>
          <w:szCs w:val="24"/>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Form 10-K (a) Amendment No. 2 was filed April 11, 2000, subsequent to the March 31, 2000 filing date.</w:t>
      </w:r>
    </w:p>
    <w:p>
      <w:pPr>
        <w:spacing w:after="0" w:line="8" w:lineRule="exact"/>
        <w:rPr>
          <w:sz w:val="24"/>
          <w:szCs w:val="24"/>
          <w:color w:val="auto"/>
        </w:rPr>
      </w:pPr>
    </w:p>
    <w:p>
      <w:pPr>
        <w:ind w:right="3439"/>
        <w:spacing w:after="0" w:line="359" w:lineRule="auto"/>
        <w:rPr>
          <w:sz w:val="20"/>
          <w:szCs w:val="20"/>
          <w:color w:val="auto"/>
        </w:rPr>
      </w:pPr>
      <w:r>
        <w:rPr>
          <w:rFonts w:ascii="Courier New" w:cs="Courier New" w:eastAsia="Courier New" w:hAnsi="Courier New"/>
          <w:sz w:val="15"/>
          <w:szCs w:val="15"/>
          <w:color w:val="auto"/>
        </w:rPr>
        <w:t>At October 5, 2000, 11,772,854 shares of common stock of the Registrant were outstanding.</w:t>
      </w:r>
    </w:p>
    <w:p>
      <w:pPr>
        <w:spacing w:after="0" w:line="200" w:lineRule="exact"/>
        <w:rPr>
          <w:sz w:val="24"/>
          <w:szCs w:val="24"/>
          <w:color w:val="auto"/>
        </w:rPr>
      </w:pPr>
    </w:p>
    <w:p>
      <w:pPr>
        <w:spacing w:after="0" w:line="324"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1 of 16</w:t>
      </w:r>
    </w:p>
    <w:p>
      <w:pPr>
        <w:sectPr>
          <w:pgSz w:w="11900" w:h="16838" w:orient="portrait"/>
          <w:cols w:equalWidth="0" w:num="1">
            <w:col w:w="10219"/>
          </w:cols>
          <w:pgMar w:left="240" w:top="20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2"/>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4920" w:type="dxa"/>
            <w:vAlign w:val="bottom"/>
            <w:gridSpan w:val="2"/>
          </w:tcPr>
          <w:p>
            <w:pPr>
              <w:ind w:left="2220"/>
              <w:spacing w:after="0"/>
              <w:rPr>
                <w:sz w:val="20"/>
                <w:szCs w:val="20"/>
                <w:color w:val="auto"/>
              </w:rPr>
            </w:pPr>
            <w:r>
              <w:rPr>
                <w:rFonts w:ascii="Courier New" w:cs="Courier New" w:eastAsia="Courier New" w:hAnsi="Courier New"/>
                <w:sz w:val="15"/>
                <w:szCs w:val="15"/>
                <w:color w:val="auto"/>
                <w:w w:val="99"/>
              </w:rPr>
              <w:t>PART I - FINANCIAL INFORMATION</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12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BASSETT FURNITURE INDUSTRIES INC. AND SUBSIDIARIES</w:t>
            </w: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4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CONDENSED CONSOLIDATED STATEMENTS OF INCOME AND RETAINED EARNINGS</w:t>
            </w: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4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FOR THE PERIODS ENDED AUGUST 26, 2000 AND AUGUST 28, 1999 - UNAUDITED</w:t>
            </w: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6120" w:type="dxa"/>
            <w:vAlign w:val="bottom"/>
            <w:gridSpan w:val="3"/>
          </w:tcPr>
          <w:p>
            <w:pPr>
              <w:jc w:val="right"/>
              <w:ind w:right="505"/>
              <w:spacing w:after="0"/>
              <w:rPr>
                <w:sz w:val="20"/>
                <w:szCs w:val="20"/>
                <w:color w:val="auto"/>
              </w:rPr>
            </w:pPr>
            <w:r>
              <w:rPr>
                <w:rFonts w:ascii="Courier New" w:cs="Courier New" w:eastAsia="Courier New" w:hAnsi="Courier New"/>
                <w:sz w:val="15"/>
                <w:szCs w:val="15"/>
                <w:color w:val="auto"/>
              </w:rPr>
              <w:t>(Dollars in thousands except per share data)</w:t>
            </w: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4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20" w:type="dxa"/>
            <w:vAlign w:val="bottom"/>
            <w:gridSpan w:val="3"/>
          </w:tcPr>
          <w:p>
            <w:pPr>
              <w:jc w:val="right"/>
              <w:ind w:right="1005"/>
              <w:spacing w:after="0"/>
              <w:rPr>
                <w:sz w:val="20"/>
                <w:szCs w:val="20"/>
                <w:color w:val="auto"/>
              </w:rPr>
            </w:pPr>
            <w:r>
              <w:rPr>
                <w:rFonts w:ascii="Courier New" w:cs="Courier New" w:eastAsia="Courier New" w:hAnsi="Courier New"/>
                <w:sz w:val="15"/>
                <w:szCs w:val="15"/>
                <w:color w:val="auto"/>
              </w:rPr>
              <w:t>Nine Months Ended</w:t>
            </w:r>
          </w:p>
        </w:tc>
        <w:tc>
          <w:tcPr>
            <w:tcW w:w="58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Quarter Ended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3940" w:type="dxa"/>
            <w:vAlign w:val="bottom"/>
            <w:gridSpan w:val="4"/>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4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20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August 26, 2000</w:t>
            </w:r>
          </w:p>
        </w:tc>
        <w:tc>
          <w:tcPr>
            <w:tcW w:w="19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August 28, 1999</w:t>
            </w:r>
          </w:p>
        </w:tc>
        <w:tc>
          <w:tcPr>
            <w:tcW w:w="1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August 26, 2000</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August 28, 1999</w:t>
            </w:r>
          </w:p>
        </w:tc>
        <w:tc>
          <w:tcPr>
            <w:tcW w:w="0" w:type="dxa"/>
            <w:vAlign w:val="bottom"/>
          </w:tcPr>
          <w:p>
            <w:pPr>
              <w:spacing w:after="0"/>
              <w:rPr>
                <w:sz w:val="1"/>
                <w:szCs w:val="1"/>
                <w:color w:val="auto"/>
              </w:rPr>
            </w:pPr>
          </w:p>
        </w:tc>
      </w:tr>
      <w:tr>
        <w:trPr>
          <w:trHeight w:val="252"/>
        </w:trPr>
        <w:tc>
          <w:tcPr>
            <w:tcW w:w="4100" w:type="dxa"/>
            <w:vAlign w:val="bottom"/>
          </w:tcPr>
          <w:p>
            <w:pPr>
              <w:spacing w:after="0"/>
              <w:rPr>
                <w:sz w:val="21"/>
                <w:szCs w:val="21"/>
                <w:color w:val="auto"/>
              </w:rPr>
            </w:pPr>
          </w:p>
        </w:tc>
        <w:tc>
          <w:tcPr>
            <w:tcW w:w="20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0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$ 278,542</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$ 291,885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91,155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88,803</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820" w:type="dxa"/>
            <w:vAlign w:val="bottom"/>
          </w:tcPr>
          <w:p>
            <w:pPr>
              <w:spacing w:after="0"/>
              <w:rPr>
                <w:sz w:val="14"/>
                <w:szCs w:val="14"/>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5"/>
              </w:rPr>
              <w:t>225,929</w:t>
            </w:r>
          </w:p>
        </w:tc>
        <w:tc>
          <w:tcPr>
            <w:tcW w:w="620" w:type="dxa"/>
            <w:vAlign w:val="bottom"/>
          </w:tcPr>
          <w:p>
            <w:pPr>
              <w:spacing w:after="0"/>
              <w:rPr>
                <w:sz w:val="14"/>
                <w:szCs w:val="14"/>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228,768</w:t>
            </w:r>
          </w:p>
        </w:tc>
        <w:tc>
          <w:tcPr>
            <w:tcW w:w="580" w:type="dxa"/>
            <w:vAlign w:val="bottom"/>
          </w:tcPr>
          <w:p>
            <w:pPr>
              <w:spacing w:after="0"/>
              <w:rPr>
                <w:sz w:val="14"/>
                <w:szCs w:val="14"/>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75,287</w:t>
            </w:r>
          </w:p>
        </w:tc>
        <w:tc>
          <w:tcPr>
            <w:tcW w:w="580" w:type="dxa"/>
            <w:vAlign w:val="bottom"/>
          </w:tcPr>
          <w:p>
            <w:pPr>
              <w:spacing w:after="0"/>
              <w:rPr>
                <w:sz w:val="14"/>
                <w:szCs w:val="14"/>
                <w:color w:val="auto"/>
              </w:rPr>
            </w:pP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68,579</w:t>
            </w:r>
          </w:p>
        </w:tc>
        <w:tc>
          <w:tcPr>
            <w:tcW w:w="0" w:type="dxa"/>
            <w:vAlign w:val="bottom"/>
          </w:tcPr>
          <w:p>
            <w:pPr>
              <w:spacing w:after="0"/>
              <w:rPr>
                <w:sz w:val="1"/>
                <w:szCs w:val="1"/>
                <w:color w:val="auto"/>
              </w:rPr>
            </w:pPr>
          </w:p>
        </w:tc>
      </w:tr>
      <w:tr>
        <w:trPr>
          <w:trHeight w:val="172"/>
        </w:trPr>
        <w:tc>
          <w:tcPr>
            <w:tcW w:w="410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20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10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52,613</w:t>
            </w:r>
          </w:p>
        </w:tc>
        <w:tc>
          <w:tcPr>
            <w:tcW w:w="620" w:type="dxa"/>
            <w:vAlign w:val="bottom"/>
          </w:tcPr>
          <w:p>
            <w:pPr>
              <w:spacing w:after="0"/>
              <w:rPr>
                <w:sz w:val="21"/>
                <w:szCs w:val="21"/>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63,117</w:t>
            </w:r>
          </w:p>
        </w:tc>
        <w:tc>
          <w:tcPr>
            <w:tcW w:w="580" w:type="dxa"/>
            <w:vAlign w:val="bottom"/>
          </w:tcPr>
          <w:p>
            <w:pPr>
              <w:spacing w:after="0"/>
              <w:rPr>
                <w:sz w:val="21"/>
                <w:szCs w:val="21"/>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15,868</w:t>
            </w:r>
          </w:p>
        </w:tc>
        <w:tc>
          <w:tcPr>
            <w:tcW w:w="580" w:type="dxa"/>
            <w:vAlign w:val="bottom"/>
          </w:tcPr>
          <w:p>
            <w:pPr>
              <w:spacing w:after="0"/>
              <w:rPr>
                <w:sz w:val="21"/>
                <w:szCs w:val="21"/>
                <w:color w:val="auto"/>
              </w:rPr>
            </w:pP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20,224</w:t>
            </w: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820" w:type="dxa"/>
            <w:vAlign w:val="bottom"/>
          </w:tcPr>
          <w:p>
            <w:pPr>
              <w:spacing w:after="0"/>
              <w:rPr>
                <w:sz w:val="22"/>
                <w:szCs w:val="22"/>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44,573</w:t>
            </w:r>
          </w:p>
        </w:tc>
        <w:tc>
          <w:tcPr>
            <w:tcW w:w="620" w:type="dxa"/>
            <w:vAlign w:val="bottom"/>
          </w:tcPr>
          <w:p>
            <w:pPr>
              <w:spacing w:after="0"/>
              <w:rPr>
                <w:sz w:val="22"/>
                <w:szCs w:val="22"/>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53,072</w:t>
            </w:r>
          </w:p>
        </w:tc>
        <w:tc>
          <w:tcPr>
            <w:tcW w:w="580" w:type="dxa"/>
            <w:vAlign w:val="bottom"/>
          </w:tcPr>
          <w:p>
            <w:pPr>
              <w:spacing w:after="0"/>
              <w:rPr>
                <w:sz w:val="22"/>
                <w:szCs w:val="22"/>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13,606</w:t>
            </w:r>
          </w:p>
        </w:tc>
        <w:tc>
          <w:tcPr>
            <w:tcW w:w="580" w:type="dxa"/>
            <w:vAlign w:val="bottom"/>
          </w:tcPr>
          <w:p>
            <w:pPr>
              <w:spacing w:after="0"/>
              <w:rPr>
                <w:sz w:val="22"/>
                <w:szCs w:val="22"/>
                <w:color w:val="auto"/>
              </w:rPr>
            </w:pP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17,209</w:t>
            </w:r>
          </w:p>
        </w:tc>
        <w:tc>
          <w:tcPr>
            <w:tcW w:w="0" w:type="dxa"/>
            <w:vAlign w:val="bottom"/>
          </w:tcPr>
          <w:p>
            <w:pPr>
              <w:spacing w:after="0"/>
              <w:rPr>
                <w:sz w:val="1"/>
                <w:szCs w:val="1"/>
                <w:color w:val="auto"/>
              </w:rPr>
            </w:pPr>
          </w:p>
        </w:tc>
      </w:tr>
      <w:tr>
        <w:trPr>
          <w:trHeight w:val="172"/>
        </w:trPr>
        <w:tc>
          <w:tcPr>
            <w:tcW w:w="410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20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10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8,040</w:t>
            </w:r>
          </w:p>
        </w:tc>
        <w:tc>
          <w:tcPr>
            <w:tcW w:w="620" w:type="dxa"/>
            <w:vAlign w:val="bottom"/>
          </w:tcPr>
          <w:p>
            <w:pPr>
              <w:spacing w:after="0"/>
              <w:rPr>
                <w:sz w:val="21"/>
                <w:szCs w:val="21"/>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10,045</w:t>
            </w:r>
          </w:p>
        </w:tc>
        <w:tc>
          <w:tcPr>
            <w:tcW w:w="580" w:type="dxa"/>
            <w:vAlign w:val="bottom"/>
          </w:tcPr>
          <w:p>
            <w:pPr>
              <w:spacing w:after="0"/>
              <w:rPr>
                <w:sz w:val="21"/>
                <w:szCs w:val="21"/>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2,262</w:t>
            </w:r>
          </w:p>
        </w:tc>
        <w:tc>
          <w:tcPr>
            <w:tcW w:w="580" w:type="dxa"/>
            <w:vAlign w:val="bottom"/>
          </w:tcPr>
          <w:p>
            <w:pPr>
              <w:spacing w:after="0"/>
              <w:rPr>
                <w:sz w:val="21"/>
                <w:szCs w:val="21"/>
                <w:color w:val="auto"/>
              </w:rPr>
            </w:pP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3,015</w:t>
            </w: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820" w:type="dxa"/>
            <w:vAlign w:val="bottom"/>
          </w:tcPr>
          <w:p>
            <w:pPr>
              <w:spacing w:after="0"/>
              <w:rPr>
                <w:sz w:val="22"/>
                <w:szCs w:val="22"/>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11,807</w:t>
            </w:r>
          </w:p>
        </w:tc>
        <w:tc>
          <w:tcPr>
            <w:tcW w:w="620" w:type="dxa"/>
            <w:vAlign w:val="bottom"/>
          </w:tcPr>
          <w:p>
            <w:pPr>
              <w:spacing w:after="0"/>
              <w:rPr>
                <w:sz w:val="22"/>
                <w:szCs w:val="22"/>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10,316</w:t>
            </w:r>
          </w:p>
        </w:tc>
        <w:tc>
          <w:tcPr>
            <w:tcW w:w="580" w:type="dxa"/>
            <w:vAlign w:val="bottom"/>
          </w:tcPr>
          <w:p>
            <w:pPr>
              <w:spacing w:after="0"/>
              <w:rPr>
                <w:sz w:val="22"/>
                <w:szCs w:val="22"/>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4,069</w:t>
            </w:r>
          </w:p>
        </w:tc>
        <w:tc>
          <w:tcPr>
            <w:tcW w:w="580" w:type="dxa"/>
            <w:vAlign w:val="bottom"/>
          </w:tcPr>
          <w:p>
            <w:pPr>
              <w:spacing w:after="0"/>
              <w:rPr>
                <w:sz w:val="22"/>
                <w:szCs w:val="22"/>
                <w:color w:val="auto"/>
              </w:rPr>
            </w:pP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3,508</w:t>
            </w:r>
          </w:p>
        </w:tc>
        <w:tc>
          <w:tcPr>
            <w:tcW w:w="0" w:type="dxa"/>
            <w:vAlign w:val="bottom"/>
          </w:tcPr>
          <w:p>
            <w:pPr>
              <w:spacing w:after="0"/>
              <w:rPr>
                <w:sz w:val="1"/>
                <w:szCs w:val="1"/>
                <w:color w:val="auto"/>
              </w:rPr>
            </w:pPr>
          </w:p>
        </w:tc>
      </w:tr>
      <w:tr>
        <w:trPr>
          <w:trHeight w:val="172"/>
        </w:trPr>
        <w:tc>
          <w:tcPr>
            <w:tcW w:w="410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20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10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19,847</w:t>
            </w:r>
          </w:p>
        </w:tc>
        <w:tc>
          <w:tcPr>
            <w:tcW w:w="620" w:type="dxa"/>
            <w:vAlign w:val="bottom"/>
          </w:tcPr>
          <w:p>
            <w:pPr>
              <w:spacing w:after="0"/>
              <w:rPr>
                <w:sz w:val="21"/>
                <w:szCs w:val="21"/>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20,361</w:t>
            </w:r>
          </w:p>
        </w:tc>
        <w:tc>
          <w:tcPr>
            <w:tcW w:w="580" w:type="dxa"/>
            <w:vAlign w:val="bottom"/>
          </w:tcPr>
          <w:p>
            <w:pPr>
              <w:spacing w:after="0"/>
              <w:rPr>
                <w:sz w:val="21"/>
                <w:szCs w:val="21"/>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6,331</w:t>
            </w:r>
          </w:p>
        </w:tc>
        <w:tc>
          <w:tcPr>
            <w:tcW w:w="580" w:type="dxa"/>
            <w:vAlign w:val="bottom"/>
          </w:tcPr>
          <w:p>
            <w:pPr>
              <w:spacing w:after="0"/>
              <w:rPr>
                <w:sz w:val="21"/>
                <w:szCs w:val="21"/>
                <w:color w:val="auto"/>
              </w:rPr>
            </w:pP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6,523</w:t>
            </w: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820" w:type="dxa"/>
            <w:vAlign w:val="bottom"/>
          </w:tcPr>
          <w:p>
            <w:pPr>
              <w:spacing w:after="0"/>
              <w:rPr>
                <w:sz w:val="22"/>
                <w:szCs w:val="22"/>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(6,309)</w:t>
            </w:r>
          </w:p>
        </w:tc>
        <w:tc>
          <w:tcPr>
            <w:tcW w:w="620" w:type="dxa"/>
            <w:vAlign w:val="bottom"/>
          </w:tcPr>
          <w:p>
            <w:pPr>
              <w:spacing w:after="0"/>
              <w:rPr>
                <w:sz w:val="22"/>
                <w:szCs w:val="22"/>
                <w:color w:val="auto"/>
              </w:rPr>
            </w:pP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(6,482)</w:t>
            </w:r>
          </w:p>
        </w:tc>
        <w:tc>
          <w:tcPr>
            <w:tcW w:w="580" w:type="dxa"/>
            <w:vAlign w:val="bottom"/>
          </w:tcPr>
          <w:p>
            <w:pPr>
              <w:spacing w:after="0"/>
              <w:rPr>
                <w:sz w:val="22"/>
                <w:szCs w:val="22"/>
                <w:color w:val="auto"/>
              </w:rPr>
            </w:pP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(2,026)</w:t>
            </w:r>
          </w:p>
        </w:tc>
        <w:tc>
          <w:tcPr>
            <w:tcW w:w="580" w:type="dxa"/>
            <w:vAlign w:val="bottom"/>
          </w:tcPr>
          <w:p>
            <w:pPr>
              <w:spacing w:after="0"/>
              <w:rPr>
                <w:sz w:val="22"/>
                <w:szCs w:val="22"/>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(2,118)</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820" w:type="dxa"/>
            <w:vAlign w:val="bottom"/>
          </w:tcPr>
          <w:p>
            <w:pPr>
              <w:spacing w:after="0"/>
              <w:rPr>
                <w:sz w:val="14"/>
                <w:szCs w:val="14"/>
                <w:color w:val="auto"/>
              </w:rPr>
            </w:pPr>
          </w:p>
        </w:tc>
        <w:tc>
          <w:tcPr>
            <w:tcW w:w="1200" w:type="dxa"/>
            <w:vAlign w:val="bottom"/>
            <w:vMerge w:val="restart"/>
          </w:tcPr>
          <w:p>
            <w:pPr>
              <w:jc w:val="right"/>
              <w:ind w:right="505"/>
              <w:spacing w:after="0"/>
              <w:rPr>
                <w:sz w:val="20"/>
                <w:szCs w:val="20"/>
                <w:color w:val="auto"/>
              </w:rPr>
            </w:pPr>
            <w:r>
              <w:rPr>
                <w:rFonts w:ascii="Courier New" w:cs="Courier New" w:eastAsia="Courier New" w:hAnsi="Courier New"/>
                <w:sz w:val="15"/>
                <w:szCs w:val="15"/>
                <w:color w:val="auto"/>
              </w:rPr>
              <w:t>13,538</w:t>
            </w:r>
          </w:p>
        </w:tc>
        <w:tc>
          <w:tcPr>
            <w:tcW w:w="620" w:type="dxa"/>
            <w:vAlign w:val="bottom"/>
          </w:tcPr>
          <w:p>
            <w:pPr>
              <w:spacing w:after="0"/>
              <w:rPr>
                <w:sz w:val="14"/>
                <w:szCs w:val="14"/>
                <w:color w:val="auto"/>
              </w:rPr>
            </w:pPr>
          </w:p>
        </w:tc>
        <w:tc>
          <w:tcPr>
            <w:tcW w:w="130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13,879</w:t>
            </w:r>
          </w:p>
        </w:tc>
        <w:tc>
          <w:tcPr>
            <w:tcW w:w="580" w:type="dxa"/>
            <w:vAlign w:val="bottom"/>
          </w:tcPr>
          <w:p>
            <w:pPr>
              <w:spacing w:after="0"/>
              <w:rPr>
                <w:sz w:val="14"/>
                <w:szCs w:val="14"/>
                <w:color w:val="auto"/>
              </w:rPr>
            </w:pPr>
          </w:p>
        </w:tc>
        <w:tc>
          <w:tcPr>
            <w:tcW w:w="130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4,305</w:t>
            </w:r>
          </w:p>
        </w:tc>
        <w:tc>
          <w:tcPr>
            <w:tcW w:w="580" w:type="dxa"/>
            <w:vAlign w:val="bottom"/>
          </w:tcPr>
          <w:p>
            <w:pPr>
              <w:spacing w:after="0"/>
              <w:rPr>
                <w:sz w:val="14"/>
                <w:szCs w:val="14"/>
                <w:color w:val="auto"/>
              </w:rPr>
            </w:pPr>
          </w:p>
        </w:tc>
        <w:tc>
          <w:tcPr>
            <w:tcW w:w="1020" w:type="dxa"/>
            <w:vAlign w:val="bottom"/>
            <w:vMerge w:val="restart"/>
          </w:tcPr>
          <w:p>
            <w:pPr>
              <w:jc w:val="right"/>
              <w:ind w:right="265"/>
              <w:spacing w:after="0"/>
              <w:rPr>
                <w:sz w:val="20"/>
                <w:szCs w:val="20"/>
                <w:color w:val="auto"/>
              </w:rPr>
            </w:pPr>
            <w:r>
              <w:rPr>
                <w:rFonts w:ascii="Courier New" w:cs="Courier New" w:eastAsia="Courier New" w:hAnsi="Courier New"/>
                <w:sz w:val="15"/>
                <w:szCs w:val="15"/>
                <w:color w:val="auto"/>
              </w:rPr>
              <w:t>4,405</w:t>
            </w:r>
          </w:p>
        </w:tc>
        <w:tc>
          <w:tcPr>
            <w:tcW w:w="0" w:type="dxa"/>
            <w:vAlign w:val="bottom"/>
          </w:tcPr>
          <w:p>
            <w:pPr>
              <w:spacing w:after="0"/>
              <w:rPr>
                <w:sz w:val="1"/>
                <w:szCs w:val="1"/>
                <w:color w:val="auto"/>
              </w:rPr>
            </w:pPr>
          </w:p>
        </w:tc>
      </w:tr>
      <w:tr>
        <w:trPr>
          <w:trHeight w:val="172"/>
        </w:trPr>
        <w:tc>
          <w:tcPr>
            <w:tcW w:w="4100" w:type="dxa"/>
            <w:vAlign w:val="bottom"/>
          </w:tcPr>
          <w:p>
            <w:pPr>
              <w:ind w:left="980"/>
              <w:spacing w:after="0"/>
              <w:rPr>
                <w:sz w:val="20"/>
                <w:szCs w:val="20"/>
                <w:color w:val="auto"/>
              </w:rPr>
            </w:pPr>
            <w:r>
              <w:rPr>
                <w:rFonts w:ascii="Courier New" w:cs="Courier New" w:eastAsia="Courier New" w:hAnsi="Courier New"/>
                <w:sz w:val="15"/>
                <w:szCs w:val="15"/>
                <w:color w:val="auto"/>
              </w:rPr>
              <w:t>of accounting change</w:t>
            </w:r>
          </w:p>
        </w:tc>
        <w:tc>
          <w:tcPr>
            <w:tcW w:w="8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w:t>
            </w:r>
          </w:p>
        </w:tc>
        <w:tc>
          <w:tcPr>
            <w:tcW w:w="820" w:type="dxa"/>
            <w:vAlign w:val="bottom"/>
          </w:tcPr>
          <w:p>
            <w:pPr>
              <w:spacing w:after="0"/>
              <w:rPr>
                <w:sz w:val="14"/>
                <w:szCs w:val="14"/>
                <w:color w:val="auto"/>
              </w:rPr>
            </w:pPr>
          </w:p>
        </w:tc>
        <w:tc>
          <w:tcPr>
            <w:tcW w:w="120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(364)</w:t>
            </w:r>
          </w:p>
        </w:tc>
        <w:tc>
          <w:tcPr>
            <w:tcW w:w="620" w:type="dxa"/>
            <w:vAlign w:val="bottom"/>
          </w:tcPr>
          <w:p>
            <w:pPr>
              <w:spacing w:after="0"/>
              <w:rPr>
                <w:sz w:val="14"/>
                <w:szCs w:val="14"/>
                <w:color w:val="auto"/>
              </w:rPr>
            </w:pPr>
          </w:p>
        </w:tc>
        <w:tc>
          <w:tcPr>
            <w:tcW w:w="130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30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20" w:type="dxa"/>
            <w:vAlign w:val="bottom"/>
            <w:vMerge w:val="restart"/>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100" w:type="dxa"/>
            <w:vAlign w:val="bottom"/>
          </w:tcPr>
          <w:p>
            <w:pPr>
              <w:ind w:left="520"/>
              <w:spacing w:after="0"/>
              <w:rPr>
                <w:sz w:val="20"/>
                <w:szCs w:val="20"/>
                <w:color w:val="auto"/>
              </w:rPr>
            </w:pPr>
            <w:r>
              <w:rPr>
                <w:rFonts w:ascii="Courier New" w:cs="Courier New" w:eastAsia="Courier New" w:hAnsi="Courier New"/>
                <w:sz w:val="15"/>
                <w:szCs w:val="15"/>
                <w:color w:val="auto"/>
              </w:rPr>
              <w:t>change (net of income taxes of $171)</w:t>
            </w:r>
          </w:p>
        </w:tc>
        <w:tc>
          <w:tcPr>
            <w:tcW w:w="8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20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10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13,174</w:t>
            </w:r>
          </w:p>
        </w:tc>
        <w:tc>
          <w:tcPr>
            <w:tcW w:w="620" w:type="dxa"/>
            <w:vAlign w:val="bottom"/>
          </w:tcPr>
          <w:p>
            <w:pPr>
              <w:spacing w:after="0"/>
              <w:rPr>
                <w:sz w:val="21"/>
                <w:szCs w:val="21"/>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13,879</w:t>
            </w:r>
          </w:p>
        </w:tc>
        <w:tc>
          <w:tcPr>
            <w:tcW w:w="580" w:type="dxa"/>
            <w:vAlign w:val="bottom"/>
          </w:tcPr>
          <w:p>
            <w:pPr>
              <w:spacing w:after="0"/>
              <w:rPr>
                <w:sz w:val="21"/>
                <w:szCs w:val="21"/>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4,305</w:t>
            </w:r>
          </w:p>
        </w:tc>
        <w:tc>
          <w:tcPr>
            <w:tcW w:w="580" w:type="dxa"/>
            <w:vAlign w:val="bottom"/>
          </w:tcPr>
          <w:p>
            <w:pPr>
              <w:spacing w:after="0"/>
              <w:rPr>
                <w:sz w:val="21"/>
                <w:szCs w:val="21"/>
                <w:color w:val="auto"/>
              </w:rPr>
            </w:pP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4,405</w:t>
            </w: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0"/>
                <w:szCs w:val="20"/>
                <w:color w:val="auto"/>
              </w:rPr>
            </w:pPr>
            <w:r>
              <w:rPr>
                <w:rFonts w:ascii="Courier New" w:cs="Courier New" w:eastAsia="Courier New" w:hAnsi="Courier New"/>
                <w:sz w:val="15"/>
                <w:szCs w:val="15"/>
                <w:color w:val="auto"/>
              </w:rPr>
              <w:t>Retained earnings-beginning of period</w:t>
            </w:r>
          </w:p>
        </w:tc>
        <w:tc>
          <w:tcPr>
            <w:tcW w:w="820" w:type="dxa"/>
            <w:vAlign w:val="bottom"/>
          </w:tcPr>
          <w:p>
            <w:pPr>
              <w:spacing w:after="0"/>
              <w:rPr>
                <w:sz w:val="22"/>
                <w:szCs w:val="22"/>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5"/>
              </w:rPr>
              <w:t>187,973</w:t>
            </w:r>
          </w:p>
        </w:tc>
        <w:tc>
          <w:tcPr>
            <w:tcW w:w="620" w:type="dxa"/>
            <w:vAlign w:val="bottom"/>
          </w:tcPr>
          <w:p>
            <w:pPr>
              <w:spacing w:after="0"/>
              <w:rPr>
                <w:sz w:val="22"/>
                <w:szCs w:val="22"/>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193,130</w:t>
            </w:r>
          </w:p>
        </w:tc>
        <w:tc>
          <w:tcPr>
            <w:tcW w:w="580" w:type="dxa"/>
            <w:vAlign w:val="bottom"/>
          </w:tcPr>
          <w:p>
            <w:pPr>
              <w:spacing w:after="0"/>
              <w:rPr>
                <w:sz w:val="22"/>
                <w:szCs w:val="22"/>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189,183</w:t>
            </w:r>
          </w:p>
        </w:tc>
        <w:tc>
          <w:tcPr>
            <w:tcW w:w="580" w:type="dxa"/>
            <w:vAlign w:val="bottom"/>
          </w:tcPr>
          <w:p>
            <w:pPr>
              <w:spacing w:after="0"/>
              <w:rPr>
                <w:sz w:val="22"/>
                <w:szCs w:val="22"/>
                <w:color w:val="auto"/>
              </w:rPr>
            </w:pP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191,824</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Cash dividends</w:t>
            </w:r>
          </w:p>
        </w:tc>
        <w:tc>
          <w:tcPr>
            <w:tcW w:w="82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(7,142)</w:t>
            </w:r>
          </w:p>
        </w:tc>
        <w:tc>
          <w:tcPr>
            <w:tcW w:w="620" w:type="dxa"/>
            <w:vAlign w:val="bottom"/>
          </w:tcPr>
          <w:p>
            <w:pPr>
              <w:spacing w:after="0"/>
              <w:rPr>
                <w:sz w:val="14"/>
                <w:szCs w:val="14"/>
                <w:color w:val="auto"/>
              </w:rPr>
            </w:pP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(7,551)</w:t>
            </w:r>
          </w:p>
        </w:tc>
        <w:tc>
          <w:tcPr>
            <w:tcW w:w="580" w:type="dxa"/>
            <w:vAlign w:val="bottom"/>
          </w:tcPr>
          <w:p>
            <w:pPr>
              <w:spacing w:after="0"/>
              <w:rPr>
                <w:sz w:val="14"/>
                <w:szCs w:val="14"/>
                <w:color w:val="auto"/>
              </w:rPr>
            </w:pP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(2,354)</w:t>
            </w:r>
          </w:p>
        </w:tc>
        <w:tc>
          <w:tcPr>
            <w:tcW w:w="58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(2,479)</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Purchase and retirement of</w:t>
            </w:r>
          </w:p>
        </w:tc>
        <w:tc>
          <w:tcPr>
            <w:tcW w:w="820" w:type="dxa"/>
            <w:vAlign w:val="bottom"/>
          </w:tcPr>
          <w:p>
            <w:pPr>
              <w:spacing w:after="0"/>
              <w:rPr>
                <w:sz w:val="14"/>
                <w:szCs w:val="14"/>
                <w:color w:val="auto"/>
              </w:rPr>
            </w:pPr>
          </w:p>
        </w:tc>
        <w:tc>
          <w:tcPr>
            <w:tcW w:w="120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(2,871)</w:t>
            </w:r>
          </w:p>
        </w:tc>
        <w:tc>
          <w:tcPr>
            <w:tcW w:w="620" w:type="dxa"/>
            <w:vAlign w:val="bottom"/>
          </w:tcPr>
          <w:p>
            <w:pPr>
              <w:spacing w:after="0"/>
              <w:rPr>
                <w:sz w:val="14"/>
                <w:szCs w:val="14"/>
                <w:color w:val="auto"/>
              </w:rPr>
            </w:pPr>
          </w:p>
        </w:tc>
        <w:tc>
          <w:tcPr>
            <w:tcW w:w="130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(10,167)</w:t>
            </w:r>
          </w:p>
        </w:tc>
        <w:tc>
          <w:tcPr>
            <w:tcW w:w="580" w:type="dxa"/>
            <w:vAlign w:val="bottom"/>
          </w:tcPr>
          <w:p>
            <w:pPr>
              <w:spacing w:after="0"/>
              <w:rPr>
                <w:sz w:val="14"/>
                <w:szCs w:val="14"/>
                <w:color w:val="auto"/>
              </w:rPr>
            </w:pPr>
          </w:p>
        </w:tc>
        <w:tc>
          <w:tcPr>
            <w:tcW w:w="130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2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(4,459)</w:t>
            </w:r>
          </w:p>
        </w:tc>
        <w:tc>
          <w:tcPr>
            <w:tcW w:w="0" w:type="dxa"/>
            <w:vAlign w:val="bottom"/>
          </w:tcPr>
          <w:p>
            <w:pPr>
              <w:spacing w:after="0"/>
              <w:rPr>
                <w:sz w:val="1"/>
                <w:szCs w:val="1"/>
                <w:color w:val="auto"/>
              </w:rPr>
            </w:pP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rPr>
              <w:t>common stock</w:t>
            </w:r>
          </w:p>
        </w:tc>
        <w:tc>
          <w:tcPr>
            <w:tcW w:w="8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00" w:type="dxa"/>
            <w:vAlign w:val="bottom"/>
            <w:vMerge w:val="restart"/>
          </w:tcPr>
          <w:p>
            <w:pPr>
              <w:spacing w:after="0"/>
              <w:rPr>
                <w:sz w:val="20"/>
                <w:szCs w:val="20"/>
                <w:color w:val="auto"/>
              </w:rPr>
            </w:pPr>
            <w:r>
              <w:rPr>
                <w:rFonts w:ascii="Courier New" w:cs="Courier New" w:eastAsia="Courier New" w:hAnsi="Courier New"/>
                <w:sz w:val="15"/>
                <w:szCs w:val="15"/>
                <w:color w:val="auto"/>
              </w:rPr>
              <w:t>Retained earnings-end of period</w:t>
            </w:r>
          </w:p>
        </w:tc>
        <w:tc>
          <w:tcPr>
            <w:tcW w:w="20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100" w:type="dxa"/>
            <w:vAlign w:val="bottom"/>
            <w:vMerge w:val="continue"/>
          </w:tcPr>
          <w:p>
            <w:pPr>
              <w:spacing w:after="0"/>
              <w:rPr>
                <w:sz w:val="14"/>
                <w:szCs w:val="14"/>
                <w:color w:val="auto"/>
              </w:rPr>
            </w:pPr>
          </w:p>
        </w:tc>
        <w:tc>
          <w:tcPr>
            <w:tcW w:w="20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$ 191,134</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$ 189,291</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$ 191,134</w:t>
            </w:r>
          </w:p>
        </w:tc>
        <w:tc>
          <w:tcPr>
            <w:tcW w:w="160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$ 189,291</w:t>
            </w:r>
          </w:p>
        </w:tc>
        <w:tc>
          <w:tcPr>
            <w:tcW w:w="0" w:type="dxa"/>
            <w:vAlign w:val="bottom"/>
          </w:tcPr>
          <w:p>
            <w:pPr>
              <w:spacing w:after="0"/>
              <w:rPr>
                <w:sz w:val="1"/>
                <w:szCs w:val="1"/>
                <w:color w:val="auto"/>
              </w:rPr>
            </w:pPr>
          </w:p>
        </w:tc>
      </w:tr>
      <w:tr>
        <w:trPr>
          <w:trHeight w:val="252"/>
        </w:trPr>
        <w:tc>
          <w:tcPr>
            <w:tcW w:w="410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share:</w:t>
            </w:r>
          </w:p>
        </w:tc>
        <w:tc>
          <w:tcPr>
            <w:tcW w:w="20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1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505"/>
              <w:spacing w:after="0"/>
              <w:rPr>
                <w:sz w:val="20"/>
                <w:szCs w:val="20"/>
                <w:color w:val="auto"/>
              </w:rPr>
            </w:pPr>
            <w:r>
              <w:rPr>
                <w:rFonts w:ascii="Courier New" w:cs="Courier New" w:eastAsia="Courier New" w:hAnsi="Courier New"/>
                <w:sz w:val="15"/>
                <w:szCs w:val="15"/>
                <w:color w:val="auto"/>
              </w:rPr>
              <w:t>1.14</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1.10</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0.37</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65"/>
              <w:spacing w:after="0"/>
              <w:rPr>
                <w:sz w:val="20"/>
                <w:szCs w:val="20"/>
                <w:color w:val="auto"/>
              </w:rPr>
            </w:pPr>
            <w:r>
              <w:rPr>
                <w:rFonts w:ascii="Courier New" w:cs="Courier New" w:eastAsia="Courier New" w:hAnsi="Courier New"/>
                <w:sz w:val="15"/>
                <w:szCs w:val="15"/>
                <w:color w:val="auto"/>
              </w:rPr>
              <w:t>0.36</w:t>
            </w:r>
          </w:p>
        </w:tc>
        <w:tc>
          <w:tcPr>
            <w:tcW w:w="0" w:type="dxa"/>
            <w:vAlign w:val="bottom"/>
          </w:tcPr>
          <w:p>
            <w:pPr>
              <w:spacing w:after="0"/>
              <w:rPr>
                <w:sz w:val="1"/>
                <w:szCs w:val="1"/>
                <w:color w:val="auto"/>
              </w:rPr>
            </w:pPr>
          </w:p>
        </w:tc>
      </w:tr>
      <w:tr>
        <w:trPr>
          <w:trHeight w:val="172"/>
        </w:trPr>
        <w:tc>
          <w:tcPr>
            <w:tcW w:w="4100" w:type="dxa"/>
            <w:vAlign w:val="bottom"/>
          </w:tcPr>
          <w:p>
            <w:pPr>
              <w:ind w:left="800"/>
              <w:spacing w:after="0"/>
              <w:rPr>
                <w:sz w:val="20"/>
                <w:szCs w:val="20"/>
                <w:color w:val="auto"/>
              </w:rPr>
            </w:pPr>
            <w:r>
              <w:rPr>
                <w:rFonts w:ascii="Courier New" w:cs="Courier New" w:eastAsia="Courier New" w:hAnsi="Courier New"/>
                <w:sz w:val="15"/>
                <w:szCs w:val="15"/>
                <w:color w:val="auto"/>
              </w:rPr>
              <w:t>of accounting change</w:t>
            </w:r>
          </w:p>
        </w:tc>
        <w:tc>
          <w:tcPr>
            <w:tcW w:w="8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w:t>
            </w:r>
          </w:p>
        </w:tc>
        <w:tc>
          <w:tcPr>
            <w:tcW w:w="82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(0.03)</w:t>
            </w:r>
          </w:p>
        </w:tc>
        <w:tc>
          <w:tcPr>
            <w:tcW w:w="620" w:type="dxa"/>
            <w:vAlign w:val="bottom"/>
          </w:tcPr>
          <w:p>
            <w:pPr>
              <w:spacing w:after="0"/>
              <w:rPr>
                <w:sz w:val="14"/>
                <w:szCs w:val="14"/>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20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0.37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0.36</w:t>
            </w:r>
          </w:p>
        </w:tc>
        <w:tc>
          <w:tcPr>
            <w:tcW w:w="0" w:type="dxa"/>
            <w:vAlign w:val="bottom"/>
          </w:tcPr>
          <w:p>
            <w:pPr>
              <w:spacing w:after="0"/>
              <w:rPr>
                <w:sz w:val="1"/>
                <w:szCs w:val="1"/>
                <w:color w:val="auto"/>
              </w:rPr>
            </w:pPr>
          </w:p>
        </w:tc>
      </w:tr>
      <w:tr>
        <w:trPr>
          <w:trHeight w:val="252"/>
        </w:trPr>
        <w:tc>
          <w:tcPr>
            <w:tcW w:w="410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w:t>
            </w:r>
          </w:p>
        </w:tc>
        <w:tc>
          <w:tcPr>
            <w:tcW w:w="20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1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505"/>
              <w:spacing w:after="0"/>
              <w:rPr>
                <w:sz w:val="20"/>
                <w:szCs w:val="20"/>
                <w:color w:val="auto"/>
              </w:rPr>
            </w:pPr>
            <w:r>
              <w:rPr>
                <w:rFonts w:ascii="Courier New" w:cs="Courier New" w:eastAsia="Courier New" w:hAnsi="Courier New"/>
                <w:sz w:val="15"/>
                <w:szCs w:val="15"/>
                <w:color w:val="auto"/>
              </w:rPr>
              <w:t>1.14</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1.10</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0.37</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65"/>
              <w:spacing w:after="0"/>
              <w:rPr>
                <w:sz w:val="20"/>
                <w:szCs w:val="20"/>
                <w:color w:val="auto"/>
              </w:rPr>
            </w:pPr>
            <w:r>
              <w:rPr>
                <w:rFonts w:ascii="Courier New" w:cs="Courier New" w:eastAsia="Courier New" w:hAnsi="Courier New"/>
                <w:sz w:val="15"/>
                <w:szCs w:val="15"/>
                <w:color w:val="auto"/>
              </w:rPr>
              <w:t>0.36</w:t>
            </w:r>
          </w:p>
        </w:tc>
        <w:tc>
          <w:tcPr>
            <w:tcW w:w="0" w:type="dxa"/>
            <w:vAlign w:val="bottom"/>
          </w:tcPr>
          <w:p>
            <w:pPr>
              <w:spacing w:after="0"/>
              <w:rPr>
                <w:sz w:val="1"/>
                <w:szCs w:val="1"/>
                <w:color w:val="auto"/>
              </w:rPr>
            </w:pPr>
          </w:p>
        </w:tc>
      </w:tr>
      <w:tr>
        <w:trPr>
          <w:trHeight w:val="172"/>
        </w:trPr>
        <w:tc>
          <w:tcPr>
            <w:tcW w:w="4100" w:type="dxa"/>
            <w:vAlign w:val="bottom"/>
          </w:tcPr>
          <w:p>
            <w:pPr>
              <w:ind w:left="800"/>
              <w:spacing w:after="0"/>
              <w:rPr>
                <w:sz w:val="20"/>
                <w:szCs w:val="20"/>
                <w:color w:val="auto"/>
              </w:rPr>
            </w:pPr>
            <w:r>
              <w:rPr>
                <w:rFonts w:ascii="Courier New" w:cs="Courier New" w:eastAsia="Courier New" w:hAnsi="Courier New"/>
                <w:sz w:val="15"/>
                <w:szCs w:val="15"/>
                <w:color w:val="auto"/>
              </w:rPr>
              <w:t>of accounting change</w:t>
            </w:r>
          </w:p>
        </w:tc>
        <w:tc>
          <w:tcPr>
            <w:tcW w:w="8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w:t>
            </w:r>
          </w:p>
        </w:tc>
        <w:tc>
          <w:tcPr>
            <w:tcW w:w="82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(0.03)</w:t>
            </w:r>
          </w:p>
        </w:tc>
        <w:tc>
          <w:tcPr>
            <w:tcW w:w="620" w:type="dxa"/>
            <w:vAlign w:val="bottom"/>
          </w:tcPr>
          <w:p>
            <w:pPr>
              <w:spacing w:after="0"/>
              <w:rPr>
                <w:sz w:val="14"/>
                <w:szCs w:val="14"/>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20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0.37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0.36</w:t>
            </w:r>
          </w:p>
        </w:tc>
        <w:tc>
          <w:tcPr>
            <w:tcW w:w="0" w:type="dxa"/>
            <w:vAlign w:val="bottom"/>
          </w:tcPr>
          <w:p>
            <w:pPr>
              <w:spacing w:after="0"/>
              <w:rPr>
                <w:sz w:val="1"/>
                <w:szCs w:val="1"/>
                <w:color w:val="auto"/>
              </w:rPr>
            </w:pPr>
          </w:p>
        </w:tc>
      </w:tr>
      <w:tr>
        <w:trPr>
          <w:trHeight w:val="252"/>
        </w:trPr>
        <w:tc>
          <w:tcPr>
            <w:tcW w:w="4100" w:type="dxa"/>
            <w:vAlign w:val="bottom"/>
          </w:tcPr>
          <w:p>
            <w:pPr>
              <w:spacing w:after="0"/>
              <w:rPr>
                <w:sz w:val="21"/>
                <w:szCs w:val="21"/>
                <w:color w:val="auto"/>
              </w:rPr>
            </w:pPr>
          </w:p>
        </w:tc>
        <w:tc>
          <w:tcPr>
            <w:tcW w:w="20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0"/>
                <w:szCs w:val="20"/>
                <w:color w:val="auto"/>
              </w:rPr>
            </w:pPr>
            <w:r>
              <w:rPr>
                <w:rFonts w:ascii="Courier New" w:cs="Courier New" w:eastAsia="Courier New" w:hAnsi="Courier New"/>
                <w:sz w:val="15"/>
                <w:szCs w:val="15"/>
                <w:color w:val="auto"/>
              </w:rPr>
              <w:t>Dividends per share</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0.60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0.60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0.20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0.20</w:t>
            </w:r>
          </w:p>
        </w:tc>
        <w:tc>
          <w:tcPr>
            <w:tcW w:w="0" w:type="dxa"/>
            <w:vAlign w:val="bottom"/>
          </w:tcPr>
          <w:p>
            <w:pPr>
              <w:spacing w:after="0"/>
              <w:rPr>
                <w:sz w:val="1"/>
                <w:szCs w:val="1"/>
                <w:color w:val="auto"/>
              </w:rPr>
            </w:pPr>
          </w:p>
        </w:tc>
      </w:tr>
      <w:tr>
        <w:trPr>
          <w:trHeight w:val="252"/>
        </w:trPr>
        <w:tc>
          <w:tcPr>
            <w:tcW w:w="4100" w:type="dxa"/>
            <w:vAlign w:val="bottom"/>
          </w:tcPr>
          <w:p>
            <w:pPr>
              <w:spacing w:after="0"/>
              <w:rPr>
                <w:sz w:val="21"/>
                <w:szCs w:val="21"/>
                <w:color w:val="auto"/>
              </w:rPr>
            </w:pPr>
          </w:p>
        </w:tc>
        <w:tc>
          <w:tcPr>
            <w:tcW w:w="20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4740"/>
        <w:spacing w:after="0" w:line="359"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 condensed consolidated financial statements.</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 of 16</w:t>
      </w:r>
    </w:p>
    <w:p>
      <w:pPr>
        <w:sectPr>
          <w:pgSz w:w="11900" w:h="16838" w:orient="portrait"/>
          <w:cols w:equalWidth="0" w:num="1">
            <w:col w:w="11520"/>
          </w:cols>
          <w:pgMar w:left="240" w:top="263" w:right="1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2"/>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6160" w:type="dxa"/>
            <w:vAlign w:val="bottom"/>
          </w:tcPr>
          <w:p>
            <w:pPr>
              <w:jc w:val="center"/>
              <w:ind w:left="905"/>
              <w:spacing w:after="0"/>
              <w:rPr>
                <w:sz w:val="20"/>
                <w:szCs w:val="20"/>
                <w:color w:val="auto"/>
              </w:rPr>
            </w:pPr>
            <w:r>
              <w:rPr>
                <w:rFonts w:ascii="Courier New" w:cs="Courier New" w:eastAsia="Courier New" w:hAnsi="Courier New"/>
                <w:sz w:val="15"/>
                <w:szCs w:val="15"/>
                <w:color w:val="auto"/>
                <w:w w:val="98"/>
              </w:rPr>
              <w:t>PART I - FINANCIAL INFORMATION - CONTINUED</w:t>
            </w: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160" w:type="dxa"/>
            <w:vAlign w:val="bottom"/>
          </w:tcPr>
          <w:p>
            <w:pPr>
              <w:jc w:val="center"/>
              <w:ind w:left="905"/>
              <w:spacing w:after="0"/>
              <w:rPr>
                <w:sz w:val="20"/>
                <w:szCs w:val="20"/>
                <w:color w:val="auto"/>
              </w:rPr>
            </w:pPr>
            <w:r>
              <w:rPr>
                <w:rFonts w:ascii="Courier New" w:cs="Courier New" w:eastAsia="Courier New" w:hAnsi="Courier New"/>
                <w:sz w:val="15"/>
                <w:szCs w:val="15"/>
                <w:color w:val="auto"/>
                <w:w w:val="99"/>
              </w:rPr>
              <w:t>BASSETT FURNITURE INDUSTRIES INC. AND SUBSIDIARIES</w:t>
            </w: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tcPr>
          <w:p>
            <w:pPr>
              <w:ind w:left="1960"/>
              <w:spacing w:after="0"/>
              <w:rPr>
                <w:sz w:val="20"/>
                <w:szCs w:val="20"/>
                <w:color w:val="auto"/>
              </w:rPr>
            </w:pPr>
            <w:r>
              <w:rPr>
                <w:rFonts w:ascii="Courier New" w:cs="Courier New" w:eastAsia="Courier New" w:hAnsi="Courier New"/>
                <w:sz w:val="15"/>
                <w:szCs w:val="15"/>
                <w:color w:val="auto"/>
              </w:rPr>
              <w:t>CONDENSED CONSOLIDATED BALANCE SHEETS</w:t>
            </w: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tcPr>
          <w:p>
            <w:pPr>
              <w:ind w:left="1960"/>
              <w:spacing w:after="0"/>
              <w:rPr>
                <w:sz w:val="20"/>
                <w:szCs w:val="20"/>
                <w:color w:val="auto"/>
              </w:rPr>
            </w:pPr>
            <w:r>
              <w:rPr>
                <w:rFonts w:ascii="Courier New" w:cs="Courier New" w:eastAsia="Courier New" w:hAnsi="Courier New"/>
                <w:sz w:val="15"/>
                <w:szCs w:val="15"/>
                <w:color w:val="auto"/>
              </w:rPr>
              <w:t>AUGUST 26, 2000 AND NOVEMBER 27, 1999</w:t>
            </w: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6160" w:type="dxa"/>
            <w:vAlign w:val="bottom"/>
          </w:tcPr>
          <w:p>
            <w:pPr>
              <w:jc w:val="center"/>
              <w:ind w:left="905"/>
              <w:spacing w:after="0"/>
              <w:rPr>
                <w:sz w:val="20"/>
                <w:szCs w:val="20"/>
                <w:color w:val="auto"/>
              </w:rPr>
            </w:pPr>
            <w:r>
              <w:rPr>
                <w:rFonts w:ascii="Courier New" w:cs="Courier New" w:eastAsia="Courier New" w:hAnsi="Courier New"/>
                <w:sz w:val="15"/>
                <w:szCs w:val="15"/>
                <w:color w:val="auto"/>
                <w:w w:val="99"/>
              </w:rPr>
              <w:t>(in thousands)</w:t>
            </w: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616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19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(Unaudited)</w:t>
            </w:r>
          </w:p>
        </w:tc>
        <w:tc>
          <w:tcPr>
            <w:tcW w:w="1860" w:type="dxa"/>
            <w:vAlign w:val="bottom"/>
            <w:gridSpan w:val="2"/>
            <w:vMerge w:val="restart"/>
          </w:tcPr>
          <w:p>
            <w:pPr>
              <w:jc w:val="right"/>
              <w:ind w:right="85"/>
              <w:spacing w:after="0"/>
              <w:rPr>
                <w:sz w:val="20"/>
                <w:szCs w:val="20"/>
                <w:color w:val="auto"/>
              </w:rPr>
            </w:pPr>
            <w:r>
              <w:rPr>
                <w:rFonts w:ascii="Courier New" w:cs="Courier New" w:eastAsia="Courier New" w:hAnsi="Courier New"/>
                <w:sz w:val="15"/>
                <w:szCs w:val="15"/>
                <w:color w:val="auto"/>
              </w:rPr>
              <w:t>November 27, 1999</w:t>
            </w:r>
          </w:p>
        </w:tc>
        <w:tc>
          <w:tcPr>
            <w:tcW w:w="0" w:type="dxa"/>
            <w:vAlign w:val="bottom"/>
          </w:tcPr>
          <w:p>
            <w:pPr>
              <w:spacing w:after="0"/>
              <w:rPr>
                <w:sz w:val="1"/>
                <w:szCs w:val="1"/>
                <w:color w:val="auto"/>
              </w:rPr>
            </w:pPr>
          </w:p>
        </w:tc>
      </w:tr>
      <w:tr>
        <w:trPr>
          <w:trHeight w:val="172"/>
        </w:trPr>
        <w:tc>
          <w:tcPr>
            <w:tcW w:w="6160" w:type="dxa"/>
            <w:vAlign w:val="bottom"/>
            <w:vMerge w:val="continue"/>
          </w:tcPr>
          <w:p>
            <w:pPr>
              <w:spacing w:after="0"/>
              <w:rPr>
                <w:sz w:val="14"/>
                <w:szCs w:val="14"/>
                <w:color w:val="auto"/>
              </w:rPr>
            </w:pPr>
          </w:p>
        </w:tc>
        <w:tc>
          <w:tcPr>
            <w:tcW w:w="1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August 26, 2000</w:t>
            </w:r>
          </w:p>
        </w:tc>
        <w:tc>
          <w:tcPr>
            <w:tcW w:w="1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6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61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72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rPr>
              <w:t>2,541</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5,740</w:t>
            </w:r>
          </w:p>
        </w:tc>
        <w:tc>
          <w:tcPr>
            <w:tcW w:w="0" w:type="dxa"/>
            <w:vAlign w:val="bottom"/>
          </w:tcPr>
          <w:p>
            <w:pPr>
              <w:spacing w:after="0"/>
              <w:rPr>
                <w:sz w:val="1"/>
                <w:szCs w:val="1"/>
                <w:color w:val="auto"/>
              </w:rPr>
            </w:pPr>
          </w:p>
        </w:tc>
      </w:tr>
      <w:tr>
        <w:trPr>
          <w:trHeight w:val="172"/>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Cash and cash equivalents</w:t>
            </w:r>
          </w:p>
        </w:tc>
        <w:tc>
          <w:tcPr>
            <w:tcW w:w="7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Trade accounts receivable, net</w:t>
            </w:r>
          </w:p>
        </w:tc>
        <w:tc>
          <w:tcPr>
            <w:tcW w:w="720" w:type="dxa"/>
            <w:vAlign w:val="bottom"/>
          </w:tcPr>
          <w:p>
            <w:pPr>
              <w:spacing w:after="0"/>
              <w:rPr>
                <w:sz w:val="14"/>
                <w:szCs w:val="14"/>
                <w:color w:val="auto"/>
              </w:rPr>
            </w:pP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70,968</w:t>
            </w: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64,731</w:t>
            </w:r>
          </w:p>
        </w:tc>
        <w:tc>
          <w:tcPr>
            <w:tcW w:w="0" w:type="dxa"/>
            <w:vAlign w:val="bottom"/>
          </w:tcPr>
          <w:p>
            <w:pPr>
              <w:spacing w:after="0"/>
              <w:rPr>
                <w:sz w:val="1"/>
                <w:szCs w:val="1"/>
                <w:color w:val="auto"/>
              </w:rPr>
            </w:pPr>
          </w:p>
        </w:tc>
      </w:tr>
      <w:tr>
        <w:trPr>
          <w:trHeight w:val="172"/>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Inventories, net</w:t>
            </w:r>
          </w:p>
        </w:tc>
        <w:tc>
          <w:tcPr>
            <w:tcW w:w="720" w:type="dxa"/>
            <w:vAlign w:val="bottom"/>
          </w:tcPr>
          <w:p>
            <w:pPr>
              <w:spacing w:after="0"/>
              <w:rPr>
                <w:sz w:val="14"/>
                <w:szCs w:val="14"/>
                <w:color w:val="auto"/>
              </w:rPr>
            </w:pP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54,555</w:t>
            </w: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50,206</w:t>
            </w:r>
          </w:p>
        </w:tc>
        <w:tc>
          <w:tcPr>
            <w:tcW w:w="0" w:type="dxa"/>
            <w:vAlign w:val="bottom"/>
          </w:tcPr>
          <w:p>
            <w:pPr>
              <w:spacing w:after="0"/>
              <w:rPr>
                <w:sz w:val="1"/>
                <w:szCs w:val="1"/>
                <w:color w:val="auto"/>
              </w:rPr>
            </w:pPr>
          </w:p>
        </w:tc>
      </w:tr>
      <w:tr>
        <w:trPr>
          <w:trHeight w:val="172"/>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Other current assets</w:t>
            </w:r>
          </w:p>
        </w:tc>
        <w:tc>
          <w:tcPr>
            <w:tcW w:w="720" w:type="dxa"/>
            <w:vAlign w:val="bottom"/>
          </w:tcPr>
          <w:p>
            <w:pPr>
              <w:spacing w:after="0"/>
              <w:rPr>
                <w:sz w:val="14"/>
                <w:szCs w:val="14"/>
                <w:color w:val="auto"/>
              </w:rPr>
            </w:pP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7,765</w:t>
            </w: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6,175</w:t>
            </w:r>
          </w:p>
        </w:tc>
        <w:tc>
          <w:tcPr>
            <w:tcW w:w="0" w:type="dxa"/>
            <w:vAlign w:val="bottom"/>
          </w:tcPr>
          <w:p>
            <w:pPr>
              <w:spacing w:after="0"/>
              <w:rPr>
                <w:sz w:val="1"/>
                <w:szCs w:val="1"/>
                <w:color w:val="auto"/>
              </w:rPr>
            </w:pPr>
          </w:p>
        </w:tc>
      </w:tr>
      <w:tr>
        <w:trPr>
          <w:trHeight w:val="172"/>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Refundable income taxes</w:t>
            </w:r>
          </w:p>
        </w:tc>
        <w:tc>
          <w:tcPr>
            <w:tcW w:w="720" w:type="dxa"/>
            <w:vAlign w:val="bottom"/>
          </w:tcPr>
          <w:p>
            <w:pPr>
              <w:spacing w:after="0"/>
              <w:rPr>
                <w:sz w:val="14"/>
                <w:szCs w:val="14"/>
                <w:color w:val="auto"/>
              </w:rPr>
            </w:pP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1,006</w:t>
            </w: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1,006</w:t>
            </w:r>
          </w:p>
        </w:tc>
        <w:tc>
          <w:tcPr>
            <w:tcW w:w="0" w:type="dxa"/>
            <w:vAlign w:val="bottom"/>
          </w:tcPr>
          <w:p>
            <w:pPr>
              <w:spacing w:after="0"/>
              <w:rPr>
                <w:sz w:val="1"/>
                <w:szCs w:val="1"/>
                <w:color w:val="auto"/>
              </w:rPr>
            </w:pPr>
          </w:p>
        </w:tc>
      </w:tr>
      <w:tr>
        <w:trPr>
          <w:trHeight w:val="172"/>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Deferred income taxes</w:t>
            </w:r>
          </w:p>
        </w:tc>
        <w:tc>
          <w:tcPr>
            <w:tcW w:w="720" w:type="dxa"/>
            <w:vAlign w:val="bottom"/>
          </w:tcPr>
          <w:p>
            <w:pPr>
              <w:spacing w:after="0"/>
              <w:rPr>
                <w:sz w:val="14"/>
                <w:szCs w:val="14"/>
                <w:color w:val="auto"/>
              </w:rPr>
            </w:pP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9,340</w:t>
            </w: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9,314</w:t>
            </w:r>
          </w:p>
        </w:tc>
        <w:tc>
          <w:tcPr>
            <w:tcW w:w="0" w:type="dxa"/>
            <w:vAlign w:val="bottom"/>
          </w:tcPr>
          <w:p>
            <w:pPr>
              <w:spacing w:after="0"/>
              <w:rPr>
                <w:sz w:val="1"/>
                <w:szCs w:val="1"/>
                <w:color w:val="auto"/>
              </w:rPr>
            </w:pPr>
          </w:p>
        </w:tc>
      </w:tr>
      <w:tr>
        <w:trPr>
          <w:trHeight w:val="172"/>
        </w:trPr>
        <w:tc>
          <w:tcPr>
            <w:tcW w:w="6160" w:type="dxa"/>
            <w:vAlign w:val="bottom"/>
            <w:vMerge w:val="restart"/>
          </w:tcPr>
          <w:p>
            <w:pPr>
              <w:spacing w:after="0"/>
              <w:rPr>
                <w:sz w:val="20"/>
                <w:szCs w:val="20"/>
                <w:color w:val="auto"/>
              </w:rPr>
            </w:pPr>
            <w:r>
              <w:rPr>
                <w:rFonts w:ascii="Courier New" w:cs="Courier New" w:eastAsia="Courier New" w:hAnsi="Courier New"/>
                <w:sz w:val="15"/>
                <w:szCs w:val="15"/>
                <w:color w:val="auto"/>
              </w:rPr>
              <w:t>Total current assets</w:t>
            </w:r>
          </w:p>
        </w:tc>
        <w:tc>
          <w:tcPr>
            <w:tcW w:w="720" w:type="dxa"/>
            <w:vAlign w:val="bottom"/>
          </w:tcPr>
          <w:p>
            <w:pPr>
              <w:ind w:left="280"/>
              <w:spacing w:after="0"/>
              <w:rPr>
                <w:sz w:val="20"/>
                <w:szCs w:val="20"/>
                <w:color w:val="auto"/>
              </w:rPr>
            </w:pPr>
            <w:r>
              <w:rPr>
                <w:rFonts w:ascii="Courier New" w:cs="Courier New" w:eastAsia="Courier New" w:hAnsi="Courier New"/>
                <w:sz w:val="6"/>
                <w:szCs w:val="6"/>
                <w:color w:val="auto"/>
                <w:w w:val="77"/>
              </w:rPr>
              <w:t>---------------</w:t>
            </w:r>
          </w:p>
        </w:tc>
        <w:tc>
          <w:tcPr>
            <w:tcW w:w="126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w w:val="95"/>
              </w:rPr>
              <w:t>146,175</w:t>
            </w:r>
          </w:p>
        </w:tc>
        <w:tc>
          <w:tcPr>
            <w:tcW w:w="18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1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137,172</w:t>
            </w:r>
          </w:p>
        </w:tc>
        <w:tc>
          <w:tcPr>
            <w:tcW w:w="0" w:type="dxa"/>
            <w:vAlign w:val="bottom"/>
          </w:tcPr>
          <w:p>
            <w:pPr>
              <w:spacing w:after="0"/>
              <w:rPr>
                <w:sz w:val="1"/>
                <w:szCs w:val="1"/>
                <w:color w:val="auto"/>
              </w:rPr>
            </w:pPr>
          </w:p>
        </w:tc>
      </w:tr>
      <w:tr>
        <w:trPr>
          <w:trHeight w:val="252"/>
        </w:trPr>
        <w:tc>
          <w:tcPr>
            <w:tcW w:w="6160" w:type="dxa"/>
            <w:vAlign w:val="bottom"/>
            <w:vMerge w:val="restart"/>
          </w:tcPr>
          <w:p>
            <w:pPr>
              <w:spacing w:after="0"/>
              <w:rPr>
                <w:sz w:val="20"/>
                <w:szCs w:val="20"/>
                <w:color w:val="auto"/>
              </w:rPr>
            </w:pPr>
            <w:r>
              <w:rPr>
                <w:rFonts w:ascii="Courier New" w:cs="Courier New" w:eastAsia="Courier New" w:hAnsi="Courier New"/>
                <w:sz w:val="15"/>
                <w:szCs w:val="15"/>
                <w:color w:val="auto"/>
              </w:rPr>
              <w:t>Property &amp; equipment</w:t>
            </w:r>
          </w:p>
        </w:tc>
        <w:tc>
          <w:tcPr>
            <w:tcW w:w="19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26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w w:val="95"/>
              </w:rPr>
              <w:t>236,484</w:t>
            </w:r>
          </w:p>
        </w:tc>
        <w:tc>
          <w:tcPr>
            <w:tcW w:w="580" w:type="dxa"/>
            <w:vAlign w:val="bottom"/>
          </w:tcPr>
          <w:p>
            <w:pPr>
              <w:spacing w:after="0"/>
              <w:rPr>
                <w:sz w:val="7"/>
                <w:szCs w:val="7"/>
                <w:color w:val="auto"/>
              </w:rPr>
            </w:pPr>
          </w:p>
        </w:tc>
        <w:tc>
          <w:tcPr>
            <w:tcW w:w="128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227,439</w:t>
            </w:r>
          </w:p>
        </w:tc>
        <w:tc>
          <w:tcPr>
            <w:tcW w:w="0" w:type="dxa"/>
            <w:vAlign w:val="bottom"/>
          </w:tcPr>
          <w:p>
            <w:pPr>
              <w:spacing w:after="0"/>
              <w:rPr>
                <w:sz w:val="1"/>
                <w:szCs w:val="1"/>
                <w:color w:val="auto"/>
              </w:rPr>
            </w:pPr>
          </w:p>
        </w:tc>
      </w:tr>
      <w:tr>
        <w:trPr>
          <w:trHeight w:val="172"/>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Cost</w:t>
            </w:r>
          </w:p>
        </w:tc>
        <w:tc>
          <w:tcPr>
            <w:tcW w:w="7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Less accumulated depreciation</w:t>
            </w:r>
          </w:p>
        </w:tc>
        <w:tc>
          <w:tcPr>
            <w:tcW w:w="720" w:type="dxa"/>
            <w:vAlign w:val="bottom"/>
          </w:tcPr>
          <w:p>
            <w:pPr>
              <w:spacing w:after="0"/>
              <w:rPr>
                <w:sz w:val="14"/>
                <w:szCs w:val="14"/>
                <w:color w:val="auto"/>
              </w:rPr>
            </w:pP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5"/>
              </w:rPr>
              <w:t>136,423</w:t>
            </w: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134,284</w:t>
            </w:r>
          </w:p>
        </w:tc>
        <w:tc>
          <w:tcPr>
            <w:tcW w:w="0" w:type="dxa"/>
            <w:vAlign w:val="bottom"/>
          </w:tcPr>
          <w:p>
            <w:pPr>
              <w:spacing w:after="0"/>
              <w:rPr>
                <w:sz w:val="1"/>
                <w:szCs w:val="1"/>
                <w:color w:val="auto"/>
              </w:rPr>
            </w:pPr>
          </w:p>
        </w:tc>
      </w:tr>
      <w:tr>
        <w:trPr>
          <w:trHeight w:val="172"/>
        </w:trPr>
        <w:tc>
          <w:tcPr>
            <w:tcW w:w="6160" w:type="dxa"/>
            <w:vAlign w:val="bottom"/>
            <w:vMerge w:val="restart"/>
          </w:tcPr>
          <w:p>
            <w:pPr>
              <w:spacing w:after="0"/>
              <w:rPr>
                <w:sz w:val="20"/>
                <w:szCs w:val="20"/>
                <w:color w:val="auto"/>
              </w:rPr>
            </w:pPr>
            <w:r>
              <w:rPr>
                <w:rFonts w:ascii="Courier New" w:cs="Courier New" w:eastAsia="Courier New" w:hAnsi="Courier New"/>
                <w:sz w:val="15"/>
                <w:szCs w:val="15"/>
                <w:color w:val="auto"/>
              </w:rPr>
              <w:t>Total property &amp; equipment</w:t>
            </w:r>
          </w:p>
        </w:tc>
        <w:tc>
          <w:tcPr>
            <w:tcW w:w="720" w:type="dxa"/>
            <w:vAlign w:val="bottom"/>
          </w:tcPr>
          <w:p>
            <w:pPr>
              <w:ind w:left="280"/>
              <w:spacing w:after="0"/>
              <w:rPr>
                <w:sz w:val="20"/>
                <w:szCs w:val="20"/>
                <w:color w:val="auto"/>
              </w:rPr>
            </w:pPr>
            <w:r>
              <w:rPr>
                <w:rFonts w:ascii="Courier New" w:cs="Courier New" w:eastAsia="Courier New" w:hAnsi="Courier New"/>
                <w:sz w:val="6"/>
                <w:szCs w:val="6"/>
                <w:color w:val="auto"/>
                <w:w w:val="77"/>
              </w:rPr>
              <w:t>---------------</w:t>
            </w:r>
          </w:p>
        </w:tc>
        <w:tc>
          <w:tcPr>
            <w:tcW w:w="126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w w:val="95"/>
              </w:rPr>
              <w:t>100,061</w:t>
            </w:r>
          </w:p>
        </w:tc>
        <w:tc>
          <w:tcPr>
            <w:tcW w:w="18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1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93,155</w:t>
            </w:r>
          </w:p>
        </w:tc>
        <w:tc>
          <w:tcPr>
            <w:tcW w:w="0" w:type="dxa"/>
            <w:vAlign w:val="bottom"/>
          </w:tcPr>
          <w:p>
            <w:pPr>
              <w:spacing w:after="0"/>
              <w:rPr>
                <w:sz w:val="1"/>
                <w:szCs w:val="1"/>
                <w:color w:val="auto"/>
              </w:rPr>
            </w:pPr>
          </w:p>
        </w:tc>
      </w:tr>
      <w:tr>
        <w:trPr>
          <w:trHeight w:val="252"/>
        </w:trPr>
        <w:tc>
          <w:tcPr>
            <w:tcW w:w="6160" w:type="dxa"/>
            <w:vAlign w:val="bottom"/>
            <w:vMerge w:val="restart"/>
          </w:tcPr>
          <w:p>
            <w:pPr>
              <w:spacing w:after="0"/>
              <w:rPr>
                <w:sz w:val="20"/>
                <w:szCs w:val="20"/>
                <w:color w:val="auto"/>
              </w:rPr>
            </w:pPr>
            <w:r>
              <w:rPr>
                <w:rFonts w:ascii="Courier New" w:cs="Courier New" w:eastAsia="Courier New" w:hAnsi="Courier New"/>
                <w:sz w:val="15"/>
                <w:szCs w:val="15"/>
                <w:color w:val="auto"/>
              </w:rPr>
              <w:t>Other long-term assets</w:t>
            </w:r>
          </w:p>
        </w:tc>
        <w:tc>
          <w:tcPr>
            <w:tcW w:w="19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26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rPr>
              <w:t>18,290</w:t>
            </w:r>
          </w:p>
        </w:tc>
        <w:tc>
          <w:tcPr>
            <w:tcW w:w="580" w:type="dxa"/>
            <w:vAlign w:val="bottom"/>
          </w:tcPr>
          <w:p>
            <w:pPr>
              <w:spacing w:after="0"/>
              <w:rPr>
                <w:sz w:val="7"/>
                <w:szCs w:val="7"/>
                <w:color w:val="auto"/>
              </w:rPr>
            </w:pPr>
          </w:p>
        </w:tc>
        <w:tc>
          <w:tcPr>
            <w:tcW w:w="128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23,057</w:t>
            </w:r>
          </w:p>
        </w:tc>
        <w:tc>
          <w:tcPr>
            <w:tcW w:w="0" w:type="dxa"/>
            <w:vAlign w:val="bottom"/>
          </w:tcPr>
          <w:p>
            <w:pPr>
              <w:spacing w:after="0"/>
              <w:rPr>
                <w:sz w:val="1"/>
                <w:szCs w:val="1"/>
                <w:color w:val="auto"/>
              </w:rPr>
            </w:pPr>
          </w:p>
        </w:tc>
      </w:tr>
      <w:tr>
        <w:trPr>
          <w:trHeight w:val="172"/>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Investment securities</w:t>
            </w:r>
          </w:p>
        </w:tc>
        <w:tc>
          <w:tcPr>
            <w:tcW w:w="7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Investment in affiliated companies</w:t>
            </w:r>
          </w:p>
        </w:tc>
        <w:tc>
          <w:tcPr>
            <w:tcW w:w="720" w:type="dxa"/>
            <w:vAlign w:val="bottom"/>
          </w:tcPr>
          <w:p>
            <w:pPr>
              <w:spacing w:after="0"/>
              <w:rPr>
                <w:sz w:val="14"/>
                <w:szCs w:val="14"/>
                <w:color w:val="auto"/>
              </w:rPr>
            </w:pP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78,881</w:t>
            </w: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67,558</w:t>
            </w:r>
          </w:p>
        </w:tc>
        <w:tc>
          <w:tcPr>
            <w:tcW w:w="0" w:type="dxa"/>
            <w:vAlign w:val="bottom"/>
          </w:tcPr>
          <w:p>
            <w:pPr>
              <w:spacing w:after="0"/>
              <w:rPr>
                <w:sz w:val="1"/>
                <w:szCs w:val="1"/>
                <w:color w:val="auto"/>
              </w:rPr>
            </w:pPr>
          </w:p>
        </w:tc>
      </w:tr>
      <w:tr>
        <w:trPr>
          <w:trHeight w:val="172"/>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Other</w:t>
            </w:r>
          </w:p>
        </w:tc>
        <w:tc>
          <w:tcPr>
            <w:tcW w:w="720" w:type="dxa"/>
            <w:vAlign w:val="bottom"/>
          </w:tcPr>
          <w:p>
            <w:pPr>
              <w:spacing w:after="0"/>
              <w:rPr>
                <w:sz w:val="14"/>
                <w:szCs w:val="14"/>
                <w:color w:val="auto"/>
              </w:rPr>
            </w:pP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23,697</w:t>
            </w: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21,887</w:t>
            </w:r>
          </w:p>
        </w:tc>
        <w:tc>
          <w:tcPr>
            <w:tcW w:w="0" w:type="dxa"/>
            <w:vAlign w:val="bottom"/>
          </w:tcPr>
          <w:p>
            <w:pPr>
              <w:spacing w:after="0"/>
              <w:rPr>
                <w:sz w:val="1"/>
                <w:szCs w:val="1"/>
                <w:color w:val="auto"/>
              </w:rPr>
            </w:pPr>
          </w:p>
        </w:tc>
      </w:tr>
      <w:tr>
        <w:trPr>
          <w:trHeight w:val="172"/>
        </w:trPr>
        <w:tc>
          <w:tcPr>
            <w:tcW w:w="6160" w:type="dxa"/>
            <w:vAlign w:val="bottom"/>
            <w:vMerge w:val="restart"/>
          </w:tcPr>
          <w:p>
            <w:pPr>
              <w:spacing w:after="0"/>
              <w:rPr>
                <w:sz w:val="20"/>
                <w:szCs w:val="20"/>
                <w:color w:val="auto"/>
              </w:rPr>
            </w:pPr>
            <w:r>
              <w:rPr>
                <w:rFonts w:ascii="Courier New" w:cs="Courier New" w:eastAsia="Courier New" w:hAnsi="Courier New"/>
                <w:sz w:val="15"/>
                <w:szCs w:val="15"/>
                <w:color w:val="auto"/>
              </w:rPr>
              <w:t>Total other long-term assets</w:t>
            </w:r>
          </w:p>
        </w:tc>
        <w:tc>
          <w:tcPr>
            <w:tcW w:w="720" w:type="dxa"/>
            <w:vAlign w:val="bottom"/>
          </w:tcPr>
          <w:p>
            <w:pPr>
              <w:ind w:left="280"/>
              <w:spacing w:after="0"/>
              <w:rPr>
                <w:sz w:val="20"/>
                <w:szCs w:val="20"/>
                <w:color w:val="auto"/>
              </w:rPr>
            </w:pPr>
            <w:r>
              <w:rPr>
                <w:rFonts w:ascii="Courier New" w:cs="Courier New" w:eastAsia="Courier New" w:hAnsi="Courier New"/>
                <w:sz w:val="6"/>
                <w:szCs w:val="6"/>
                <w:color w:val="auto"/>
                <w:w w:val="77"/>
              </w:rPr>
              <w:t>---------------</w:t>
            </w:r>
          </w:p>
        </w:tc>
        <w:tc>
          <w:tcPr>
            <w:tcW w:w="126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w w:val="95"/>
              </w:rPr>
              <w:t>120,868</w:t>
            </w:r>
          </w:p>
        </w:tc>
        <w:tc>
          <w:tcPr>
            <w:tcW w:w="18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1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112,502</w:t>
            </w:r>
          </w:p>
        </w:tc>
        <w:tc>
          <w:tcPr>
            <w:tcW w:w="0" w:type="dxa"/>
            <w:vAlign w:val="bottom"/>
          </w:tcPr>
          <w:p>
            <w:pPr>
              <w:spacing w:after="0"/>
              <w:rPr>
                <w:sz w:val="1"/>
                <w:szCs w:val="1"/>
                <w:color w:val="auto"/>
              </w:rPr>
            </w:pPr>
          </w:p>
        </w:tc>
      </w:tr>
      <w:tr>
        <w:trPr>
          <w:trHeight w:val="172"/>
        </w:trPr>
        <w:tc>
          <w:tcPr>
            <w:tcW w:w="616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1980" w:type="dxa"/>
            <w:vAlign w:val="bottom"/>
            <w:gridSpan w:val="2"/>
            <w:vMerge w:val="restart"/>
          </w:tcPr>
          <w:p>
            <w:pPr>
              <w:ind w:left="280"/>
              <w:spacing w:after="0"/>
              <w:rPr>
                <w:sz w:val="20"/>
                <w:szCs w:val="20"/>
                <w:color w:val="auto"/>
              </w:rPr>
            </w:pPr>
            <w:r>
              <w:rPr>
                <w:rFonts w:ascii="Courier New" w:cs="Courier New" w:eastAsia="Courier New" w:hAnsi="Courier New"/>
                <w:sz w:val="15"/>
                <w:szCs w:val="15"/>
                <w:color w:val="auto"/>
                <w:w w:val="73"/>
              </w:rPr>
              <w:t>---------------</w:t>
            </w:r>
            <w:r>
              <w:rPr>
                <w:rFonts w:ascii="Courier New" w:cs="Courier New" w:eastAsia="Courier New" w:hAnsi="Courier New"/>
                <w:sz w:val="29"/>
                <w:szCs w:val="29"/>
                <w:color w:val="auto"/>
                <w:w w:val="73"/>
                <w:vertAlign w:val="subscript"/>
              </w:rPr>
              <w:t>$367,104</w:t>
            </w:r>
          </w:p>
        </w:tc>
        <w:tc>
          <w:tcPr>
            <w:tcW w:w="18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160" w:type="dxa"/>
            <w:vAlign w:val="bottom"/>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8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$ 342,829</w:t>
            </w:r>
          </w:p>
        </w:tc>
        <w:tc>
          <w:tcPr>
            <w:tcW w:w="0" w:type="dxa"/>
            <w:vAlign w:val="bottom"/>
          </w:tcPr>
          <w:p>
            <w:pPr>
              <w:spacing w:after="0"/>
              <w:rPr>
                <w:sz w:val="1"/>
                <w:szCs w:val="1"/>
                <w:color w:val="auto"/>
              </w:rPr>
            </w:pPr>
          </w:p>
        </w:tc>
      </w:tr>
      <w:tr>
        <w:trPr>
          <w:trHeight w:val="252"/>
        </w:trPr>
        <w:tc>
          <w:tcPr>
            <w:tcW w:w="616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9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61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72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rPr>
              <w:t>20,490</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30,122</w:t>
            </w:r>
          </w:p>
        </w:tc>
        <w:tc>
          <w:tcPr>
            <w:tcW w:w="0" w:type="dxa"/>
            <w:vAlign w:val="bottom"/>
          </w:tcPr>
          <w:p>
            <w:pPr>
              <w:spacing w:after="0"/>
              <w:rPr>
                <w:sz w:val="1"/>
                <w:szCs w:val="1"/>
                <w:color w:val="auto"/>
              </w:rPr>
            </w:pPr>
          </w:p>
        </w:tc>
      </w:tr>
      <w:tr>
        <w:trPr>
          <w:trHeight w:val="172"/>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Accounts payable</w:t>
            </w:r>
          </w:p>
        </w:tc>
        <w:tc>
          <w:tcPr>
            <w:tcW w:w="7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Accrued liabilities</w:t>
            </w:r>
          </w:p>
        </w:tc>
        <w:tc>
          <w:tcPr>
            <w:tcW w:w="720" w:type="dxa"/>
            <w:vAlign w:val="bottom"/>
          </w:tcPr>
          <w:p>
            <w:pPr>
              <w:spacing w:after="0"/>
              <w:rPr>
                <w:sz w:val="14"/>
                <w:szCs w:val="14"/>
                <w:color w:val="auto"/>
              </w:rPr>
            </w:pP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21,885</w:t>
            </w: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26,806</w:t>
            </w:r>
          </w:p>
        </w:tc>
        <w:tc>
          <w:tcPr>
            <w:tcW w:w="0" w:type="dxa"/>
            <w:vAlign w:val="bottom"/>
          </w:tcPr>
          <w:p>
            <w:pPr>
              <w:spacing w:after="0"/>
              <w:rPr>
                <w:sz w:val="1"/>
                <w:szCs w:val="1"/>
                <w:color w:val="auto"/>
              </w:rPr>
            </w:pPr>
          </w:p>
        </w:tc>
      </w:tr>
      <w:tr>
        <w:trPr>
          <w:trHeight w:val="172"/>
        </w:trPr>
        <w:tc>
          <w:tcPr>
            <w:tcW w:w="6160" w:type="dxa"/>
            <w:vAlign w:val="bottom"/>
            <w:vMerge w:val="restart"/>
          </w:tcPr>
          <w:p>
            <w:pPr>
              <w:spacing w:after="0"/>
              <w:rPr>
                <w:sz w:val="20"/>
                <w:szCs w:val="20"/>
                <w:color w:val="auto"/>
              </w:rPr>
            </w:pPr>
            <w:r>
              <w:rPr>
                <w:rFonts w:ascii="Courier New" w:cs="Courier New" w:eastAsia="Courier New" w:hAnsi="Courier New"/>
                <w:sz w:val="15"/>
                <w:szCs w:val="15"/>
                <w:color w:val="auto"/>
              </w:rPr>
              <w:t>Total current liabilities</w:t>
            </w:r>
          </w:p>
        </w:tc>
        <w:tc>
          <w:tcPr>
            <w:tcW w:w="720" w:type="dxa"/>
            <w:vAlign w:val="bottom"/>
          </w:tcPr>
          <w:p>
            <w:pPr>
              <w:ind w:left="280"/>
              <w:spacing w:after="0"/>
              <w:rPr>
                <w:sz w:val="20"/>
                <w:szCs w:val="20"/>
                <w:color w:val="auto"/>
              </w:rPr>
            </w:pPr>
            <w:r>
              <w:rPr>
                <w:rFonts w:ascii="Courier New" w:cs="Courier New" w:eastAsia="Courier New" w:hAnsi="Courier New"/>
                <w:sz w:val="6"/>
                <w:szCs w:val="6"/>
                <w:color w:val="auto"/>
                <w:w w:val="77"/>
              </w:rPr>
              <w:t>---------------</w:t>
            </w:r>
          </w:p>
        </w:tc>
        <w:tc>
          <w:tcPr>
            <w:tcW w:w="126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rPr>
              <w:t>42,375</w:t>
            </w:r>
          </w:p>
        </w:tc>
        <w:tc>
          <w:tcPr>
            <w:tcW w:w="18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1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56,928</w:t>
            </w:r>
          </w:p>
        </w:tc>
        <w:tc>
          <w:tcPr>
            <w:tcW w:w="0" w:type="dxa"/>
            <w:vAlign w:val="bottom"/>
          </w:tcPr>
          <w:p>
            <w:pPr>
              <w:spacing w:after="0"/>
              <w:rPr>
                <w:sz w:val="1"/>
                <w:szCs w:val="1"/>
                <w:color w:val="auto"/>
              </w:rPr>
            </w:pPr>
          </w:p>
        </w:tc>
      </w:tr>
      <w:tr>
        <w:trPr>
          <w:trHeight w:val="252"/>
        </w:trPr>
        <w:tc>
          <w:tcPr>
            <w:tcW w:w="6160" w:type="dxa"/>
            <w:vAlign w:val="bottom"/>
            <w:vMerge w:val="restart"/>
          </w:tcPr>
          <w:p>
            <w:pPr>
              <w:spacing w:after="0"/>
              <w:rPr>
                <w:sz w:val="20"/>
                <w:szCs w:val="20"/>
                <w:color w:val="auto"/>
              </w:rPr>
            </w:pPr>
            <w:r>
              <w:rPr>
                <w:rFonts w:ascii="Courier New" w:cs="Courier New" w:eastAsia="Courier New" w:hAnsi="Courier New"/>
                <w:sz w:val="15"/>
                <w:szCs w:val="15"/>
                <w:color w:val="auto"/>
              </w:rPr>
              <w:t>Long-term liabilities</w:t>
            </w:r>
          </w:p>
        </w:tc>
        <w:tc>
          <w:tcPr>
            <w:tcW w:w="19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26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rPr>
              <w:t>10,659</w:t>
            </w:r>
          </w:p>
        </w:tc>
        <w:tc>
          <w:tcPr>
            <w:tcW w:w="580" w:type="dxa"/>
            <w:vAlign w:val="bottom"/>
          </w:tcPr>
          <w:p>
            <w:pPr>
              <w:spacing w:after="0"/>
              <w:rPr>
                <w:sz w:val="7"/>
                <w:szCs w:val="7"/>
                <w:color w:val="auto"/>
              </w:rPr>
            </w:pPr>
          </w:p>
        </w:tc>
        <w:tc>
          <w:tcPr>
            <w:tcW w:w="128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10,998</w:t>
            </w:r>
          </w:p>
        </w:tc>
        <w:tc>
          <w:tcPr>
            <w:tcW w:w="0" w:type="dxa"/>
            <w:vAlign w:val="bottom"/>
          </w:tcPr>
          <w:p>
            <w:pPr>
              <w:spacing w:after="0"/>
              <w:rPr>
                <w:sz w:val="1"/>
                <w:szCs w:val="1"/>
                <w:color w:val="auto"/>
              </w:rPr>
            </w:pPr>
          </w:p>
        </w:tc>
      </w:tr>
      <w:tr>
        <w:trPr>
          <w:trHeight w:val="172"/>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Employee benefits</w:t>
            </w:r>
          </w:p>
        </w:tc>
        <w:tc>
          <w:tcPr>
            <w:tcW w:w="7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Notes Payable</w:t>
            </w:r>
          </w:p>
        </w:tc>
        <w:tc>
          <w:tcPr>
            <w:tcW w:w="720" w:type="dxa"/>
            <w:vAlign w:val="bottom"/>
          </w:tcPr>
          <w:p>
            <w:pPr>
              <w:spacing w:after="0"/>
              <w:rPr>
                <w:sz w:val="14"/>
                <w:szCs w:val="14"/>
                <w:color w:val="auto"/>
              </w:rPr>
            </w:pP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51,500</w:t>
            </w: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18,000</w:t>
            </w:r>
          </w:p>
        </w:tc>
        <w:tc>
          <w:tcPr>
            <w:tcW w:w="0" w:type="dxa"/>
            <w:vAlign w:val="bottom"/>
          </w:tcPr>
          <w:p>
            <w:pPr>
              <w:spacing w:after="0"/>
              <w:rPr>
                <w:sz w:val="1"/>
                <w:szCs w:val="1"/>
                <w:color w:val="auto"/>
              </w:rPr>
            </w:pPr>
          </w:p>
        </w:tc>
      </w:tr>
      <w:tr>
        <w:trPr>
          <w:trHeight w:val="172"/>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Deferred income taxes</w:t>
            </w:r>
          </w:p>
        </w:tc>
        <w:tc>
          <w:tcPr>
            <w:tcW w:w="720" w:type="dxa"/>
            <w:vAlign w:val="bottom"/>
          </w:tcPr>
          <w:p>
            <w:pPr>
              <w:spacing w:after="0"/>
              <w:rPr>
                <w:sz w:val="14"/>
                <w:szCs w:val="14"/>
                <w:color w:val="auto"/>
              </w:rPr>
            </w:pP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5,464</w:t>
            </w: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1,152</w:t>
            </w:r>
          </w:p>
        </w:tc>
        <w:tc>
          <w:tcPr>
            <w:tcW w:w="0" w:type="dxa"/>
            <w:vAlign w:val="bottom"/>
          </w:tcPr>
          <w:p>
            <w:pPr>
              <w:spacing w:after="0"/>
              <w:rPr>
                <w:sz w:val="1"/>
                <w:szCs w:val="1"/>
                <w:color w:val="auto"/>
              </w:rPr>
            </w:pPr>
          </w:p>
        </w:tc>
      </w:tr>
      <w:tr>
        <w:trPr>
          <w:trHeight w:val="172"/>
        </w:trPr>
        <w:tc>
          <w:tcPr>
            <w:tcW w:w="6160" w:type="dxa"/>
            <w:vAlign w:val="bottom"/>
            <w:vMerge w:val="restart"/>
          </w:tcPr>
          <w:p>
            <w:pPr>
              <w:spacing w:after="0"/>
              <w:rPr>
                <w:sz w:val="20"/>
                <w:szCs w:val="20"/>
                <w:color w:val="auto"/>
              </w:rPr>
            </w:pPr>
            <w:r>
              <w:rPr>
                <w:rFonts w:ascii="Courier New" w:cs="Courier New" w:eastAsia="Courier New" w:hAnsi="Courier New"/>
                <w:sz w:val="15"/>
                <w:szCs w:val="15"/>
                <w:color w:val="auto"/>
              </w:rPr>
              <w:t>Total long-term liabilities</w:t>
            </w:r>
          </w:p>
        </w:tc>
        <w:tc>
          <w:tcPr>
            <w:tcW w:w="720" w:type="dxa"/>
            <w:vAlign w:val="bottom"/>
          </w:tcPr>
          <w:p>
            <w:pPr>
              <w:ind w:left="280"/>
              <w:spacing w:after="0"/>
              <w:rPr>
                <w:sz w:val="20"/>
                <w:szCs w:val="20"/>
                <w:color w:val="auto"/>
              </w:rPr>
            </w:pPr>
            <w:r>
              <w:rPr>
                <w:rFonts w:ascii="Courier New" w:cs="Courier New" w:eastAsia="Courier New" w:hAnsi="Courier New"/>
                <w:sz w:val="6"/>
                <w:szCs w:val="6"/>
                <w:color w:val="auto"/>
                <w:w w:val="77"/>
              </w:rPr>
              <w:t>---------------</w:t>
            </w:r>
          </w:p>
        </w:tc>
        <w:tc>
          <w:tcPr>
            <w:tcW w:w="126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rPr>
              <w:t>67,623</w:t>
            </w:r>
          </w:p>
        </w:tc>
        <w:tc>
          <w:tcPr>
            <w:tcW w:w="18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1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30,150</w:t>
            </w:r>
          </w:p>
        </w:tc>
        <w:tc>
          <w:tcPr>
            <w:tcW w:w="0" w:type="dxa"/>
            <w:vAlign w:val="bottom"/>
          </w:tcPr>
          <w:p>
            <w:pPr>
              <w:spacing w:after="0"/>
              <w:rPr>
                <w:sz w:val="1"/>
                <w:szCs w:val="1"/>
                <w:color w:val="auto"/>
              </w:rPr>
            </w:pPr>
          </w:p>
        </w:tc>
      </w:tr>
      <w:tr>
        <w:trPr>
          <w:trHeight w:val="252"/>
        </w:trPr>
        <w:tc>
          <w:tcPr>
            <w:tcW w:w="6160" w:type="dxa"/>
            <w:vAlign w:val="bottom"/>
            <w:vMerge w:val="restart"/>
          </w:tcPr>
          <w:p>
            <w:pPr>
              <w:spacing w:after="0"/>
              <w:rPr>
                <w:sz w:val="20"/>
                <w:szCs w:val="20"/>
                <w:color w:val="auto"/>
              </w:rPr>
            </w:pPr>
            <w:r>
              <w:rPr>
                <w:rFonts w:ascii="Courier New" w:cs="Courier New" w:eastAsia="Courier New" w:hAnsi="Courier New"/>
                <w:sz w:val="15"/>
                <w:szCs w:val="15"/>
                <w:color w:val="auto"/>
              </w:rPr>
              <w:t>Stockholders' Equity</w:t>
            </w:r>
          </w:p>
        </w:tc>
        <w:tc>
          <w:tcPr>
            <w:tcW w:w="19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26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rPr>
              <w:t>58,864</w:t>
            </w:r>
          </w:p>
        </w:tc>
        <w:tc>
          <w:tcPr>
            <w:tcW w:w="580" w:type="dxa"/>
            <w:vAlign w:val="bottom"/>
          </w:tcPr>
          <w:p>
            <w:pPr>
              <w:spacing w:after="0"/>
              <w:rPr>
                <w:sz w:val="7"/>
                <w:szCs w:val="7"/>
                <w:color w:val="auto"/>
              </w:rPr>
            </w:pPr>
          </w:p>
        </w:tc>
        <w:tc>
          <w:tcPr>
            <w:tcW w:w="128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60,474</w:t>
            </w:r>
          </w:p>
        </w:tc>
        <w:tc>
          <w:tcPr>
            <w:tcW w:w="0" w:type="dxa"/>
            <w:vAlign w:val="bottom"/>
          </w:tcPr>
          <w:p>
            <w:pPr>
              <w:spacing w:after="0"/>
              <w:rPr>
                <w:sz w:val="1"/>
                <w:szCs w:val="1"/>
                <w:color w:val="auto"/>
              </w:rPr>
            </w:pPr>
          </w:p>
        </w:tc>
      </w:tr>
      <w:tr>
        <w:trPr>
          <w:trHeight w:val="172"/>
        </w:trPr>
        <w:tc>
          <w:tcPr>
            <w:tcW w:w="6160" w:type="dxa"/>
            <w:vAlign w:val="bottom"/>
          </w:tcPr>
          <w:p>
            <w:pPr>
              <w:ind w:left="620"/>
              <w:spacing w:after="0"/>
              <w:rPr>
                <w:sz w:val="20"/>
                <w:szCs w:val="20"/>
                <w:color w:val="auto"/>
              </w:rPr>
            </w:pPr>
            <w:r>
              <w:rPr>
                <w:rFonts w:ascii="Courier New" w:cs="Courier New" w:eastAsia="Courier New" w:hAnsi="Courier New"/>
                <w:sz w:val="15"/>
                <w:szCs w:val="15"/>
                <w:color w:val="auto"/>
              </w:rPr>
              <w:t>Common stock</w:t>
            </w:r>
          </w:p>
        </w:tc>
        <w:tc>
          <w:tcPr>
            <w:tcW w:w="7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tcPr>
          <w:p>
            <w:pPr>
              <w:ind w:left="620"/>
              <w:spacing w:after="0"/>
              <w:rPr>
                <w:sz w:val="20"/>
                <w:szCs w:val="20"/>
                <w:color w:val="auto"/>
              </w:rPr>
            </w:pPr>
            <w:r>
              <w:rPr>
                <w:rFonts w:ascii="Courier New" w:cs="Courier New" w:eastAsia="Courier New" w:hAnsi="Courier New"/>
                <w:sz w:val="15"/>
                <w:szCs w:val="15"/>
                <w:color w:val="auto"/>
              </w:rPr>
              <w:t>Additional paid in capital</w:t>
            </w:r>
          </w:p>
        </w:tc>
        <w:tc>
          <w:tcPr>
            <w:tcW w:w="720" w:type="dxa"/>
            <w:vAlign w:val="bottom"/>
          </w:tcPr>
          <w:p>
            <w:pPr>
              <w:spacing w:after="0"/>
              <w:rPr>
                <w:sz w:val="14"/>
                <w:szCs w:val="14"/>
                <w:color w:val="auto"/>
              </w:rPr>
            </w:pP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160" w:type="dxa"/>
            <w:vAlign w:val="bottom"/>
          </w:tcPr>
          <w:p>
            <w:pPr>
              <w:ind w:left="620"/>
              <w:spacing w:after="0"/>
              <w:rPr>
                <w:sz w:val="20"/>
                <w:szCs w:val="20"/>
                <w:color w:val="auto"/>
              </w:rPr>
            </w:pPr>
            <w:r>
              <w:rPr>
                <w:rFonts w:ascii="Courier New" w:cs="Courier New" w:eastAsia="Courier New" w:hAnsi="Courier New"/>
                <w:sz w:val="15"/>
                <w:szCs w:val="15"/>
                <w:color w:val="auto"/>
              </w:rPr>
              <w:t>Retained earnings</w:t>
            </w:r>
          </w:p>
        </w:tc>
        <w:tc>
          <w:tcPr>
            <w:tcW w:w="720" w:type="dxa"/>
            <w:vAlign w:val="bottom"/>
          </w:tcPr>
          <w:p>
            <w:pPr>
              <w:spacing w:after="0"/>
              <w:rPr>
                <w:sz w:val="14"/>
                <w:szCs w:val="14"/>
                <w:color w:val="auto"/>
              </w:rPr>
            </w:pP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5"/>
              </w:rPr>
              <w:t>191,134</w:t>
            </w: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187,973</w:t>
            </w:r>
          </w:p>
        </w:tc>
        <w:tc>
          <w:tcPr>
            <w:tcW w:w="0" w:type="dxa"/>
            <w:vAlign w:val="bottom"/>
          </w:tcPr>
          <w:p>
            <w:pPr>
              <w:spacing w:after="0"/>
              <w:rPr>
                <w:sz w:val="1"/>
                <w:szCs w:val="1"/>
                <w:color w:val="auto"/>
              </w:rPr>
            </w:pPr>
          </w:p>
        </w:tc>
      </w:tr>
      <w:tr>
        <w:trPr>
          <w:trHeight w:val="172"/>
        </w:trPr>
        <w:tc>
          <w:tcPr>
            <w:tcW w:w="6160" w:type="dxa"/>
            <w:vAlign w:val="bottom"/>
          </w:tcPr>
          <w:p>
            <w:pPr>
              <w:ind w:left="620"/>
              <w:spacing w:after="0"/>
              <w:rPr>
                <w:sz w:val="20"/>
                <w:szCs w:val="20"/>
                <w:color w:val="auto"/>
              </w:rPr>
            </w:pPr>
            <w:r>
              <w:rPr>
                <w:rFonts w:ascii="Courier New" w:cs="Courier New" w:eastAsia="Courier New" w:hAnsi="Courier New"/>
                <w:sz w:val="15"/>
                <w:szCs w:val="15"/>
                <w:color w:val="auto"/>
              </w:rPr>
              <w:t>Accumulated other comprehensive income -</w:t>
            </w:r>
          </w:p>
        </w:tc>
        <w:tc>
          <w:tcPr>
            <w:tcW w:w="720" w:type="dxa"/>
            <w:vAlign w:val="bottom"/>
          </w:tcPr>
          <w:p>
            <w:pPr>
              <w:spacing w:after="0"/>
              <w:rPr>
                <w:sz w:val="14"/>
                <w:szCs w:val="14"/>
                <w:color w:val="auto"/>
              </w:rPr>
            </w:pPr>
          </w:p>
        </w:tc>
        <w:tc>
          <w:tcPr>
            <w:tcW w:w="126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rPr>
              <w:t>7,341</w:t>
            </w:r>
          </w:p>
        </w:tc>
        <w:tc>
          <w:tcPr>
            <w:tcW w:w="580" w:type="dxa"/>
            <w:vAlign w:val="bottom"/>
          </w:tcPr>
          <w:p>
            <w:pPr>
              <w:spacing w:after="0"/>
              <w:rPr>
                <w:sz w:val="14"/>
                <w:szCs w:val="14"/>
                <w:color w:val="auto"/>
              </w:rPr>
            </w:pPr>
          </w:p>
        </w:tc>
        <w:tc>
          <w:tcPr>
            <w:tcW w:w="128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7,993</w:t>
            </w:r>
          </w:p>
        </w:tc>
        <w:tc>
          <w:tcPr>
            <w:tcW w:w="0" w:type="dxa"/>
            <w:vAlign w:val="bottom"/>
          </w:tcPr>
          <w:p>
            <w:pPr>
              <w:spacing w:after="0"/>
              <w:rPr>
                <w:sz w:val="1"/>
                <w:szCs w:val="1"/>
                <w:color w:val="auto"/>
              </w:rPr>
            </w:pPr>
          </w:p>
        </w:tc>
      </w:tr>
      <w:tr>
        <w:trPr>
          <w:trHeight w:val="172"/>
        </w:trPr>
        <w:tc>
          <w:tcPr>
            <w:tcW w:w="6160" w:type="dxa"/>
            <w:vAlign w:val="bottom"/>
          </w:tcPr>
          <w:p>
            <w:pPr>
              <w:ind w:left="1240"/>
              <w:spacing w:after="0"/>
              <w:rPr>
                <w:sz w:val="20"/>
                <w:szCs w:val="20"/>
                <w:color w:val="auto"/>
              </w:rPr>
            </w:pPr>
            <w:r>
              <w:rPr>
                <w:rFonts w:ascii="Courier New" w:cs="Courier New" w:eastAsia="Courier New" w:hAnsi="Courier New"/>
                <w:sz w:val="15"/>
                <w:szCs w:val="15"/>
                <w:color w:val="auto"/>
              </w:rPr>
              <w:t>unrealized holding gains, net of income tax effect</w:t>
            </w:r>
          </w:p>
        </w:tc>
        <w:tc>
          <w:tcPr>
            <w:tcW w:w="7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tcPr>
          <w:p>
            <w:pPr>
              <w:ind w:left="620"/>
              <w:spacing w:after="0"/>
              <w:rPr>
                <w:sz w:val="20"/>
                <w:szCs w:val="20"/>
                <w:color w:val="auto"/>
              </w:rPr>
            </w:pPr>
            <w:r>
              <w:rPr>
                <w:rFonts w:ascii="Courier New" w:cs="Courier New" w:eastAsia="Courier New" w:hAnsi="Courier New"/>
                <w:sz w:val="15"/>
                <w:szCs w:val="15"/>
                <w:color w:val="auto"/>
              </w:rPr>
              <w:t>Unamortized stock compensation</w:t>
            </w:r>
          </w:p>
        </w:tc>
        <w:tc>
          <w:tcPr>
            <w:tcW w:w="720" w:type="dxa"/>
            <w:vAlign w:val="bottom"/>
          </w:tcPr>
          <w:p>
            <w:pPr>
              <w:spacing w:after="0"/>
              <w:rPr>
                <w:sz w:val="14"/>
                <w:szCs w:val="14"/>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(233)</w:t>
            </w:r>
          </w:p>
        </w:tc>
        <w:tc>
          <w:tcPr>
            <w:tcW w:w="580" w:type="dxa"/>
            <w:vAlign w:val="bottom"/>
          </w:tcPr>
          <w:p>
            <w:pPr>
              <w:spacing w:after="0"/>
              <w:rPr>
                <w:sz w:val="14"/>
                <w:szCs w:val="14"/>
                <w:color w:val="auto"/>
              </w:rPr>
            </w:pPr>
          </w:p>
        </w:tc>
        <w:tc>
          <w:tcPr>
            <w:tcW w:w="12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(689)</w:t>
            </w:r>
          </w:p>
        </w:tc>
        <w:tc>
          <w:tcPr>
            <w:tcW w:w="0" w:type="dxa"/>
            <w:vAlign w:val="bottom"/>
          </w:tcPr>
          <w:p>
            <w:pPr>
              <w:spacing w:after="0"/>
              <w:rPr>
                <w:sz w:val="1"/>
                <w:szCs w:val="1"/>
                <w:color w:val="auto"/>
              </w:rPr>
            </w:pPr>
          </w:p>
        </w:tc>
      </w:tr>
      <w:tr>
        <w:trPr>
          <w:trHeight w:val="172"/>
        </w:trPr>
        <w:tc>
          <w:tcPr>
            <w:tcW w:w="6160" w:type="dxa"/>
            <w:vAlign w:val="bottom"/>
            <w:vMerge w:val="restart"/>
          </w:tcPr>
          <w:p>
            <w:pPr>
              <w:spacing w:after="0"/>
              <w:rPr>
                <w:sz w:val="20"/>
                <w:szCs w:val="20"/>
                <w:color w:val="auto"/>
              </w:rPr>
            </w:pPr>
            <w:r>
              <w:rPr>
                <w:rFonts w:ascii="Courier New" w:cs="Courier New" w:eastAsia="Courier New" w:hAnsi="Courier New"/>
                <w:sz w:val="15"/>
                <w:szCs w:val="15"/>
                <w:color w:val="auto"/>
              </w:rPr>
              <w:t>Total stockholders' equity</w:t>
            </w:r>
          </w:p>
        </w:tc>
        <w:tc>
          <w:tcPr>
            <w:tcW w:w="720" w:type="dxa"/>
            <w:vAlign w:val="bottom"/>
          </w:tcPr>
          <w:p>
            <w:pPr>
              <w:ind w:left="280"/>
              <w:spacing w:after="0"/>
              <w:rPr>
                <w:sz w:val="20"/>
                <w:szCs w:val="20"/>
                <w:color w:val="auto"/>
              </w:rPr>
            </w:pPr>
            <w:r>
              <w:rPr>
                <w:rFonts w:ascii="Courier New" w:cs="Courier New" w:eastAsia="Courier New" w:hAnsi="Courier New"/>
                <w:sz w:val="6"/>
                <w:szCs w:val="6"/>
                <w:color w:val="auto"/>
                <w:w w:val="77"/>
              </w:rPr>
              <w:t>---------------</w:t>
            </w:r>
          </w:p>
        </w:tc>
        <w:tc>
          <w:tcPr>
            <w:tcW w:w="126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w w:val="95"/>
              </w:rPr>
              <w:t>257,106</w:t>
            </w:r>
          </w:p>
        </w:tc>
        <w:tc>
          <w:tcPr>
            <w:tcW w:w="18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1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255,751</w:t>
            </w:r>
          </w:p>
        </w:tc>
        <w:tc>
          <w:tcPr>
            <w:tcW w:w="0" w:type="dxa"/>
            <w:vAlign w:val="bottom"/>
          </w:tcPr>
          <w:p>
            <w:pPr>
              <w:spacing w:after="0"/>
              <w:rPr>
                <w:sz w:val="1"/>
                <w:szCs w:val="1"/>
                <w:color w:val="auto"/>
              </w:rPr>
            </w:pPr>
          </w:p>
        </w:tc>
      </w:tr>
      <w:tr>
        <w:trPr>
          <w:trHeight w:val="172"/>
        </w:trPr>
        <w:tc>
          <w:tcPr>
            <w:tcW w:w="616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980" w:type="dxa"/>
            <w:vAlign w:val="bottom"/>
            <w:gridSpan w:val="2"/>
            <w:vMerge w:val="restart"/>
          </w:tcPr>
          <w:p>
            <w:pPr>
              <w:ind w:left="280"/>
              <w:spacing w:after="0"/>
              <w:rPr>
                <w:sz w:val="20"/>
                <w:szCs w:val="20"/>
                <w:color w:val="auto"/>
              </w:rPr>
            </w:pPr>
            <w:r>
              <w:rPr>
                <w:rFonts w:ascii="Courier New" w:cs="Courier New" w:eastAsia="Courier New" w:hAnsi="Courier New"/>
                <w:sz w:val="15"/>
                <w:szCs w:val="15"/>
                <w:color w:val="auto"/>
                <w:w w:val="73"/>
              </w:rPr>
              <w:t>---------------</w:t>
            </w:r>
            <w:r>
              <w:rPr>
                <w:rFonts w:ascii="Courier New" w:cs="Courier New" w:eastAsia="Courier New" w:hAnsi="Courier New"/>
                <w:sz w:val="29"/>
                <w:szCs w:val="29"/>
                <w:color w:val="auto"/>
                <w:w w:val="73"/>
                <w:vertAlign w:val="subscript"/>
              </w:rPr>
              <w:t>$367,104</w:t>
            </w:r>
          </w:p>
        </w:tc>
        <w:tc>
          <w:tcPr>
            <w:tcW w:w="18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160" w:type="dxa"/>
            <w:vAlign w:val="bottom"/>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8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$ 342,829</w:t>
            </w:r>
          </w:p>
        </w:tc>
        <w:tc>
          <w:tcPr>
            <w:tcW w:w="0" w:type="dxa"/>
            <w:vAlign w:val="bottom"/>
          </w:tcPr>
          <w:p>
            <w:pPr>
              <w:spacing w:after="0"/>
              <w:rPr>
                <w:sz w:val="1"/>
                <w:szCs w:val="1"/>
                <w:color w:val="auto"/>
              </w:rPr>
            </w:pPr>
          </w:p>
        </w:tc>
      </w:tr>
      <w:tr>
        <w:trPr>
          <w:trHeight w:val="252"/>
        </w:trPr>
        <w:tc>
          <w:tcPr>
            <w:tcW w:w="6160" w:type="dxa"/>
            <w:vAlign w:val="bottom"/>
          </w:tcPr>
          <w:p>
            <w:pPr>
              <w:spacing w:after="0"/>
              <w:rPr>
                <w:sz w:val="21"/>
                <w:szCs w:val="21"/>
                <w:color w:val="auto"/>
              </w:rPr>
            </w:pPr>
          </w:p>
        </w:tc>
        <w:tc>
          <w:tcPr>
            <w:tcW w:w="19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439"/>
        <w:spacing w:after="0" w:line="359"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 condensed consolidated financial statements.</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 of 16</w:t>
      </w:r>
    </w:p>
    <w:p>
      <w:pPr>
        <w:sectPr>
          <w:pgSz w:w="11900" w:h="16838" w:orient="portrait"/>
          <w:cols w:equalWidth="0" w:num="1">
            <w:col w:w="10219"/>
          </w:cols>
          <w:pgMar w:left="240" w:top="263"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2"/>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1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7320" w:type="dxa"/>
            <w:vAlign w:val="bottom"/>
          </w:tcPr>
          <w:p>
            <w:pPr>
              <w:ind w:left="1700"/>
              <w:spacing w:after="0"/>
              <w:rPr>
                <w:sz w:val="20"/>
                <w:szCs w:val="20"/>
                <w:color w:val="auto"/>
              </w:rPr>
            </w:pPr>
            <w:r>
              <w:rPr>
                <w:rFonts w:ascii="Courier New" w:cs="Courier New" w:eastAsia="Courier New" w:hAnsi="Courier New"/>
                <w:sz w:val="15"/>
                <w:szCs w:val="15"/>
                <w:color w:val="auto"/>
              </w:rPr>
              <w:t>PART I - FINANCIAL INFORMATION - CONTINUED</w:t>
            </w: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320" w:type="dxa"/>
            <w:vAlign w:val="bottom"/>
          </w:tcPr>
          <w:p>
            <w:pPr>
              <w:ind w:left="1340"/>
              <w:spacing w:after="0"/>
              <w:rPr>
                <w:sz w:val="20"/>
                <w:szCs w:val="20"/>
                <w:color w:val="auto"/>
              </w:rPr>
            </w:pPr>
            <w:r>
              <w:rPr>
                <w:rFonts w:ascii="Courier New" w:cs="Courier New" w:eastAsia="Courier New" w:hAnsi="Courier New"/>
                <w:sz w:val="15"/>
                <w:szCs w:val="15"/>
                <w:color w:val="auto"/>
              </w:rPr>
              <w:t>BASSETT FURNITURE INDUSTRIES INC. AND SUBSIDIARIES</w:t>
            </w: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CONSOLIDATED STATEMENTS OF CASH FLOWS</w:t>
            </w: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FOR THE NINE MONTHS ENDED AUGUST 26, 2000 AND AUGUST 28, 1999 - UNAUDITED</w:t>
            </w: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7320" w:type="dxa"/>
            <w:vAlign w:val="bottom"/>
          </w:tcPr>
          <w:p>
            <w:pPr>
              <w:ind w:left="2940"/>
              <w:spacing w:after="0"/>
              <w:rPr>
                <w:sz w:val="20"/>
                <w:szCs w:val="20"/>
                <w:color w:val="auto"/>
              </w:rPr>
            </w:pPr>
            <w:r>
              <w:rPr>
                <w:rFonts w:ascii="Courier New" w:cs="Courier New" w:eastAsia="Courier New" w:hAnsi="Courier New"/>
                <w:sz w:val="15"/>
                <w:szCs w:val="15"/>
                <w:color w:val="auto"/>
              </w:rPr>
              <w:t>(in thousands)</w:t>
            </w:r>
          </w:p>
        </w:tc>
        <w:tc>
          <w:tcPr>
            <w:tcW w:w="1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7320" w:type="dxa"/>
            <w:vAlign w:val="bottom"/>
          </w:tcPr>
          <w:p>
            <w:pPr>
              <w:spacing w:after="0"/>
              <w:rPr>
                <w:sz w:val="24"/>
                <w:szCs w:val="24"/>
                <w:color w:val="auto"/>
              </w:rPr>
            </w:pPr>
          </w:p>
        </w:tc>
        <w:tc>
          <w:tcPr>
            <w:tcW w:w="18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2"/>
        </w:trPr>
        <w:tc>
          <w:tcPr>
            <w:tcW w:w="7320" w:type="dxa"/>
            <w:vAlign w:val="bottom"/>
          </w:tcPr>
          <w:p>
            <w:pPr>
              <w:spacing w:after="0"/>
              <w:rPr>
                <w:sz w:val="21"/>
                <w:szCs w:val="21"/>
                <w:color w:val="auto"/>
              </w:rPr>
            </w:pP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7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$ 13,174</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$ 13,879</w:t>
            </w:r>
          </w:p>
        </w:tc>
        <w:tc>
          <w:tcPr>
            <w:tcW w:w="0" w:type="dxa"/>
            <w:vAlign w:val="bottom"/>
          </w:tcPr>
          <w:p>
            <w:pPr>
              <w:spacing w:after="0"/>
              <w:rPr>
                <w:sz w:val="1"/>
                <w:szCs w:val="1"/>
                <w:color w:val="auto"/>
              </w:rPr>
            </w:pPr>
          </w:p>
        </w:tc>
      </w:tr>
      <w:tr>
        <w:trPr>
          <w:trHeight w:val="172"/>
        </w:trPr>
        <w:tc>
          <w:tcPr>
            <w:tcW w:w="732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used in operating activities:</w:t>
            </w:r>
          </w:p>
        </w:tc>
        <w:tc>
          <w:tcPr>
            <w:tcW w:w="180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7,454</w:t>
            </w:r>
          </w:p>
        </w:tc>
        <w:tc>
          <w:tcPr>
            <w:tcW w:w="620" w:type="dxa"/>
            <w:vAlign w:val="bottom"/>
          </w:tcPr>
          <w:p>
            <w:pPr>
              <w:spacing w:after="0"/>
              <w:rPr>
                <w:sz w:val="14"/>
                <w:szCs w:val="14"/>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6,090</w:t>
            </w:r>
          </w:p>
        </w:tc>
        <w:tc>
          <w:tcPr>
            <w:tcW w:w="0" w:type="dxa"/>
            <w:vAlign w:val="bottom"/>
          </w:tcPr>
          <w:p>
            <w:pPr>
              <w:spacing w:after="0"/>
              <w:rPr>
                <w:sz w:val="1"/>
                <w:szCs w:val="1"/>
                <w:color w:val="auto"/>
              </w:rPr>
            </w:pPr>
          </w:p>
        </w:tc>
      </w:tr>
      <w:tr>
        <w:trPr>
          <w:trHeight w:val="172"/>
        </w:trPr>
        <w:tc>
          <w:tcPr>
            <w:tcW w:w="7320" w:type="dxa"/>
            <w:vAlign w:val="bottom"/>
          </w:tcPr>
          <w:p>
            <w:pPr>
              <w:ind w:left="520"/>
              <w:spacing w:after="0"/>
              <w:rPr>
                <w:sz w:val="20"/>
                <w:szCs w:val="20"/>
                <w:color w:val="auto"/>
              </w:rPr>
            </w:pPr>
            <w:r>
              <w:rPr>
                <w:rFonts w:ascii="Courier New" w:cs="Courier New" w:eastAsia="Courier New" w:hAnsi="Courier New"/>
                <w:sz w:val="15"/>
                <w:szCs w:val="15"/>
                <w:color w:val="auto"/>
              </w:rPr>
              <w:t>Depreciation and amortization</w:t>
            </w:r>
          </w:p>
        </w:tc>
        <w:tc>
          <w:tcPr>
            <w:tcW w:w="18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20" w:type="dxa"/>
            <w:vAlign w:val="bottom"/>
          </w:tcPr>
          <w:p>
            <w:pPr>
              <w:ind w:left="520"/>
              <w:spacing w:after="0"/>
              <w:rPr>
                <w:sz w:val="20"/>
                <w:szCs w:val="20"/>
                <w:color w:val="auto"/>
              </w:rPr>
            </w:pPr>
            <w:r>
              <w:rPr>
                <w:rFonts w:ascii="Courier New" w:cs="Courier New" w:eastAsia="Courier New" w:hAnsi="Courier New"/>
                <w:sz w:val="15"/>
                <w:szCs w:val="15"/>
                <w:color w:val="auto"/>
              </w:rPr>
              <w:t>Equity in undistributed income of affiliated companies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(8,888)</w:t>
            </w:r>
          </w:p>
        </w:tc>
        <w:tc>
          <w:tcPr>
            <w:tcW w:w="6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(8,405)</w:t>
            </w:r>
          </w:p>
        </w:tc>
        <w:tc>
          <w:tcPr>
            <w:tcW w:w="0" w:type="dxa"/>
            <w:vAlign w:val="bottom"/>
          </w:tcPr>
          <w:p>
            <w:pPr>
              <w:spacing w:after="0"/>
              <w:rPr>
                <w:sz w:val="1"/>
                <w:szCs w:val="1"/>
                <w:color w:val="auto"/>
              </w:rPr>
            </w:pPr>
          </w:p>
        </w:tc>
      </w:tr>
      <w:tr>
        <w:trPr>
          <w:trHeight w:val="172"/>
        </w:trPr>
        <w:tc>
          <w:tcPr>
            <w:tcW w:w="7320" w:type="dxa"/>
            <w:vAlign w:val="bottom"/>
          </w:tcPr>
          <w:p>
            <w:pPr>
              <w:ind w:left="520"/>
              <w:spacing w:after="0"/>
              <w:rPr>
                <w:sz w:val="20"/>
                <w:szCs w:val="20"/>
                <w:color w:val="auto"/>
              </w:rPr>
            </w:pPr>
            <w:r>
              <w:rPr>
                <w:rFonts w:ascii="Courier New" w:cs="Courier New" w:eastAsia="Courier New" w:hAnsi="Courier New"/>
                <w:sz w:val="15"/>
                <w:szCs w:val="15"/>
                <w:color w:val="auto"/>
              </w:rPr>
              <w:t>Provision for deferred income taxes</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4,312</w:t>
            </w:r>
          </w:p>
        </w:tc>
        <w:tc>
          <w:tcPr>
            <w:tcW w:w="6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3,315</w:t>
            </w:r>
          </w:p>
        </w:tc>
        <w:tc>
          <w:tcPr>
            <w:tcW w:w="0" w:type="dxa"/>
            <w:vAlign w:val="bottom"/>
          </w:tcPr>
          <w:p>
            <w:pPr>
              <w:spacing w:after="0"/>
              <w:rPr>
                <w:sz w:val="1"/>
                <w:szCs w:val="1"/>
                <w:color w:val="auto"/>
              </w:rPr>
            </w:pPr>
          </w:p>
        </w:tc>
      </w:tr>
      <w:tr>
        <w:trPr>
          <w:trHeight w:val="172"/>
        </w:trPr>
        <w:tc>
          <w:tcPr>
            <w:tcW w:w="7320" w:type="dxa"/>
            <w:vAlign w:val="bottom"/>
          </w:tcPr>
          <w:p>
            <w:pPr>
              <w:ind w:left="520"/>
              <w:spacing w:after="0"/>
              <w:rPr>
                <w:sz w:val="20"/>
                <w:szCs w:val="20"/>
                <w:color w:val="auto"/>
              </w:rPr>
            </w:pPr>
            <w:r>
              <w:rPr>
                <w:rFonts w:ascii="Courier New" w:cs="Courier New" w:eastAsia="Courier New" w:hAnsi="Courier New"/>
                <w:sz w:val="15"/>
                <w:szCs w:val="15"/>
                <w:color w:val="auto"/>
              </w:rPr>
              <w:t>Net (gain) loss from sales of investment securities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(1,585)</w:t>
            </w:r>
          </w:p>
        </w:tc>
        <w:tc>
          <w:tcPr>
            <w:tcW w:w="6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(1,457)</w:t>
            </w:r>
          </w:p>
        </w:tc>
        <w:tc>
          <w:tcPr>
            <w:tcW w:w="0" w:type="dxa"/>
            <w:vAlign w:val="bottom"/>
          </w:tcPr>
          <w:p>
            <w:pPr>
              <w:spacing w:after="0"/>
              <w:rPr>
                <w:sz w:val="1"/>
                <w:szCs w:val="1"/>
                <w:color w:val="auto"/>
              </w:rPr>
            </w:pPr>
          </w:p>
        </w:tc>
      </w:tr>
      <w:tr>
        <w:trPr>
          <w:trHeight w:val="172"/>
        </w:trPr>
        <w:tc>
          <w:tcPr>
            <w:tcW w:w="7320" w:type="dxa"/>
            <w:vAlign w:val="bottom"/>
          </w:tcPr>
          <w:p>
            <w:pPr>
              <w:ind w:left="520"/>
              <w:spacing w:after="0"/>
              <w:rPr>
                <w:sz w:val="20"/>
                <w:szCs w:val="20"/>
                <w:color w:val="auto"/>
              </w:rPr>
            </w:pPr>
            <w:r>
              <w:rPr>
                <w:rFonts w:ascii="Courier New" w:cs="Courier New" w:eastAsia="Courier New" w:hAnsi="Courier New"/>
                <w:sz w:val="15"/>
                <w:szCs w:val="15"/>
                <w:color w:val="auto"/>
              </w:rPr>
              <w:t>Net (gain) loss from sales of property and equipment</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(175)</w:t>
            </w:r>
          </w:p>
        </w:tc>
        <w:tc>
          <w:tcPr>
            <w:tcW w:w="6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320" w:type="dxa"/>
            <w:vAlign w:val="bottom"/>
          </w:tcPr>
          <w:p>
            <w:pPr>
              <w:ind w:left="520"/>
              <w:spacing w:after="0"/>
              <w:rPr>
                <w:sz w:val="20"/>
                <w:szCs w:val="20"/>
                <w:color w:val="auto"/>
              </w:rPr>
            </w:pPr>
            <w:r>
              <w:rPr>
                <w:rFonts w:ascii="Courier New" w:cs="Courier New" w:eastAsia="Courier New" w:hAnsi="Courier New"/>
                <w:sz w:val="15"/>
                <w:szCs w:val="15"/>
                <w:color w:val="auto"/>
              </w:rPr>
              <w:t>Net (gain) loss from sales of affiliate investments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(1,394)</w:t>
            </w:r>
          </w:p>
        </w:tc>
        <w:tc>
          <w:tcPr>
            <w:tcW w:w="6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320" w:type="dxa"/>
            <w:vAlign w:val="bottom"/>
          </w:tcPr>
          <w:p>
            <w:pPr>
              <w:ind w:left="520"/>
              <w:spacing w:after="0"/>
              <w:rPr>
                <w:sz w:val="20"/>
                <w:szCs w:val="20"/>
                <w:color w:val="auto"/>
              </w:rPr>
            </w:pPr>
            <w:r>
              <w:rPr>
                <w:rFonts w:ascii="Courier New" w:cs="Courier New" w:eastAsia="Courier New" w:hAnsi="Courier New"/>
                <w:sz w:val="15"/>
                <w:szCs w:val="15"/>
                <w:color w:val="auto"/>
              </w:rPr>
              <w:t>Compensation earned under restricted stock plan</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180</w:t>
            </w:r>
          </w:p>
        </w:tc>
        <w:tc>
          <w:tcPr>
            <w:tcW w:w="6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w:t>
            </w:r>
          </w:p>
        </w:tc>
        <w:tc>
          <w:tcPr>
            <w:tcW w:w="0" w:type="dxa"/>
            <w:vAlign w:val="bottom"/>
          </w:tcPr>
          <w:p>
            <w:pPr>
              <w:spacing w:after="0"/>
              <w:rPr>
                <w:sz w:val="1"/>
                <w:szCs w:val="1"/>
                <w:color w:val="auto"/>
              </w:rPr>
            </w:pPr>
          </w:p>
        </w:tc>
      </w:tr>
      <w:tr>
        <w:trPr>
          <w:trHeight w:val="172"/>
        </w:trPr>
        <w:tc>
          <w:tcPr>
            <w:tcW w:w="7320" w:type="dxa"/>
            <w:vAlign w:val="bottom"/>
          </w:tcPr>
          <w:p>
            <w:pPr>
              <w:ind w:left="520"/>
              <w:spacing w:after="0"/>
              <w:rPr>
                <w:sz w:val="20"/>
                <w:szCs w:val="20"/>
                <w:color w:val="auto"/>
              </w:rPr>
            </w:pPr>
            <w:r>
              <w:rPr>
                <w:rFonts w:ascii="Courier New" w:cs="Courier New" w:eastAsia="Courier New" w:hAnsi="Courier New"/>
                <w:sz w:val="15"/>
                <w:szCs w:val="15"/>
                <w:color w:val="auto"/>
              </w:rPr>
              <w:t>Changes in long-term liabilities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(339)</w:t>
            </w:r>
          </w:p>
        </w:tc>
        <w:tc>
          <w:tcPr>
            <w:tcW w:w="6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c>
          <w:tcPr>
            <w:tcW w:w="0" w:type="dxa"/>
            <w:vAlign w:val="bottom"/>
          </w:tcPr>
          <w:p>
            <w:pPr>
              <w:spacing w:after="0"/>
              <w:rPr>
                <w:sz w:val="1"/>
                <w:szCs w:val="1"/>
                <w:color w:val="auto"/>
              </w:rPr>
            </w:pPr>
          </w:p>
        </w:tc>
      </w:tr>
      <w:tr>
        <w:trPr>
          <w:trHeight w:val="172"/>
        </w:trPr>
        <w:tc>
          <w:tcPr>
            <w:tcW w:w="7320" w:type="dxa"/>
            <w:vAlign w:val="bottom"/>
          </w:tcPr>
          <w:p>
            <w:pPr>
              <w:ind w:left="52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80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(6,466)</w:t>
            </w:r>
          </w:p>
        </w:tc>
        <w:tc>
          <w:tcPr>
            <w:tcW w:w="620" w:type="dxa"/>
            <w:vAlign w:val="bottom"/>
          </w:tcPr>
          <w:p>
            <w:pPr>
              <w:spacing w:after="0"/>
              <w:rPr>
                <w:sz w:val="14"/>
                <w:szCs w:val="14"/>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172"/>
        </w:trPr>
        <w:tc>
          <w:tcPr>
            <w:tcW w:w="7320" w:type="dxa"/>
            <w:vAlign w:val="bottom"/>
          </w:tcPr>
          <w:p>
            <w:pPr>
              <w:ind w:left="1700"/>
              <w:spacing w:after="0"/>
              <w:rPr>
                <w:sz w:val="20"/>
                <w:szCs w:val="20"/>
                <w:color w:val="auto"/>
              </w:rPr>
            </w:pPr>
            <w:r>
              <w:rPr>
                <w:rFonts w:ascii="Courier New" w:cs="Courier New" w:eastAsia="Courier New" w:hAnsi="Courier New"/>
                <w:sz w:val="15"/>
                <w:szCs w:val="15"/>
                <w:color w:val="auto"/>
              </w:rPr>
              <w:t>Trade accounts receivable</w:t>
            </w:r>
          </w:p>
        </w:tc>
        <w:tc>
          <w:tcPr>
            <w:tcW w:w="18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20" w:type="dxa"/>
            <w:vAlign w:val="bottom"/>
          </w:tcPr>
          <w:p>
            <w:pPr>
              <w:ind w:left="1700"/>
              <w:spacing w:after="0"/>
              <w:rPr>
                <w:sz w:val="20"/>
                <w:szCs w:val="20"/>
                <w:color w:val="auto"/>
              </w:rPr>
            </w:pPr>
            <w:r>
              <w:rPr>
                <w:rFonts w:ascii="Courier New" w:cs="Courier New" w:eastAsia="Courier New" w:hAnsi="Courier New"/>
                <w:sz w:val="15"/>
                <w:szCs w:val="15"/>
                <w:color w:val="auto"/>
              </w:rPr>
              <w:t>Inventory</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(10,708)</w:t>
            </w:r>
          </w:p>
        </w:tc>
        <w:tc>
          <w:tcPr>
            <w:tcW w:w="6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(7,176)</w:t>
            </w:r>
          </w:p>
        </w:tc>
        <w:tc>
          <w:tcPr>
            <w:tcW w:w="0" w:type="dxa"/>
            <w:vAlign w:val="bottom"/>
          </w:tcPr>
          <w:p>
            <w:pPr>
              <w:spacing w:after="0"/>
              <w:rPr>
                <w:sz w:val="1"/>
                <w:szCs w:val="1"/>
                <w:color w:val="auto"/>
              </w:rPr>
            </w:pPr>
          </w:p>
        </w:tc>
      </w:tr>
      <w:tr>
        <w:trPr>
          <w:trHeight w:val="172"/>
        </w:trPr>
        <w:tc>
          <w:tcPr>
            <w:tcW w:w="7320" w:type="dxa"/>
            <w:vAlign w:val="bottom"/>
          </w:tcPr>
          <w:p>
            <w:pPr>
              <w:ind w:left="1700"/>
              <w:spacing w:after="0"/>
              <w:rPr>
                <w:sz w:val="20"/>
                <w:szCs w:val="20"/>
                <w:color w:val="auto"/>
              </w:rPr>
            </w:pPr>
            <w:r>
              <w:rPr>
                <w:rFonts w:ascii="Courier New" w:cs="Courier New" w:eastAsia="Courier New" w:hAnsi="Courier New"/>
                <w:sz w:val="15"/>
                <w:szCs w:val="15"/>
                <w:color w:val="auto"/>
              </w:rPr>
              <w:t>Prepaid expenses and other</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(1,786)</w:t>
            </w:r>
          </w:p>
        </w:tc>
        <w:tc>
          <w:tcPr>
            <w:tcW w:w="6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(2,841)</w:t>
            </w:r>
          </w:p>
        </w:tc>
        <w:tc>
          <w:tcPr>
            <w:tcW w:w="0" w:type="dxa"/>
            <w:vAlign w:val="bottom"/>
          </w:tcPr>
          <w:p>
            <w:pPr>
              <w:spacing w:after="0"/>
              <w:rPr>
                <w:sz w:val="1"/>
                <w:szCs w:val="1"/>
                <w:color w:val="auto"/>
              </w:rPr>
            </w:pPr>
          </w:p>
        </w:tc>
      </w:tr>
      <w:tr>
        <w:trPr>
          <w:trHeight w:val="172"/>
        </w:trPr>
        <w:tc>
          <w:tcPr>
            <w:tcW w:w="7320" w:type="dxa"/>
            <w:vAlign w:val="bottom"/>
          </w:tcPr>
          <w:p>
            <w:pPr>
              <w:ind w:left="1700"/>
              <w:spacing w:after="0"/>
              <w:rPr>
                <w:sz w:val="20"/>
                <w:szCs w:val="20"/>
                <w:color w:val="auto"/>
              </w:rPr>
            </w:pPr>
            <w:r>
              <w:rPr>
                <w:rFonts w:ascii="Courier New" w:cs="Courier New" w:eastAsia="Courier New" w:hAnsi="Courier New"/>
                <w:sz w:val="15"/>
                <w:szCs w:val="15"/>
                <w:color w:val="auto"/>
              </w:rPr>
              <w:t>Refundable income taxes</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5,651</w:t>
            </w:r>
          </w:p>
        </w:tc>
        <w:tc>
          <w:tcPr>
            <w:tcW w:w="0" w:type="dxa"/>
            <w:vAlign w:val="bottom"/>
          </w:tcPr>
          <w:p>
            <w:pPr>
              <w:spacing w:after="0"/>
              <w:rPr>
                <w:sz w:val="1"/>
                <w:szCs w:val="1"/>
                <w:color w:val="auto"/>
              </w:rPr>
            </w:pPr>
          </w:p>
        </w:tc>
      </w:tr>
      <w:tr>
        <w:trPr>
          <w:trHeight w:val="172"/>
        </w:trPr>
        <w:tc>
          <w:tcPr>
            <w:tcW w:w="7320" w:type="dxa"/>
            <w:vAlign w:val="bottom"/>
          </w:tcPr>
          <w:p>
            <w:pPr>
              <w:ind w:left="1700"/>
              <w:spacing w:after="0"/>
              <w:rPr>
                <w:sz w:val="20"/>
                <w:szCs w:val="20"/>
                <w:color w:val="auto"/>
              </w:rPr>
            </w:pPr>
            <w:r>
              <w:rPr>
                <w:rFonts w:ascii="Courier New" w:cs="Courier New" w:eastAsia="Courier New" w:hAnsi="Courier New"/>
                <w:sz w:val="15"/>
                <w:szCs w:val="15"/>
                <w:color w:val="auto"/>
              </w:rPr>
              <w:t>Accounts payable and accrued liabilities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(5,632)</w:t>
            </w:r>
          </w:p>
        </w:tc>
        <w:tc>
          <w:tcPr>
            <w:tcW w:w="6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1,888</w:t>
            </w:r>
          </w:p>
        </w:tc>
        <w:tc>
          <w:tcPr>
            <w:tcW w:w="0" w:type="dxa"/>
            <w:vAlign w:val="bottom"/>
          </w:tcPr>
          <w:p>
            <w:pPr>
              <w:spacing w:after="0"/>
              <w:rPr>
                <w:sz w:val="1"/>
                <w:szCs w:val="1"/>
                <w:color w:val="auto"/>
              </w:rPr>
            </w:pPr>
          </w:p>
        </w:tc>
      </w:tr>
      <w:tr>
        <w:trPr>
          <w:trHeight w:val="172"/>
        </w:trPr>
        <w:tc>
          <w:tcPr>
            <w:tcW w:w="7320" w:type="dxa"/>
            <w:vAlign w:val="bottom"/>
            <w:vMerge w:val="restart"/>
          </w:tcPr>
          <w:p>
            <w:pPr>
              <w:jc w:val="center"/>
              <w:ind w:right="5"/>
              <w:spacing w:after="0"/>
              <w:rPr>
                <w:sz w:val="20"/>
                <w:szCs w:val="20"/>
                <w:color w:val="auto"/>
              </w:rPr>
            </w:pPr>
            <w:r>
              <w:rPr>
                <w:rFonts w:ascii="Courier New" w:cs="Courier New" w:eastAsia="Courier New" w:hAnsi="Courier New"/>
                <w:sz w:val="15"/>
                <w:szCs w:val="15"/>
                <w:color w:val="auto"/>
                <w:w w:val="99"/>
              </w:rPr>
              <w:t>Net cash provided by (used in) operating activities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320" w:type="dxa"/>
            <w:vAlign w:val="bottom"/>
            <w:vMerge w:val="continue"/>
          </w:tcPr>
          <w:p>
            <w:pPr>
              <w:spacing w:after="0"/>
              <w:rPr>
                <w:sz w:val="14"/>
                <w:szCs w:val="14"/>
                <w:color w:val="auto"/>
              </w:rPr>
            </w:pP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(11,853)</w:t>
            </w:r>
          </w:p>
        </w:tc>
        <w:tc>
          <w:tcPr>
            <w:tcW w:w="6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10,858</w:t>
            </w:r>
          </w:p>
        </w:tc>
        <w:tc>
          <w:tcPr>
            <w:tcW w:w="0" w:type="dxa"/>
            <w:vAlign w:val="bottom"/>
          </w:tcPr>
          <w:p>
            <w:pPr>
              <w:spacing w:after="0"/>
              <w:rPr>
                <w:sz w:val="1"/>
                <w:szCs w:val="1"/>
                <w:color w:val="auto"/>
              </w:rPr>
            </w:pPr>
          </w:p>
        </w:tc>
      </w:tr>
      <w:tr>
        <w:trPr>
          <w:trHeight w:val="252"/>
        </w:trPr>
        <w:tc>
          <w:tcPr>
            <w:tcW w:w="7320" w:type="dxa"/>
            <w:vAlign w:val="bottom"/>
            <w:vMerge w:val="restart"/>
          </w:tcPr>
          <w:p>
            <w:pPr>
              <w:spacing w:after="0"/>
              <w:rPr>
                <w:sz w:val="20"/>
                <w:szCs w:val="20"/>
                <w:color w:val="auto"/>
              </w:rPr>
            </w:pPr>
            <w:r>
              <w:rPr>
                <w:rFonts w:ascii="Courier New" w:cs="Courier New" w:eastAsia="Courier New" w:hAnsi="Courier New"/>
                <w:sz w:val="15"/>
                <w:szCs w:val="15"/>
                <w:color w:val="auto"/>
              </w:rPr>
              <w:t>Investing activities: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7320" w:type="dxa"/>
            <w:vAlign w:val="bottom"/>
            <w:vMerge w:val="continue"/>
          </w:tcPr>
          <w:p>
            <w:pPr>
              <w:spacing w:after="0"/>
              <w:rPr>
                <w:sz w:val="7"/>
                <w:szCs w:val="7"/>
                <w:color w:val="auto"/>
              </w:rPr>
            </w:pPr>
          </w:p>
        </w:tc>
        <w:tc>
          <w:tcPr>
            <w:tcW w:w="180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(16,151)</w:t>
            </w:r>
          </w:p>
        </w:tc>
        <w:tc>
          <w:tcPr>
            <w:tcW w:w="62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(38,153)</w:t>
            </w:r>
          </w:p>
        </w:tc>
        <w:tc>
          <w:tcPr>
            <w:tcW w:w="0" w:type="dxa"/>
            <w:vAlign w:val="bottom"/>
          </w:tcPr>
          <w:p>
            <w:pPr>
              <w:spacing w:after="0"/>
              <w:rPr>
                <w:sz w:val="1"/>
                <w:szCs w:val="1"/>
                <w:color w:val="auto"/>
              </w:rPr>
            </w:pPr>
          </w:p>
        </w:tc>
      </w:tr>
      <w:tr>
        <w:trPr>
          <w:trHeight w:val="172"/>
        </w:trPr>
        <w:tc>
          <w:tcPr>
            <w:tcW w:w="7320" w:type="dxa"/>
            <w:vAlign w:val="bottom"/>
          </w:tcPr>
          <w:p>
            <w:pPr>
              <w:ind w:left="520"/>
              <w:spacing w:after="0"/>
              <w:rPr>
                <w:sz w:val="20"/>
                <w:szCs w:val="20"/>
                <w:color w:val="auto"/>
              </w:rPr>
            </w:pPr>
            <w:r>
              <w:rPr>
                <w:rFonts w:ascii="Courier New" w:cs="Courier New" w:eastAsia="Courier New" w:hAnsi="Courier New"/>
                <w:sz w:val="15"/>
                <w:szCs w:val="15"/>
                <w:color w:val="auto"/>
              </w:rPr>
              <w:t>Purchases of property and equipment</w:t>
            </w:r>
          </w:p>
        </w:tc>
        <w:tc>
          <w:tcPr>
            <w:tcW w:w="18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20" w:type="dxa"/>
            <w:vAlign w:val="bottom"/>
          </w:tcPr>
          <w:p>
            <w:pPr>
              <w:ind w:left="520"/>
              <w:spacing w:after="0"/>
              <w:rPr>
                <w:sz w:val="20"/>
                <w:szCs w:val="20"/>
                <w:color w:val="auto"/>
              </w:rPr>
            </w:pPr>
            <w:r>
              <w:rPr>
                <w:rFonts w:ascii="Courier New" w:cs="Courier New" w:eastAsia="Courier New" w:hAnsi="Courier New"/>
                <w:sz w:val="15"/>
                <w:szCs w:val="15"/>
                <w:color w:val="auto"/>
              </w:rPr>
              <w:t>Proceeds from sales of property and equipment</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1,330</w:t>
            </w:r>
          </w:p>
        </w:tc>
        <w:tc>
          <w:tcPr>
            <w:tcW w:w="6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1,023</w:t>
            </w:r>
          </w:p>
        </w:tc>
        <w:tc>
          <w:tcPr>
            <w:tcW w:w="0" w:type="dxa"/>
            <w:vAlign w:val="bottom"/>
          </w:tcPr>
          <w:p>
            <w:pPr>
              <w:spacing w:after="0"/>
              <w:rPr>
                <w:sz w:val="1"/>
                <w:szCs w:val="1"/>
                <w:color w:val="auto"/>
              </w:rPr>
            </w:pPr>
          </w:p>
        </w:tc>
      </w:tr>
      <w:tr>
        <w:trPr>
          <w:trHeight w:val="172"/>
        </w:trPr>
        <w:tc>
          <w:tcPr>
            <w:tcW w:w="7320" w:type="dxa"/>
            <w:vAlign w:val="bottom"/>
          </w:tcPr>
          <w:p>
            <w:pPr>
              <w:ind w:left="520"/>
              <w:spacing w:after="0"/>
              <w:rPr>
                <w:sz w:val="20"/>
                <w:szCs w:val="20"/>
                <w:color w:val="auto"/>
              </w:rPr>
            </w:pPr>
            <w:r>
              <w:rPr>
                <w:rFonts w:ascii="Courier New" w:cs="Courier New" w:eastAsia="Courier New" w:hAnsi="Courier New"/>
                <w:sz w:val="15"/>
                <w:szCs w:val="15"/>
                <w:color w:val="auto"/>
              </w:rPr>
              <w:t>Proceeds from sale of bedding division</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6,500</w:t>
            </w:r>
          </w:p>
        </w:tc>
        <w:tc>
          <w:tcPr>
            <w:tcW w:w="0" w:type="dxa"/>
            <w:vAlign w:val="bottom"/>
          </w:tcPr>
          <w:p>
            <w:pPr>
              <w:spacing w:after="0"/>
              <w:rPr>
                <w:sz w:val="1"/>
                <w:szCs w:val="1"/>
                <w:color w:val="auto"/>
              </w:rPr>
            </w:pPr>
          </w:p>
        </w:tc>
      </w:tr>
      <w:tr>
        <w:trPr>
          <w:trHeight w:val="172"/>
        </w:trPr>
        <w:tc>
          <w:tcPr>
            <w:tcW w:w="7320" w:type="dxa"/>
            <w:vAlign w:val="bottom"/>
          </w:tcPr>
          <w:p>
            <w:pPr>
              <w:ind w:left="520"/>
              <w:spacing w:after="0"/>
              <w:rPr>
                <w:sz w:val="20"/>
                <w:szCs w:val="20"/>
                <w:color w:val="auto"/>
              </w:rPr>
            </w:pPr>
            <w:r>
              <w:rPr>
                <w:rFonts w:ascii="Courier New" w:cs="Courier New" w:eastAsia="Courier New" w:hAnsi="Courier New"/>
                <w:sz w:val="15"/>
                <w:szCs w:val="15"/>
                <w:color w:val="auto"/>
              </w:rPr>
              <w:t>Proceeds from sales of affiliate investments</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1,748</w:t>
            </w:r>
          </w:p>
        </w:tc>
        <w:tc>
          <w:tcPr>
            <w:tcW w:w="6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320" w:type="dxa"/>
            <w:vAlign w:val="bottom"/>
          </w:tcPr>
          <w:p>
            <w:pPr>
              <w:ind w:left="520"/>
              <w:spacing w:after="0"/>
              <w:rPr>
                <w:sz w:val="20"/>
                <w:szCs w:val="20"/>
                <w:color w:val="auto"/>
              </w:rPr>
            </w:pPr>
            <w:r>
              <w:rPr>
                <w:rFonts w:ascii="Courier New" w:cs="Courier New" w:eastAsia="Courier New" w:hAnsi="Courier New"/>
                <w:sz w:val="15"/>
                <w:szCs w:val="15"/>
                <w:color w:val="auto"/>
              </w:rPr>
              <w:t>Proceeds from sales of investment securities</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4,772</w:t>
            </w:r>
          </w:p>
        </w:tc>
        <w:tc>
          <w:tcPr>
            <w:tcW w:w="6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37,797</w:t>
            </w:r>
          </w:p>
        </w:tc>
        <w:tc>
          <w:tcPr>
            <w:tcW w:w="0" w:type="dxa"/>
            <w:vAlign w:val="bottom"/>
          </w:tcPr>
          <w:p>
            <w:pPr>
              <w:spacing w:after="0"/>
              <w:rPr>
                <w:sz w:val="1"/>
                <w:szCs w:val="1"/>
                <w:color w:val="auto"/>
              </w:rPr>
            </w:pPr>
          </w:p>
        </w:tc>
      </w:tr>
      <w:tr>
        <w:trPr>
          <w:trHeight w:val="172"/>
        </w:trPr>
        <w:tc>
          <w:tcPr>
            <w:tcW w:w="7320" w:type="dxa"/>
            <w:vAlign w:val="bottom"/>
          </w:tcPr>
          <w:p>
            <w:pPr>
              <w:ind w:left="520"/>
              <w:spacing w:after="0"/>
              <w:rPr>
                <w:sz w:val="20"/>
                <w:szCs w:val="20"/>
                <w:color w:val="auto"/>
              </w:rPr>
            </w:pPr>
            <w:r>
              <w:rPr>
                <w:rFonts w:ascii="Courier New" w:cs="Courier New" w:eastAsia="Courier New" w:hAnsi="Courier New"/>
                <w:sz w:val="15"/>
                <w:szCs w:val="15"/>
                <w:color w:val="auto"/>
              </w:rPr>
              <w:t>Investments in affiliated companies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(4,200)</w:t>
            </w:r>
          </w:p>
        </w:tc>
        <w:tc>
          <w:tcPr>
            <w:tcW w:w="6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(7,950)</w:t>
            </w:r>
          </w:p>
        </w:tc>
        <w:tc>
          <w:tcPr>
            <w:tcW w:w="0" w:type="dxa"/>
            <w:vAlign w:val="bottom"/>
          </w:tcPr>
          <w:p>
            <w:pPr>
              <w:spacing w:after="0"/>
              <w:rPr>
                <w:sz w:val="1"/>
                <w:szCs w:val="1"/>
                <w:color w:val="auto"/>
              </w:rPr>
            </w:pPr>
          </w:p>
        </w:tc>
      </w:tr>
      <w:tr>
        <w:trPr>
          <w:trHeight w:val="172"/>
        </w:trPr>
        <w:tc>
          <w:tcPr>
            <w:tcW w:w="7320" w:type="dxa"/>
            <w:vAlign w:val="bottom"/>
          </w:tcPr>
          <w:p>
            <w:pPr>
              <w:ind w:left="520"/>
              <w:spacing w:after="0"/>
              <w:rPr>
                <w:sz w:val="20"/>
                <w:szCs w:val="20"/>
                <w:color w:val="auto"/>
              </w:rPr>
            </w:pPr>
            <w:r>
              <w:rPr>
                <w:rFonts w:ascii="Courier New" w:cs="Courier New" w:eastAsia="Courier New" w:hAnsi="Courier New"/>
                <w:sz w:val="15"/>
                <w:szCs w:val="15"/>
                <w:color w:val="auto"/>
              </w:rPr>
              <w:t>Dividend from affiliate</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5,448</w:t>
            </w:r>
          </w:p>
        </w:tc>
        <w:tc>
          <w:tcPr>
            <w:tcW w:w="0" w:type="dxa"/>
            <w:vAlign w:val="bottom"/>
          </w:tcPr>
          <w:p>
            <w:pPr>
              <w:spacing w:after="0"/>
              <w:rPr>
                <w:sz w:val="1"/>
                <w:szCs w:val="1"/>
                <w:color w:val="auto"/>
              </w:rPr>
            </w:pPr>
          </w:p>
        </w:tc>
      </w:tr>
      <w:tr>
        <w:trPr>
          <w:trHeight w:val="172"/>
        </w:trPr>
        <w:tc>
          <w:tcPr>
            <w:tcW w:w="7320" w:type="dxa"/>
            <w:vAlign w:val="bottom"/>
          </w:tcPr>
          <w:p>
            <w:pPr>
              <w:ind w:left="520"/>
              <w:spacing w:after="0"/>
              <w:rPr>
                <w:sz w:val="20"/>
                <w:szCs w:val="20"/>
                <w:color w:val="auto"/>
              </w:rPr>
            </w:pPr>
            <w:r>
              <w:rPr>
                <w:rFonts w:ascii="Courier New" w:cs="Courier New" w:eastAsia="Courier New" w:hAnsi="Courier New"/>
                <w:sz w:val="15"/>
                <w:szCs w:val="15"/>
                <w:color w:val="auto"/>
              </w:rPr>
              <w:t>Other, net</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(2,616)</w:t>
            </w:r>
          </w:p>
        </w:tc>
        <w:tc>
          <w:tcPr>
            <w:tcW w:w="6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(3,477)</w:t>
            </w:r>
          </w:p>
        </w:tc>
        <w:tc>
          <w:tcPr>
            <w:tcW w:w="0" w:type="dxa"/>
            <w:vAlign w:val="bottom"/>
          </w:tcPr>
          <w:p>
            <w:pPr>
              <w:spacing w:after="0"/>
              <w:rPr>
                <w:sz w:val="1"/>
                <w:szCs w:val="1"/>
                <w:color w:val="auto"/>
              </w:rPr>
            </w:pPr>
          </w:p>
        </w:tc>
      </w:tr>
      <w:tr>
        <w:trPr>
          <w:trHeight w:val="172"/>
        </w:trPr>
        <w:tc>
          <w:tcPr>
            <w:tcW w:w="7320" w:type="dxa"/>
            <w:vAlign w:val="bottom"/>
            <w:vMerge w:val="restart"/>
          </w:tcPr>
          <w:p>
            <w:pPr>
              <w:ind w:left="1420"/>
              <w:spacing w:after="0"/>
              <w:rPr>
                <w:sz w:val="20"/>
                <w:szCs w:val="20"/>
                <w:color w:val="auto"/>
              </w:rPr>
            </w:pPr>
            <w:r>
              <w:rPr>
                <w:rFonts w:ascii="Courier New" w:cs="Courier New" w:eastAsia="Courier New" w:hAnsi="Courier New"/>
                <w:sz w:val="15"/>
                <w:szCs w:val="15"/>
                <w:color w:val="auto"/>
              </w:rPr>
              <w:t>Net cash (used in) investing activities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320" w:type="dxa"/>
            <w:vAlign w:val="bottom"/>
            <w:vMerge w:val="continue"/>
          </w:tcPr>
          <w:p>
            <w:pPr>
              <w:spacing w:after="0"/>
              <w:rPr>
                <w:sz w:val="14"/>
                <w:szCs w:val="14"/>
                <w:color w:val="auto"/>
              </w:rPr>
            </w:pP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(13,117)</w:t>
            </w:r>
          </w:p>
        </w:tc>
        <w:tc>
          <w:tcPr>
            <w:tcW w:w="6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1,188</w:t>
            </w:r>
          </w:p>
        </w:tc>
        <w:tc>
          <w:tcPr>
            <w:tcW w:w="0" w:type="dxa"/>
            <w:vAlign w:val="bottom"/>
          </w:tcPr>
          <w:p>
            <w:pPr>
              <w:spacing w:after="0"/>
              <w:rPr>
                <w:sz w:val="1"/>
                <w:szCs w:val="1"/>
                <w:color w:val="auto"/>
              </w:rPr>
            </w:pPr>
          </w:p>
        </w:tc>
      </w:tr>
      <w:tr>
        <w:trPr>
          <w:trHeight w:val="252"/>
        </w:trPr>
        <w:tc>
          <w:tcPr>
            <w:tcW w:w="7320" w:type="dxa"/>
            <w:vAlign w:val="bottom"/>
            <w:vMerge w:val="restart"/>
          </w:tcPr>
          <w:p>
            <w:pPr>
              <w:spacing w:after="0"/>
              <w:rPr>
                <w:sz w:val="20"/>
                <w:szCs w:val="20"/>
                <w:color w:val="auto"/>
              </w:rPr>
            </w:pPr>
            <w:r>
              <w:rPr>
                <w:rFonts w:ascii="Courier New" w:cs="Courier New" w:eastAsia="Courier New" w:hAnsi="Courier New"/>
                <w:sz w:val="15"/>
                <w:szCs w:val="15"/>
                <w:color w:val="auto"/>
              </w:rPr>
              <w:t>Financing activities: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7320" w:type="dxa"/>
            <w:vAlign w:val="bottom"/>
            <w:vMerge w:val="continue"/>
          </w:tcPr>
          <w:p>
            <w:pPr>
              <w:spacing w:after="0"/>
              <w:rPr>
                <w:sz w:val="7"/>
                <w:szCs w:val="7"/>
                <w:color w:val="auto"/>
              </w:rPr>
            </w:pPr>
          </w:p>
        </w:tc>
        <w:tc>
          <w:tcPr>
            <w:tcW w:w="180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33,500</w:t>
            </w:r>
          </w:p>
        </w:tc>
        <w:tc>
          <w:tcPr>
            <w:tcW w:w="620" w:type="dxa"/>
            <w:vAlign w:val="bottom"/>
          </w:tcPr>
          <w:p>
            <w:pPr>
              <w:spacing w:after="0"/>
              <w:rPr>
                <w:sz w:val="7"/>
                <w:szCs w:val="7"/>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4,000</w:t>
            </w:r>
          </w:p>
        </w:tc>
        <w:tc>
          <w:tcPr>
            <w:tcW w:w="0" w:type="dxa"/>
            <w:vAlign w:val="bottom"/>
          </w:tcPr>
          <w:p>
            <w:pPr>
              <w:spacing w:after="0"/>
              <w:rPr>
                <w:sz w:val="1"/>
                <w:szCs w:val="1"/>
                <w:color w:val="auto"/>
              </w:rPr>
            </w:pPr>
          </w:p>
        </w:tc>
      </w:tr>
      <w:tr>
        <w:trPr>
          <w:trHeight w:val="172"/>
        </w:trPr>
        <w:tc>
          <w:tcPr>
            <w:tcW w:w="7320" w:type="dxa"/>
            <w:vAlign w:val="bottom"/>
          </w:tcPr>
          <w:p>
            <w:pPr>
              <w:ind w:left="180"/>
              <w:spacing w:after="0"/>
              <w:rPr>
                <w:sz w:val="20"/>
                <w:szCs w:val="20"/>
                <w:color w:val="auto"/>
              </w:rPr>
            </w:pPr>
            <w:r>
              <w:rPr>
                <w:rFonts w:ascii="Courier New" w:cs="Courier New" w:eastAsia="Courier New" w:hAnsi="Courier New"/>
                <w:sz w:val="15"/>
                <w:szCs w:val="15"/>
                <w:color w:val="auto"/>
              </w:rPr>
              <w:t>Borrowings under notes payable</w:t>
            </w:r>
          </w:p>
        </w:tc>
        <w:tc>
          <w:tcPr>
            <w:tcW w:w="18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2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293</w:t>
            </w:r>
          </w:p>
        </w:tc>
        <w:tc>
          <w:tcPr>
            <w:tcW w:w="0" w:type="dxa"/>
            <w:vAlign w:val="bottom"/>
          </w:tcPr>
          <w:p>
            <w:pPr>
              <w:spacing w:after="0"/>
              <w:rPr>
                <w:sz w:val="1"/>
                <w:szCs w:val="1"/>
                <w:color w:val="auto"/>
              </w:rPr>
            </w:pPr>
          </w:p>
        </w:tc>
      </w:tr>
      <w:tr>
        <w:trPr>
          <w:trHeight w:val="172"/>
        </w:trPr>
        <w:tc>
          <w:tcPr>
            <w:tcW w:w="7320" w:type="dxa"/>
            <w:vAlign w:val="bottom"/>
          </w:tcPr>
          <w:p>
            <w:pPr>
              <w:ind w:left="180"/>
              <w:spacing w:after="0"/>
              <w:rPr>
                <w:sz w:val="20"/>
                <w:szCs w:val="20"/>
                <w:color w:val="auto"/>
              </w:rPr>
            </w:pPr>
            <w:r>
              <w:rPr>
                <w:rFonts w:ascii="Courier New" w:cs="Courier New" w:eastAsia="Courier New" w:hAnsi="Courier New"/>
                <w:sz w:val="15"/>
                <w:szCs w:val="15"/>
                <w:color w:val="auto"/>
              </w:rPr>
              <w:t>Repurchase of common stock</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(4,587)</w:t>
            </w:r>
          </w:p>
        </w:tc>
        <w:tc>
          <w:tcPr>
            <w:tcW w:w="6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(13,409)</w:t>
            </w:r>
          </w:p>
        </w:tc>
        <w:tc>
          <w:tcPr>
            <w:tcW w:w="0" w:type="dxa"/>
            <w:vAlign w:val="bottom"/>
          </w:tcPr>
          <w:p>
            <w:pPr>
              <w:spacing w:after="0"/>
              <w:rPr>
                <w:sz w:val="1"/>
                <w:szCs w:val="1"/>
                <w:color w:val="auto"/>
              </w:rPr>
            </w:pPr>
          </w:p>
        </w:tc>
      </w:tr>
      <w:tr>
        <w:trPr>
          <w:trHeight w:val="172"/>
        </w:trPr>
        <w:tc>
          <w:tcPr>
            <w:tcW w:w="7320" w:type="dxa"/>
            <w:vAlign w:val="bottom"/>
          </w:tcPr>
          <w:p>
            <w:pPr>
              <w:ind w:left="180"/>
              <w:spacing w:after="0"/>
              <w:rPr>
                <w:sz w:val="20"/>
                <w:szCs w:val="20"/>
                <w:color w:val="auto"/>
              </w:rPr>
            </w:pPr>
            <w:r>
              <w:rPr>
                <w:rFonts w:ascii="Courier New" w:cs="Courier New" w:eastAsia="Courier New" w:hAnsi="Courier New"/>
                <w:sz w:val="15"/>
                <w:szCs w:val="15"/>
                <w:color w:val="auto"/>
              </w:rPr>
              <w:t>Cash dividends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(7,142)</w:t>
            </w:r>
          </w:p>
        </w:tc>
        <w:tc>
          <w:tcPr>
            <w:tcW w:w="6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(7,551)</w:t>
            </w:r>
          </w:p>
        </w:tc>
        <w:tc>
          <w:tcPr>
            <w:tcW w:w="0" w:type="dxa"/>
            <w:vAlign w:val="bottom"/>
          </w:tcPr>
          <w:p>
            <w:pPr>
              <w:spacing w:after="0"/>
              <w:rPr>
                <w:sz w:val="1"/>
                <w:szCs w:val="1"/>
                <w:color w:val="auto"/>
              </w:rPr>
            </w:pPr>
          </w:p>
        </w:tc>
      </w:tr>
      <w:tr>
        <w:trPr>
          <w:trHeight w:val="172"/>
        </w:trPr>
        <w:tc>
          <w:tcPr>
            <w:tcW w:w="7320" w:type="dxa"/>
            <w:vAlign w:val="bottom"/>
            <w:vMerge w:val="restart"/>
          </w:tcPr>
          <w:p>
            <w:pPr>
              <w:ind w:left="160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320" w:type="dxa"/>
            <w:vAlign w:val="bottom"/>
            <w:vMerge w:val="continue"/>
          </w:tcPr>
          <w:p>
            <w:pPr>
              <w:spacing w:after="0"/>
              <w:rPr>
                <w:sz w:val="14"/>
                <w:szCs w:val="14"/>
                <w:color w:val="auto"/>
              </w:rPr>
            </w:pP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21,771</w:t>
            </w:r>
          </w:p>
        </w:tc>
        <w:tc>
          <w:tcPr>
            <w:tcW w:w="6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(16,667)</w:t>
            </w:r>
          </w:p>
        </w:tc>
        <w:tc>
          <w:tcPr>
            <w:tcW w:w="0" w:type="dxa"/>
            <w:vAlign w:val="bottom"/>
          </w:tcPr>
          <w:p>
            <w:pPr>
              <w:spacing w:after="0"/>
              <w:rPr>
                <w:sz w:val="1"/>
                <w:szCs w:val="1"/>
                <w:color w:val="auto"/>
              </w:rPr>
            </w:pPr>
          </w:p>
        </w:tc>
      </w:tr>
      <w:tr>
        <w:trPr>
          <w:trHeight w:val="172"/>
        </w:trPr>
        <w:tc>
          <w:tcPr>
            <w:tcW w:w="7320" w:type="dxa"/>
            <w:vAlign w:val="bottom"/>
            <w:vMerge w:val="restart"/>
          </w:tcPr>
          <w:p>
            <w:pPr>
              <w:spacing w:after="0"/>
              <w:rPr>
                <w:sz w:val="20"/>
                <w:szCs w:val="20"/>
                <w:color w:val="auto"/>
              </w:rPr>
            </w:pPr>
            <w:r>
              <w:rPr>
                <w:rFonts w:ascii="Courier New" w:cs="Courier New" w:eastAsia="Courier New" w:hAnsi="Courier New"/>
                <w:sz w:val="15"/>
                <w:szCs w:val="15"/>
                <w:color w:val="auto"/>
              </w:rPr>
              <w:t>Net change in cash and cash equivalents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7320" w:type="dxa"/>
            <w:vAlign w:val="bottom"/>
            <w:vMerge w:val="continue"/>
          </w:tcPr>
          <w:p>
            <w:pPr>
              <w:spacing w:after="0"/>
              <w:rPr>
                <w:sz w:val="21"/>
                <w:szCs w:val="21"/>
                <w:color w:val="auto"/>
              </w:rPr>
            </w:pP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(3,199)</w:t>
            </w:r>
          </w:p>
        </w:tc>
        <w:tc>
          <w:tcPr>
            <w:tcW w:w="6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(4,621)</w:t>
            </w:r>
          </w:p>
        </w:tc>
        <w:tc>
          <w:tcPr>
            <w:tcW w:w="0" w:type="dxa"/>
            <w:vAlign w:val="bottom"/>
          </w:tcPr>
          <w:p>
            <w:pPr>
              <w:spacing w:after="0"/>
              <w:rPr>
                <w:sz w:val="1"/>
                <w:szCs w:val="1"/>
                <w:color w:val="auto"/>
              </w:rPr>
            </w:pPr>
          </w:p>
        </w:tc>
      </w:tr>
      <w:tr>
        <w:trPr>
          <w:trHeight w:val="264"/>
        </w:trPr>
        <w:tc>
          <w:tcPr>
            <w:tcW w:w="732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5,740</w:t>
            </w:r>
          </w:p>
        </w:tc>
        <w:tc>
          <w:tcPr>
            <w:tcW w:w="620" w:type="dxa"/>
            <w:vAlign w:val="bottom"/>
          </w:tcPr>
          <w:p>
            <w:pPr>
              <w:spacing w:after="0"/>
              <w:rPr>
                <w:sz w:val="22"/>
                <w:szCs w:val="22"/>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5,499</w:t>
            </w:r>
          </w:p>
        </w:tc>
        <w:tc>
          <w:tcPr>
            <w:tcW w:w="0" w:type="dxa"/>
            <w:vAlign w:val="bottom"/>
          </w:tcPr>
          <w:p>
            <w:pPr>
              <w:spacing w:after="0"/>
              <w:rPr>
                <w:sz w:val="1"/>
                <w:szCs w:val="1"/>
                <w:color w:val="auto"/>
              </w:rPr>
            </w:pPr>
          </w:p>
        </w:tc>
      </w:tr>
      <w:tr>
        <w:trPr>
          <w:trHeight w:val="172"/>
        </w:trPr>
        <w:tc>
          <w:tcPr>
            <w:tcW w:w="7320" w:type="dxa"/>
            <w:vAlign w:val="bottom"/>
            <w:vMerge w:val="restart"/>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320" w:type="dxa"/>
            <w:vAlign w:val="bottom"/>
            <w:vMerge w:val="continue"/>
          </w:tcPr>
          <w:p>
            <w:pPr>
              <w:spacing w:after="0"/>
              <w:rPr>
                <w:sz w:val="14"/>
                <w:szCs w:val="14"/>
                <w:color w:val="auto"/>
              </w:rPr>
            </w:pP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2,541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878</w:t>
            </w:r>
          </w:p>
        </w:tc>
        <w:tc>
          <w:tcPr>
            <w:tcW w:w="0" w:type="dxa"/>
            <w:vAlign w:val="bottom"/>
          </w:tcPr>
          <w:p>
            <w:pPr>
              <w:spacing w:after="0"/>
              <w:rPr>
                <w:sz w:val="1"/>
                <w:szCs w:val="1"/>
                <w:color w:val="auto"/>
              </w:rPr>
            </w:pPr>
          </w:p>
        </w:tc>
      </w:tr>
      <w:tr>
        <w:trPr>
          <w:trHeight w:val="252"/>
        </w:trPr>
        <w:tc>
          <w:tcPr>
            <w:tcW w:w="7320" w:type="dxa"/>
            <w:vAlign w:val="bottom"/>
          </w:tcPr>
          <w:p>
            <w:pPr>
              <w:spacing w:after="0"/>
              <w:rPr>
                <w:sz w:val="21"/>
                <w:szCs w:val="21"/>
                <w:color w:val="auto"/>
              </w:rPr>
            </w:pP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3680"/>
        <w:spacing w:after="0" w:line="359"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 condensed consolidated financial statements.</w:t>
      </w:r>
    </w:p>
    <w:p>
      <w:pPr>
        <w:spacing w:after="0" w:line="18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 of 16</w:t>
      </w:r>
    </w:p>
    <w:p>
      <w:pPr>
        <w:sectPr>
          <w:pgSz w:w="11900" w:h="16838" w:orient="portrait"/>
          <w:cols w:equalWidth="0" w:num="1">
            <w:col w:w="10460"/>
          </w:cols>
          <w:pgMar w:left="240" w:top="263" w:right="119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46" w:lineRule="exact"/>
        <w:rPr>
          <w:sz w:val="20"/>
          <w:szCs w:val="20"/>
          <w:color w:val="auto"/>
        </w:rPr>
      </w:pPr>
    </w:p>
    <w:p>
      <w:pPr>
        <w:jc w:val="center"/>
        <w:ind w:right="3079"/>
        <w:spacing w:after="0" w:line="301" w:lineRule="auto"/>
        <w:rPr>
          <w:sz w:val="20"/>
          <w:szCs w:val="20"/>
          <w:color w:val="auto"/>
        </w:rPr>
      </w:pPr>
      <w:r>
        <w:rPr>
          <w:rFonts w:ascii="Courier New" w:cs="Courier New" w:eastAsia="Courier New" w:hAnsi="Courier New"/>
          <w:sz w:val="15"/>
          <w:szCs w:val="15"/>
          <w:color w:val="auto"/>
        </w:rPr>
        <w:t>BASSETT FURNITURE INDUSTRIES INC. AND SUBSIDIARIES NOTES TO CONDENSED CONSOLIDATED FINANCIAL STATEMENTS-UNAUDITED AUGUST 26, 2000 (Dollars in thousands except share and per share data)</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Basis of presentation:</w:t>
      </w:r>
    </w:p>
    <w:p>
      <w:pPr>
        <w:spacing w:after="0" w:line="174"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The accompanying unaudited condensed consolidated financial statements have been prepared in accordance with the instructions to Form 10-Q and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w:t>
      </w:r>
    </w:p>
    <w:p>
      <w:pPr>
        <w:spacing w:after="0" w:line="74" w:lineRule="exact"/>
        <w:rPr>
          <w:sz w:val="20"/>
          <w:szCs w:val="20"/>
          <w:color w:val="auto"/>
        </w:rPr>
      </w:pPr>
    </w:p>
    <w:p>
      <w:pPr>
        <w:jc w:val="both"/>
        <w:ind w:right="3159"/>
        <w:spacing w:after="0" w:line="288" w:lineRule="auto"/>
        <w:rPr>
          <w:sz w:val="20"/>
          <w:szCs w:val="20"/>
          <w:color w:val="auto"/>
        </w:rPr>
      </w:pPr>
      <w:r>
        <w:rPr>
          <w:rFonts w:ascii="Courier New" w:cs="Courier New" w:eastAsia="Courier New" w:hAnsi="Courier New"/>
          <w:sz w:val="14"/>
          <w:szCs w:val="14"/>
          <w:color w:val="auto"/>
        </w:rPr>
        <w:t>The condensed consolidated financial statements include the accounts of Bassett Furniture Industries, Incorporated (the "Company") and its subsidiaries, all of which are wholly owned. In the first quarter of fiscal 2000, the Company merged its retail operating segment into a new joint venture known as the Ladin Retail Group (LRG). The Company does not control the joint venture and accordingly the joint venture has been accounted for under the equity method of accounting.</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Reclassifications:</w:t>
      </w:r>
    </w:p>
    <w:p>
      <w:pPr>
        <w:spacing w:after="0" w:line="174" w:lineRule="exact"/>
        <w:rPr>
          <w:sz w:val="20"/>
          <w:szCs w:val="20"/>
          <w:color w:val="auto"/>
        </w:rPr>
      </w:pPr>
    </w:p>
    <w:p>
      <w:pPr>
        <w:jc w:val="both"/>
        <w:ind w:right="3159"/>
        <w:spacing w:after="0" w:line="359" w:lineRule="auto"/>
        <w:rPr>
          <w:sz w:val="20"/>
          <w:szCs w:val="20"/>
          <w:color w:val="auto"/>
        </w:rPr>
      </w:pPr>
      <w:r>
        <w:rPr>
          <w:rFonts w:ascii="Courier New" w:cs="Courier New" w:eastAsia="Courier New" w:hAnsi="Courier New"/>
          <w:sz w:val="15"/>
          <w:szCs w:val="15"/>
          <w:color w:val="auto"/>
        </w:rPr>
        <w:t>For comparative purposes certain amounts for fiscal 1999 have been reclassified to conform to fiscal 2000 presentation.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 Cumulative Effect of Accounting Change:</w:t>
      </w:r>
    </w:p>
    <w:p>
      <w:pPr>
        <w:spacing w:after="0" w:line="174" w:lineRule="exact"/>
        <w:rPr>
          <w:sz w:val="20"/>
          <w:szCs w:val="20"/>
          <w:color w:val="auto"/>
        </w:rPr>
      </w:pPr>
    </w:p>
    <w:p>
      <w:pPr>
        <w:ind w:right="3079"/>
        <w:spacing w:after="0" w:line="280" w:lineRule="auto"/>
        <w:rPr>
          <w:sz w:val="20"/>
          <w:szCs w:val="20"/>
          <w:color w:val="auto"/>
        </w:rPr>
      </w:pPr>
      <w:r>
        <w:rPr>
          <w:rFonts w:ascii="Courier New" w:cs="Courier New" w:eastAsia="Courier New" w:hAnsi="Courier New"/>
          <w:sz w:val="14"/>
          <w:szCs w:val="14"/>
          <w:color w:val="auto"/>
        </w:rPr>
        <w:t>In 1998, the AICPA issued SOP 98-5, "Reporting on the Costs of Start-up Activities," which requires start-up costs, as defined, to be expensed as incurred. In accordance with this SOP, any previously capitalized start-up costs are required to be written-off as a cumulative effect of a change in accounting principle. The Company, upon adoption of this SOP in the first quarter of fiscal 2000, has written off the unamortized balance of such previously capitalized start-up costs as of November 28, 1999, of $535 ($364 after tax) or $.03 per diluted share as a cumulative effect of an accounting change.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Inventories:</w:t>
      </w:r>
    </w:p>
    <w:p>
      <w:pPr>
        <w:spacing w:after="0" w:line="174" w:lineRule="exact"/>
        <w:rPr>
          <w:sz w:val="20"/>
          <w:szCs w:val="20"/>
          <w:color w:val="auto"/>
        </w:rPr>
      </w:pPr>
    </w:p>
    <w:p>
      <w:pPr>
        <w:jc w:val="both"/>
        <w:ind w:right="3079"/>
        <w:spacing w:after="0" w:line="301" w:lineRule="auto"/>
        <w:rPr>
          <w:sz w:val="20"/>
          <w:szCs w:val="20"/>
          <w:color w:val="auto"/>
        </w:rPr>
      </w:pPr>
      <w:r>
        <w:rPr>
          <w:rFonts w:ascii="Courier New" w:cs="Courier New" w:eastAsia="Courier New" w:hAnsi="Courier New"/>
          <w:sz w:val="15"/>
          <w:szCs w:val="15"/>
          <w:color w:val="auto"/>
        </w:rPr>
        <w:t>Inventories are carried at last-in, first-out (LIFO) cost which is not in excess of market. Inventories at August 26, 2000 and November 27, 1999 consisted of the following:</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20" w:type="dxa"/>
            <w:vAlign w:val="bottom"/>
          </w:tcPr>
          <w:p>
            <w:pPr>
              <w:spacing w:after="0"/>
              <w:rPr>
                <w:sz w:val="14"/>
                <w:szCs w:val="14"/>
                <w:color w:val="auto"/>
              </w:rPr>
            </w:pPr>
          </w:p>
        </w:tc>
        <w:tc>
          <w:tcPr>
            <w:tcW w:w="18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August 26,</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November 27,</w:t>
            </w:r>
          </w:p>
        </w:tc>
        <w:tc>
          <w:tcPr>
            <w:tcW w:w="0" w:type="dxa"/>
            <w:vAlign w:val="bottom"/>
          </w:tcPr>
          <w:p>
            <w:pPr>
              <w:spacing w:after="0"/>
              <w:rPr>
                <w:sz w:val="1"/>
                <w:szCs w:val="1"/>
                <w:color w:val="auto"/>
              </w:rPr>
            </w:pPr>
          </w:p>
        </w:tc>
      </w:tr>
      <w:tr>
        <w:trPr>
          <w:trHeight w:val="172"/>
        </w:trPr>
        <w:tc>
          <w:tcPr>
            <w:tcW w:w="5720" w:type="dxa"/>
            <w:vAlign w:val="bottom"/>
          </w:tcPr>
          <w:p>
            <w:pPr>
              <w:spacing w:after="0"/>
              <w:rPr>
                <w:sz w:val="14"/>
                <w:szCs w:val="14"/>
                <w:color w:val="auto"/>
              </w:rPr>
            </w:pPr>
          </w:p>
        </w:tc>
        <w:tc>
          <w:tcPr>
            <w:tcW w:w="18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2"/>
        </w:trPr>
        <w:tc>
          <w:tcPr>
            <w:tcW w:w="5720" w:type="dxa"/>
            <w:vAlign w:val="bottom"/>
          </w:tcPr>
          <w:p>
            <w:pPr>
              <w:spacing w:after="0"/>
              <w:rPr>
                <w:sz w:val="21"/>
                <w:szCs w:val="21"/>
                <w:color w:val="auto"/>
              </w:rPr>
            </w:pPr>
          </w:p>
        </w:tc>
        <w:tc>
          <w:tcPr>
            <w:tcW w:w="3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8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$ 48,664</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$ 41,823</w:t>
            </w:r>
          </w:p>
        </w:tc>
        <w:tc>
          <w:tcPr>
            <w:tcW w:w="0" w:type="dxa"/>
            <w:vAlign w:val="bottom"/>
          </w:tcPr>
          <w:p>
            <w:pPr>
              <w:spacing w:after="0"/>
              <w:rPr>
                <w:sz w:val="1"/>
                <w:szCs w:val="1"/>
                <w:color w:val="auto"/>
              </w:rPr>
            </w:pP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18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8,578</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9,880</w:t>
            </w:r>
          </w:p>
        </w:tc>
        <w:tc>
          <w:tcPr>
            <w:tcW w:w="0" w:type="dxa"/>
            <w:vAlign w:val="bottom"/>
          </w:tcPr>
          <w:p>
            <w:pPr>
              <w:spacing w:after="0"/>
              <w:rPr>
                <w:sz w:val="1"/>
                <w:szCs w:val="1"/>
                <w:color w:val="auto"/>
              </w:rPr>
            </w:pP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Raw materials and supplies</w:t>
            </w:r>
          </w:p>
        </w:tc>
        <w:tc>
          <w:tcPr>
            <w:tcW w:w="18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23,317</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17,881</w:t>
            </w:r>
          </w:p>
        </w:tc>
        <w:tc>
          <w:tcPr>
            <w:tcW w:w="0" w:type="dxa"/>
            <w:vAlign w:val="bottom"/>
          </w:tcPr>
          <w:p>
            <w:pPr>
              <w:spacing w:after="0"/>
              <w:rPr>
                <w:sz w:val="1"/>
                <w:szCs w:val="1"/>
                <w:color w:val="auto"/>
              </w:rPr>
            </w:pP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Retail merchandise</w:t>
            </w:r>
          </w:p>
        </w:tc>
        <w:tc>
          <w:tcPr>
            <w:tcW w:w="18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6,076</w:t>
            </w:r>
          </w:p>
        </w:tc>
        <w:tc>
          <w:tcPr>
            <w:tcW w:w="0" w:type="dxa"/>
            <w:vAlign w:val="bottom"/>
          </w:tcPr>
          <w:p>
            <w:pPr>
              <w:spacing w:after="0"/>
              <w:rPr>
                <w:sz w:val="1"/>
                <w:szCs w:val="1"/>
                <w:color w:val="auto"/>
              </w:rPr>
            </w:pPr>
          </w:p>
        </w:tc>
      </w:tr>
      <w:tr>
        <w:trPr>
          <w:trHeight w:val="172"/>
        </w:trPr>
        <w:tc>
          <w:tcPr>
            <w:tcW w:w="5720" w:type="dxa"/>
            <w:vAlign w:val="bottom"/>
            <w:vMerge w:val="restart"/>
          </w:tcPr>
          <w:p>
            <w:pPr>
              <w:spacing w:after="0"/>
              <w:rPr>
                <w:sz w:val="20"/>
                <w:szCs w:val="20"/>
                <w:color w:val="auto"/>
              </w:rPr>
            </w:pPr>
            <w:r>
              <w:rPr>
                <w:rFonts w:ascii="Courier New" w:cs="Courier New" w:eastAsia="Courier New" w:hAnsi="Courier New"/>
                <w:sz w:val="15"/>
                <w:szCs w:val="15"/>
                <w:color w:val="auto"/>
              </w:rPr>
              <w:t>Total inventories valued at first-in, first-out (FIFO) cost</w:t>
            </w:r>
          </w:p>
        </w:tc>
        <w:tc>
          <w:tcPr>
            <w:tcW w:w="3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720" w:type="dxa"/>
            <w:vAlign w:val="bottom"/>
            <w:vMerge w:val="continue"/>
          </w:tcPr>
          <w:p>
            <w:pPr>
              <w:spacing w:after="0"/>
              <w:rPr>
                <w:sz w:val="14"/>
                <w:szCs w:val="14"/>
                <w:color w:val="auto"/>
              </w:rPr>
            </w:pPr>
          </w:p>
        </w:tc>
        <w:tc>
          <w:tcPr>
            <w:tcW w:w="18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80,559</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75,660</w:t>
            </w:r>
          </w:p>
        </w:tc>
        <w:tc>
          <w:tcPr>
            <w:tcW w:w="0" w:type="dxa"/>
            <w:vAlign w:val="bottom"/>
          </w:tcPr>
          <w:p>
            <w:pPr>
              <w:spacing w:after="0"/>
              <w:rPr>
                <w:sz w:val="1"/>
                <w:szCs w:val="1"/>
                <w:color w:val="auto"/>
              </w:rPr>
            </w:pP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LIFO adjustment</w:t>
            </w:r>
          </w:p>
        </w:tc>
        <w:tc>
          <w:tcPr>
            <w:tcW w:w="18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(26,004)</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(25,454)</w:t>
            </w:r>
          </w:p>
        </w:tc>
        <w:tc>
          <w:tcPr>
            <w:tcW w:w="0" w:type="dxa"/>
            <w:vAlign w:val="bottom"/>
          </w:tcPr>
          <w:p>
            <w:pPr>
              <w:spacing w:after="0"/>
              <w:rPr>
                <w:sz w:val="1"/>
                <w:szCs w:val="1"/>
                <w:color w:val="auto"/>
              </w:rPr>
            </w:pPr>
          </w:p>
        </w:tc>
      </w:tr>
      <w:tr>
        <w:trPr>
          <w:trHeight w:val="172"/>
        </w:trPr>
        <w:tc>
          <w:tcPr>
            <w:tcW w:w="5720" w:type="dxa"/>
            <w:vAlign w:val="bottom"/>
            <w:vMerge w:val="restart"/>
          </w:tcPr>
          <w:p>
            <w:pPr>
              <w:spacing w:after="0"/>
              <w:rPr>
                <w:sz w:val="20"/>
                <w:szCs w:val="20"/>
                <w:color w:val="auto"/>
              </w:rPr>
            </w:pPr>
            <w:r>
              <w:rPr>
                <w:rFonts w:ascii="Courier New" w:cs="Courier New" w:eastAsia="Courier New" w:hAnsi="Courier New"/>
                <w:sz w:val="15"/>
                <w:szCs w:val="15"/>
                <w:color w:val="auto"/>
              </w:rPr>
              <w:t>Total inventories, net</w:t>
            </w:r>
          </w:p>
        </w:tc>
        <w:tc>
          <w:tcPr>
            <w:tcW w:w="3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720" w:type="dxa"/>
            <w:vAlign w:val="bottom"/>
            <w:vMerge w:val="continue"/>
          </w:tcPr>
          <w:p>
            <w:pPr>
              <w:spacing w:after="0"/>
              <w:rPr>
                <w:sz w:val="14"/>
                <w:szCs w:val="14"/>
                <w:color w:val="auto"/>
              </w:rPr>
            </w:pPr>
          </w:p>
        </w:tc>
        <w:tc>
          <w:tcPr>
            <w:tcW w:w="18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$ 54,555</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$ 50,206</w:t>
            </w:r>
          </w:p>
        </w:tc>
        <w:tc>
          <w:tcPr>
            <w:tcW w:w="0" w:type="dxa"/>
            <w:vAlign w:val="bottom"/>
          </w:tcPr>
          <w:p>
            <w:pPr>
              <w:spacing w:after="0"/>
              <w:rPr>
                <w:sz w:val="1"/>
                <w:szCs w:val="1"/>
                <w:color w:val="auto"/>
              </w:rPr>
            </w:pPr>
          </w:p>
        </w:tc>
      </w:tr>
      <w:tr>
        <w:trPr>
          <w:trHeight w:val="252"/>
        </w:trPr>
        <w:tc>
          <w:tcPr>
            <w:tcW w:w="5720" w:type="dxa"/>
            <w:vAlign w:val="bottom"/>
          </w:tcPr>
          <w:p>
            <w:pPr>
              <w:spacing w:after="0"/>
              <w:rPr>
                <w:sz w:val="21"/>
                <w:szCs w:val="21"/>
                <w:color w:val="auto"/>
              </w:rPr>
            </w:pPr>
          </w:p>
        </w:tc>
        <w:tc>
          <w:tcPr>
            <w:tcW w:w="3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Investment in affiliated companies and joint venture:</w:t>
      </w:r>
    </w:p>
    <w:p>
      <w:pPr>
        <w:spacing w:after="0" w:line="174" w:lineRule="exact"/>
        <w:rPr>
          <w:sz w:val="20"/>
          <w:szCs w:val="20"/>
          <w:color w:val="auto"/>
        </w:rPr>
      </w:pPr>
    </w:p>
    <w:p>
      <w:pPr>
        <w:jc w:val="both"/>
        <w:ind w:right="3079"/>
        <w:spacing w:after="0" w:line="301" w:lineRule="auto"/>
        <w:rPr>
          <w:sz w:val="20"/>
          <w:szCs w:val="20"/>
          <w:color w:val="auto"/>
        </w:rPr>
      </w:pPr>
      <w:r>
        <w:rPr>
          <w:rFonts w:ascii="Courier New" w:cs="Courier New" w:eastAsia="Courier New" w:hAnsi="Courier New"/>
          <w:sz w:val="15"/>
          <w:szCs w:val="15"/>
          <w:color w:val="auto"/>
        </w:rPr>
        <w:t>Summarized combined income statement information for the Company's equity method investments for the nine months ended August 26, 2000 and August 28, 1999 are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60" w:type="dxa"/>
            <w:vAlign w:val="bottom"/>
          </w:tcPr>
          <w:p>
            <w:pPr>
              <w:spacing w:after="0"/>
              <w:rPr>
                <w:sz w:val="14"/>
                <w:szCs w:val="14"/>
                <w:color w:val="auto"/>
              </w:rPr>
            </w:pPr>
          </w:p>
        </w:tc>
        <w:tc>
          <w:tcPr>
            <w:tcW w:w="1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1999</w:t>
            </w:r>
          </w:p>
        </w:tc>
      </w:tr>
      <w:tr>
        <w:trPr>
          <w:trHeight w:val="252"/>
        </w:trPr>
        <w:tc>
          <w:tcPr>
            <w:tcW w:w="2460" w:type="dxa"/>
            <w:vAlign w:val="bottom"/>
          </w:tcPr>
          <w:p>
            <w:pPr>
              <w:spacing w:after="0"/>
              <w:rPr>
                <w:sz w:val="21"/>
                <w:szCs w:val="21"/>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64"/>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$69,367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$34,624</w:t>
            </w:r>
          </w:p>
        </w:tc>
      </w:tr>
      <w:tr>
        <w:trPr>
          <w:trHeight w:val="172"/>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6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19,440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26,505</w:t>
            </w:r>
          </w:p>
        </w:tc>
      </w:tr>
      <w:tr>
        <w:trPr>
          <w:trHeight w:val="2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8,189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8,404</w:t>
            </w:r>
          </w:p>
        </w:tc>
      </w:tr>
    </w:tbl>
    <w:p>
      <w:pPr>
        <w:spacing w:after="0" w:line="264" w:lineRule="exact"/>
        <w:rPr>
          <w:sz w:val="20"/>
          <w:szCs w:val="20"/>
          <w:color w:val="auto"/>
        </w:rPr>
      </w:pPr>
    </w:p>
    <w:p>
      <w:pPr>
        <w:ind w:right="3079"/>
        <w:spacing w:after="0" w:line="288" w:lineRule="auto"/>
        <w:rPr>
          <w:sz w:val="20"/>
          <w:szCs w:val="20"/>
          <w:color w:val="auto"/>
        </w:rPr>
      </w:pPr>
      <w:r>
        <w:rPr>
          <w:rFonts w:ascii="Courier New" w:cs="Courier New" w:eastAsia="Courier New" w:hAnsi="Courier New"/>
          <w:sz w:val="14"/>
          <w:szCs w:val="14"/>
          <w:color w:val="auto"/>
        </w:rPr>
        <w:t>In the first quarter of 2000 the Company merged all of its eight BFD stores with a licensee's five BFD stores to form a joint venture known as LRG. The Company contributed the net assets from its retail operations - $1.7 million, along with $4.2 million in cash, and the licensee contributed its net assets and $.5 million in cash. The effect of the merger has been included in the changes in operating assets and liabilities in the Consolidated Statement of Cash Flows.</w:t>
      </w:r>
    </w:p>
    <w:p>
      <w:pPr>
        <w:sectPr>
          <w:pgSz w:w="11900" w:h="16838" w:orient="portrait"/>
          <w:cols w:equalWidth="0" w:num="1">
            <w:col w:w="10219"/>
          </w:cols>
          <w:pgMar w:left="240" w:top="263" w:right="1440" w:bottom="715" w:gutter="0" w:footer="0" w:header="0"/>
        </w:sectPr>
      </w:pPr>
    </w:p>
    <w:p>
      <w:pPr>
        <w:spacing w:after="0" w:line="200" w:lineRule="exact"/>
        <w:rPr>
          <w:sz w:val="20"/>
          <w:szCs w:val="20"/>
          <w:color w:val="auto"/>
        </w:rPr>
      </w:pPr>
    </w:p>
    <w:p>
      <w:pPr>
        <w:spacing w:after="0" w:line="20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 of 16</w:t>
      </w:r>
    </w:p>
    <w:p>
      <w:pPr>
        <w:sectPr>
          <w:pgSz w:w="11900" w:h="16838" w:orient="portrait"/>
          <w:cols w:equalWidth="0" w:num="1">
            <w:col w:w="10219"/>
          </w:cols>
          <w:pgMar w:left="240" w:top="263" w:right="1440" w:bottom="715"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4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BASSETT FURNTURE INDUSTRIES INC. AND SUBSIDIARIES</w:t>
      </w:r>
    </w:p>
    <w:p>
      <w:pPr>
        <w:spacing w:after="0" w:line="3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NOTES TO CONDENSED CONSOLIDATED FINANCIAL STATEMENTS-UNAUDITED</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AUGUST 26, 2000 (Dollars in thousands except share and per share data)</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Comprehensive income:</w:t>
      </w:r>
    </w:p>
    <w:p>
      <w:pPr>
        <w:spacing w:after="0" w:line="1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For the quarters ended August 26, 2000, and August 28, 1999, total comprehensive income was $3,851 and $4,151, respectively. Included in total comprehensive income is net income of $4,305 and $4,405 and unrealized gains (losses), net of tax of ($454) and ($254). Comprehensive income was $12,522 and $13,211, consisting of net income of $13,174 and $13,879 and unrealized holding gains (losses), net of tax of ($652) and ($668) for the nine month periods ended August 26, 2000, and August 28, 1999, respectively.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 Contingencies:</w:t>
      </w:r>
    </w:p>
    <w:p>
      <w:pPr>
        <w:spacing w:after="0" w:line="174" w:lineRule="exact"/>
        <w:rPr>
          <w:sz w:val="20"/>
          <w:szCs w:val="20"/>
          <w:color w:val="auto"/>
        </w:rPr>
      </w:pPr>
    </w:p>
    <w:p>
      <w:pPr>
        <w:ind w:right="3079"/>
        <w:spacing w:after="0" w:line="246" w:lineRule="auto"/>
        <w:rPr>
          <w:sz w:val="20"/>
          <w:szCs w:val="20"/>
          <w:color w:val="auto"/>
        </w:rPr>
      </w:pPr>
      <w:r>
        <w:rPr>
          <w:rFonts w:ascii="Courier New" w:cs="Courier New" w:eastAsia="Courier New" w:hAnsi="Courier New"/>
          <w:sz w:val="15"/>
          <w:szCs w:val="15"/>
          <w:color w:val="auto"/>
        </w:rPr>
        <w:t>A suit was filed in June, 1997, in the Superior Court of the State of California for the County of Los Angeles (the "Superior Court") against the Company, two major retailers and certain current and former employees of the Company. The suit sought certification of a class consisting of all consumers who purchased certain mattresses and box springs from the major retailers that were manufactured by a subsidiary of the Company, The E.B. Malone Corporation, with allegedly different specifications than those originally manufactured for sale by these retailers. The suit alleged various causes of action, including negligent misrepresentation, breach of warranty, violations of deceptive practices laws and fraud. Plaintiffs sought compensatory damages of $100 million and punitive damages. In 1998, the Superior Court dismissed the class action allegations in plaintiffs' complaint and transferred the entire action out of the class action department. The Court also dismissed many of the individual claims. Plaintiffs then filed a notice of appeal from the class action ruling. Plaintiffs also filed a petition for a writ of mandamus or other extraordinary relief, which was denied. The suit was subsequently transferred from the Superior Court for the County of Los Angeles to the Superior Court for Orange County. After the case was transferred to Orange County, the plaintiffs stipulated to a dismissal with prejudice of all individual defendants. Additionally, all remaining claims against the Company were stayed by the Court pending plaintiffs' appeal of the dismissal of their class action allegations. On June 13, 2000, the Court of Appeal denied plaintiffs' appeal and entered an order affirming the dismissal of the class action allegations. With the dismissal of the class action allegations, the suit now consists of damage claims by nine named plantiffs (seven individuals and two companies), together with restitution claims for other purchasers under Business &amp; Professions Code 17200. The Company intends to vigorously defend the remaining portions of this suit. Because the Company believes that the two major retailers were unaware of any alleged changes in specifications, the Company has agreed to indemnify the two major retailers with respect to the above.</w:t>
      </w:r>
    </w:p>
    <w:p>
      <w:pPr>
        <w:spacing w:after="0" w:line="107"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Legislation has phased out interest deductions on certain policy loans related to Company owned life insurance (COLI) as of January 1, 1999. The Company has recorded cumulative reductions to income tax expense of approximately $8,000 as the result of COLI interest deductions through 1998. The Internal Revenue Service, on a national level, has pursued an adverse position regarding the deductibility of COLI policy loan interest for years prior to January 1, 1999. In 1999, the IRS received a favorable Tax Court ruling on one taxpayer regarding the non-deductibility of COLI loan interest. Management understands that this ruling and the adverse position taken by the IRS will be subjected to extensive challenges in court. In the event that the IRS prevails, the outcome could result in potential income tax and interest payments which could be material to the Company's future results of operations.</w:t>
      </w:r>
    </w:p>
    <w:p>
      <w:pPr>
        <w:spacing w:after="0" w:line="87"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5"/>
          <w:szCs w:val="15"/>
          <w:color w:val="auto"/>
        </w:rPr>
        <w:t>The Company is also involved in various other claims and actions, including environmental matters at certain of its plant facilities, which arise in the normal course of business. Although the final outcome of these legal and environmental matters cannot be determined, based on the facts presently known, it is management's opinion that the final resolution of these matters will not have a material adverse effect on the Company's financial position or future results of operations.</w:t>
      </w:r>
    </w:p>
    <w:p>
      <w:pPr>
        <w:spacing w:after="0" w:line="25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6 of 16</w:t>
      </w:r>
    </w:p>
    <w:p>
      <w:pPr>
        <w:sectPr>
          <w:pgSz w:w="11900" w:h="16838" w:orient="portrait"/>
          <w:cols w:equalWidth="0" w:num="1">
            <w:col w:w="10219"/>
          </w:cols>
          <w:pgMar w:left="240" w:top="26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jc w:val="center"/>
        <w:ind w:right="3079"/>
        <w:spacing w:after="0" w:line="301" w:lineRule="auto"/>
        <w:rPr>
          <w:sz w:val="20"/>
          <w:szCs w:val="20"/>
          <w:color w:val="auto"/>
        </w:rPr>
      </w:pPr>
      <w:r>
        <w:rPr>
          <w:rFonts w:ascii="Courier New" w:cs="Courier New" w:eastAsia="Courier New" w:hAnsi="Courier New"/>
          <w:sz w:val="15"/>
          <w:szCs w:val="15"/>
          <w:color w:val="auto"/>
        </w:rPr>
        <w:t>PART I-FINANCIAL INFORMATION-CONTINUED BASSETT FURNITURE INDUSTRIES INC. AND SUBSIDIARIES AUGUST 26, 2000 (Dollars in thousands except share and per share data)</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Financial Instruments:</w:t>
      </w:r>
    </w:p>
    <w:p>
      <w:pPr>
        <w:spacing w:after="0" w:line="174"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In the first quarter of 1999, the Company entered into an equity collar arrangement in order to reduce its exposure to fluctuations in its investment portfolio. The equity collar was a series of puts and calls on a market index, covering a notional amount of securities, which expired quarterly in varying amounts over a three year period. In the first quarter of 2000, the Company terminated this particular financial instrument and recognized a gain of $1.4 million, which is included in other income, and entered into a new financial instrument which more clearly correlates to its equity portfolio. The new financial instrument has a notional value of $10.1 million and expires quarterly in varying amounts through 2006. The fair market value of this financial instrument at August 26, 2000, was approximately $1.1 million and is included in accrued liabilities on the accompanying consolidated balance sheet.</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I. Earnings per share:</w:t>
      </w:r>
    </w:p>
    <w:p>
      <w:pPr>
        <w:spacing w:after="0" w:line="174" w:lineRule="exact"/>
        <w:rPr>
          <w:sz w:val="20"/>
          <w:szCs w:val="20"/>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The following reconciles basic and diluted earnings per share before cumulative effect of accounting change: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Weighted</w:t>
            </w:r>
          </w:p>
        </w:tc>
        <w:tc>
          <w:tcPr>
            <w:tcW w:w="1400" w:type="dxa"/>
            <w:vAlign w:val="bottom"/>
            <w:gridSpan w:val="2"/>
            <w:vMerge w:val="restart"/>
          </w:tcPr>
          <w:p>
            <w:pPr>
              <w:ind w:left="500"/>
              <w:spacing w:after="0"/>
              <w:rPr>
                <w:sz w:val="20"/>
                <w:szCs w:val="20"/>
                <w:color w:val="auto"/>
              </w:rPr>
            </w:pPr>
            <w:r>
              <w:rPr>
                <w:rFonts w:ascii="Courier New" w:cs="Courier New" w:eastAsia="Courier New" w:hAnsi="Courier New"/>
                <w:sz w:val="15"/>
                <w:szCs w:val="15"/>
                <w:color w:val="auto"/>
              </w:rPr>
              <w:t>Earnings</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1920" w:type="dxa"/>
            <w:vAlign w:val="bottom"/>
            <w:gridSpan w:val="2"/>
            <w:vMerge w:val="restart"/>
          </w:tcPr>
          <w:p>
            <w:pPr>
              <w:ind w:left="540"/>
              <w:spacing w:after="0"/>
              <w:rPr>
                <w:sz w:val="20"/>
                <w:szCs w:val="20"/>
                <w:color w:val="auto"/>
              </w:rPr>
            </w:pPr>
            <w:r>
              <w:rPr>
                <w:rFonts w:ascii="Courier New" w:cs="Courier New" w:eastAsia="Courier New" w:hAnsi="Courier New"/>
                <w:sz w:val="15"/>
                <w:szCs w:val="15"/>
                <w:color w:val="auto"/>
              </w:rPr>
              <w:t>Net Income</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Average</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Shares</w:t>
            </w:r>
          </w:p>
        </w:tc>
        <w:tc>
          <w:tcPr>
            <w:tcW w:w="14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per share</w:t>
            </w:r>
          </w:p>
        </w:tc>
        <w:tc>
          <w:tcPr>
            <w:tcW w:w="0" w:type="dxa"/>
            <w:vAlign w:val="bottom"/>
          </w:tcPr>
          <w:p>
            <w:pPr>
              <w:spacing w:after="0"/>
              <w:rPr>
                <w:sz w:val="1"/>
                <w:szCs w:val="1"/>
                <w:color w:val="auto"/>
              </w:rPr>
            </w:pPr>
          </w:p>
        </w:tc>
      </w:tr>
      <w:tr>
        <w:trPr>
          <w:trHeight w:val="25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For the nine months ended August 26, 2000</w:t>
            </w:r>
          </w:p>
        </w:tc>
        <w:tc>
          <w:tcPr>
            <w:tcW w:w="52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280" w:type="dxa"/>
            <w:vAlign w:val="bottom"/>
          </w:tcPr>
          <w:p>
            <w:pPr>
              <w:spacing w:after="0"/>
              <w:rPr>
                <w:sz w:val="20"/>
                <w:szCs w:val="20"/>
                <w:color w:val="auto"/>
              </w:rPr>
            </w:pPr>
            <w:r>
              <w:rPr>
                <w:rFonts w:ascii="Courier New" w:cs="Courier New" w:eastAsia="Courier New" w:hAnsi="Courier New"/>
                <w:sz w:val="15"/>
                <w:szCs w:val="15"/>
                <w:color w:val="auto"/>
              </w:rPr>
              <w:t>Net Income available to common stockholders</w:t>
            </w:r>
          </w:p>
        </w:tc>
        <w:tc>
          <w:tcPr>
            <w:tcW w:w="7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13,538</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11,837,375</w:t>
            </w:r>
          </w:p>
        </w:tc>
        <w:tc>
          <w:tcPr>
            <w:tcW w:w="7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Add effect of dilutive securities:</w:t>
            </w:r>
          </w:p>
        </w:tc>
        <w:tc>
          <w:tcPr>
            <w:tcW w:w="760" w:type="dxa"/>
            <w:vAlign w:val="bottom"/>
          </w:tcPr>
          <w:p>
            <w:pPr>
              <w:spacing w:after="0"/>
              <w:rPr>
                <w:sz w:val="14"/>
                <w:szCs w:val="14"/>
                <w:color w:val="auto"/>
              </w:rPr>
            </w:pPr>
          </w:p>
        </w:tc>
        <w:tc>
          <w:tcPr>
            <w:tcW w:w="116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88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2,951</w:t>
            </w:r>
          </w:p>
        </w:tc>
        <w:tc>
          <w:tcPr>
            <w:tcW w:w="720" w:type="dxa"/>
            <w:vAlign w:val="bottom"/>
          </w:tcPr>
          <w:p>
            <w:pPr>
              <w:spacing w:after="0"/>
              <w:rPr>
                <w:sz w:val="14"/>
                <w:szCs w:val="14"/>
                <w:color w:val="auto"/>
              </w:rPr>
            </w:pPr>
          </w:p>
        </w:tc>
        <w:tc>
          <w:tcPr>
            <w:tcW w:w="6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tcPr>
          <w:p>
            <w:pPr>
              <w:ind w:left="520"/>
              <w:spacing w:after="0"/>
              <w:rPr>
                <w:sz w:val="20"/>
                <w:szCs w:val="20"/>
                <w:color w:val="auto"/>
              </w:rPr>
            </w:pPr>
            <w:r>
              <w:rPr>
                <w:rFonts w:ascii="Courier New" w:cs="Courier New" w:eastAsia="Courier New" w:hAnsi="Courier New"/>
                <w:sz w:val="15"/>
                <w:szCs w:val="15"/>
                <w:color w:val="auto"/>
              </w:rPr>
              <w:t>Options and restricted stock</w:t>
            </w:r>
          </w:p>
        </w:tc>
        <w:tc>
          <w:tcPr>
            <w:tcW w:w="7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w:t>
            </w:r>
          </w:p>
        </w:tc>
        <w:tc>
          <w:tcPr>
            <w:tcW w:w="52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vMerge w:val="continue"/>
          </w:tcPr>
          <w:p>
            <w:pPr>
              <w:spacing w:after="0"/>
              <w:rPr>
                <w:sz w:val="14"/>
                <w:szCs w:val="14"/>
                <w:color w:val="auto"/>
              </w:rPr>
            </w:pPr>
          </w:p>
        </w:tc>
        <w:tc>
          <w:tcPr>
            <w:tcW w:w="7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13,538</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11,840,326</w:t>
            </w:r>
          </w:p>
        </w:tc>
        <w:tc>
          <w:tcPr>
            <w:tcW w:w="7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w:t>
            </w:r>
          </w:p>
        </w:tc>
        <w:tc>
          <w:tcPr>
            <w:tcW w:w="0" w:type="dxa"/>
            <w:vAlign w:val="bottom"/>
          </w:tcPr>
          <w:p>
            <w:pPr>
              <w:spacing w:after="0"/>
              <w:rPr>
                <w:sz w:val="1"/>
                <w:szCs w:val="1"/>
                <w:color w:val="auto"/>
              </w:rPr>
            </w:pPr>
          </w:p>
        </w:tc>
      </w:tr>
      <w:tr>
        <w:trPr>
          <w:trHeight w:val="25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For the quarter ended August 26, 2000</w:t>
            </w:r>
          </w:p>
        </w:tc>
        <w:tc>
          <w:tcPr>
            <w:tcW w:w="52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4,305</w:t>
            </w:r>
          </w:p>
        </w:tc>
        <w:tc>
          <w:tcPr>
            <w:tcW w:w="188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11,741,230</w:t>
            </w:r>
          </w:p>
        </w:tc>
        <w:tc>
          <w:tcPr>
            <w:tcW w:w="720" w:type="dxa"/>
            <w:vAlign w:val="bottom"/>
            <w:vMerge w:val="restart"/>
          </w:tcPr>
          <w:p>
            <w:pPr>
              <w:ind w:left="50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0.37</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Net income available to common stockholders</w:t>
            </w:r>
          </w:p>
        </w:tc>
        <w:tc>
          <w:tcPr>
            <w:tcW w:w="7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Add effect of dilutive securities:</w:t>
            </w:r>
          </w:p>
        </w:tc>
        <w:tc>
          <w:tcPr>
            <w:tcW w:w="760" w:type="dxa"/>
            <w:vAlign w:val="bottom"/>
          </w:tcPr>
          <w:p>
            <w:pPr>
              <w:spacing w:after="0"/>
              <w:rPr>
                <w:sz w:val="14"/>
                <w:szCs w:val="14"/>
                <w:color w:val="auto"/>
              </w:rPr>
            </w:pPr>
          </w:p>
        </w:tc>
        <w:tc>
          <w:tcPr>
            <w:tcW w:w="116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88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9,987</w:t>
            </w:r>
          </w:p>
        </w:tc>
        <w:tc>
          <w:tcPr>
            <w:tcW w:w="720" w:type="dxa"/>
            <w:vAlign w:val="bottom"/>
          </w:tcPr>
          <w:p>
            <w:pPr>
              <w:spacing w:after="0"/>
              <w:rPr>
                <w:sz w:val="14"/>
                <w:szCs w:val="14"/>
                <w:color w:val="auto"/>
              </w:rPr>
            </w:pPr>
          </w:p>
        </w:tc>
        <w:tc>
          <w:tcPr>
            <w:tcW w:w="6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tcPr>
          <w:p>
            <w:pPr>
              <w:ind w:left="520"/>
              <w:spacing w:after="0"/>
              <w:rPr>
                <w:sz w:val="20"/>
                <w:szCs w:val="20"/>
                <w:color w:val="auto"/>
              </w:rPr>
            </w:pPr>
            <w:r>
              <w:rPr>
                <w:rFonts w:ascii="Courier New" w:cs="Courier New" w:eastAsia="Courier New" w:hAnsi="Courier New"/>
                <w:sz w:val="15"/>
                <w:szCs w:val="15"/>
                <w:color w:val="auto"/>
              </w:rPr>
              <w:t>Options and restricted stock</w:t>
            </w:r>
          </w:p>
        </w:tc>
        <w:tc>
          <w:tcPr>
            <w:tcW w:w="7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w:t>
            </w:r>
          </w:p>
        </w:tc>
        <w:tc>
          <w:tcPr>
            <w:tcW w:w="52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vMerge w:val="continue"/>
          </w:tcPr>
          <w:p>
            <w:pPr>
              <w:spacing w:after="0"/>
              <w:rPr>
                <w:sz w:val="14"/>
                <w:szCs w:val="14"/>
                <w:color w:val="auto"/>
              </w:rPr>
            </w:pPr>
          </w:p>
        </w:tc>
        <w:tc>
          <w:tcPr>
            <w:tcW w:w="7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4,305</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11,751,217</w:t>
            </w:r>
          </w:p>
        </w:tc>
        <w:tc>
          <w:tcPr>
            <w:tcW w:w="7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0.37</w:t>
            </w:r>
          </w:p>
        </w:tc>
        <w:tc>
          <w:tcPr>
            <w:tcW w:w="0" w:type="dxa"/>
            <w:vAlign w:val="bottom"/>
          </w:tcPr>
          <w:p>
            <w:pPr>
              <w:spacing w:after="0"/>
              <w:rPr>
                <w:sz w:val="1"/>
                <w:szCs w:val="1"/>
                <w:color w:val="auto"/>
              </w:rPr>
            </w:pPr>
          </w:p>
        </w:tc>
      </w:tr>
      <w:tr>
        <w:trPr>
          <w:trHeight w:val="25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For the nine months ended August 28, 1999</w:t>
            </w:r>
          </w:p>
        </w:tc>
        <w:tc>
          <w:tcPr>
            <w:tcW w:w="52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13,879</w:t>
            </w:r>
          </w:p>
        </w:tc>
        <w:tc>
          <w:tcPr>
            <w:tcW w:w="188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12,609,312</w:t>
            </w:r>
          </w:p>
        </w:tc>
        <w:tc>
          <w:tcPr>
            <w:tcW w:w="720" w:type="dxa"/>
            <w:vAlign w:val="bottom"/>
            <w:vMerge w:val="restart"/>
          </w:tcPr>
          <w:p>
            <w:pPr>
              <w:ind w:left="50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1.10</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Net Income available to common stockholders</w:t>
            </w:r>
          </w:p>
        </w:tc>
        <w:tc>
          <w:tcPr>
            <w:tcW w:w="7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Add effect of dilutive securities:</w:t>
            </w:r>
          </w:p>
        </w:tc>
        <w:tc>
          <w:tcPr>
            <w:tcW w:w="760" w:type="dxa"/>
            <w:vAlign w:val="bottom"/>
          </w:tcPr>
          <w:p>
            <w:pPr>
              <w:spacing w:after="0"/>
              <w:rPr>
                <w:sz w:val="14"/>
                <w:szCs w:val="14"/>
                <w:color w:val="auto"/>
              </w:rPr>
            </w:pPr>
          </w:p>
        </w:tc>
        <w:tc>
          <w:tcPr>
            <w:tcW w:w="116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88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6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tcPr>
          <w:p>
            <w:pPr>
              <w:ind w:left="520"/>
              <w:spacing w:after="0"/>
              <w:rPr>
                <w:sz w:val="20"/>
                <w:szCs w:val="20"/>
                <w:color w:val="auto"/>
              </w:rPr>
            </w:pPr>
            <w:r>
              <w:rPr>
                <w:rFonts w:ascii="Courier New" w:cs="Courier New" w:eastAsia="Courier New" w:hAnsi="Courier New"/>
                <w:sz w:val="15"/>
                <w:szCs w:val="15"/>
                <w:color w:val="auto"/>
              </w:rPr>
              <w:t>Options and restricted stock</w:t>
            </w:r>
          </w:p>
        </w:tc>
        <w:tc>
          <w:tcPr>
            <w:tcW w:w="7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w:t>
            </w:r>
          </w:p>
        </w:tc>
        <w:tc>
          <w:tcPr>
            <w:tcW w:w="52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vMerge w:val="continue"/>
          </w:tcPr>
          <w:p>
            <w:pPr>
              <w:spacing w:after="0"/>
              <w:rPr>
                <w:sz w:val="14"/>
                <w:szCs w:val="14"/>
                <w:color w:val="auto"/>
              </w:rPr>
            </w:pPr>
          </w:p>
        </w:tc>
        <w:tc>
          <w:tcPr>
            <w:tcW w:w="7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13,879</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12,609,312</w:t>
            </w:r>
          </w:p>
        </w:tc>
        <w:tc>
          <w:tcPr>
            <w:tcW w:w="7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w:t>
            </w:r>
          </w:p>
        </w:tc>
        <w:tc>
          <w:tcPr>
            <w:tcW w:w="0" w:type="dxa"/>
            <w:vAlign w:val="bottom"/>
          </w:tcPr>
          <w:p>
            <w:pPr>
              <w:spacing w:after="0"/>
              <w:rPr>
                <w:sz w:val="1"/>
                <w:szCs w:val="1"/>
                <w:color w:val="auto"/>
              </w:rPr>
            </w:pPr>
          </w:p>
        </w:tc>
      </w:tr>
      <w:tr>
        <w:trPr>
          <w:trHeight w:val="25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For the quarter ended August 28, 1999</w:t>
            </w:r>
          </w:p>
        </w:tc>
        <w:tc>
          <w:tcPr>
            <w:tcW w:w="52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4,405</w:t>
            </w:r>
          </w:p>
        </w:tc>
        <w:tc>
          <w:tcPr>
            <w:tcW w:w="188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12,419,758</w:t>
            </w:r>
          </w:p>
        </w:tc>
        <w:tc>
          <w:tcPr>
            <w:tcW w:w="720" w:type="dxa"/>
            <w:vAlign w:val="bottom"/>
            <w:vMerge w:val="restart"/>
          </w:tcPr>
          <w:p>
            <w:pPr>
              <w:ind w:left="50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0.36</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Net income available to common stockholders</w:t>
            </w:r>
          </w:p>
        </w:tc>
        <w:tc>
          <w:tcPr>
            <w:tcW w:w="7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Add effect of dilutive securities:</w:t>
            </w:r>
          </w:p>
        </w:tc>
        <w:tc>
          <w:tcPr>
            <w:tcW w:w="760" w:type="dxa"/>
            <w:vAlign w:val="bottom"/>
          </w:tcPr>
          <w:p>
            <w:pPr>
              <w:spacing w:after="0"/>
              <w:rPr>
                <w:sz w:val="14"/>
                <w:szCs w:val="14"/>
                <w:color w:val="auto"/>
              </w:rPr>
            </w:pPr>
          </w:p>
        </w:tc>
        <w:tc>
          <w:tcPr>
            <w:tcW w:w="116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88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6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tcPr>
          <w:p>
            <w:pPr>
              <w:ind w:left="520"/>
              <w:spacing w:after="0"/>
              <w:rPr>
                <w:sz w:val="20"/>
                <w:szCs w:val="20"/>
                <w:color w:val="auto"/>
              </w:rPr>
            </w:pPr>
            <w:r>
              <w:rPr>
                <w:rFonts w:ascii="Courier New" w:cs="Courier New" w:eastAsia="Courier New" w:hAnsi="Courier New"/>
                <w:sz w:val="15"/>
                <w:szCs w:val="15"/>
                <w:color w:val="auto"/>
              </w:rPr>
              <w:t>Options and restricted stock</w:t>
            </w:r>
          </w:p>
        </w:tc>
        <w:tc>
          <w:tcPr>
            <w:tcW w:w="7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w:t>
            </w:r>
          </w:p>
        </w:tc>
        <w:tc>
          <w:tcPr>
            <w:tcW w:w="52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vMerge w:val="continue"/>
          </w:tcPr>
          <w:p>
            <w:pPr>
              <w:spacing w:after="0"/>
              <w:rPr>
                <w:sz w:val="14"/>
                <w:szCs w:val="14"/>
                <w:color w:val="auto"/>
              </w:rPr>
            </w:pPr>
          </w:p>
        </w:tc>
        <w:tc>
          <w:tcPr>
            <w:tcW w:w="7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4,405</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12,419,758</w:t>
            </w:r>
          </w:p>
        </w:tc>
        <w:tc>
          <w:tcPr>
            <w:tcW w:w="7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0.36</w:t>
            </w: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1"/>
                <w:szCs w:val="21"/>
                <w:color w:val="auto"/>
              </w:rPr>
            </w:pPr>
          </w:p>
        </w:tc>
        <w:tc>
          <w:tcPr>
            <w:tcW w:w="52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both"/>
        <w:ind w:right="3079"/>
        <w:spacing w:after="0" w:line="301" w:lineRule="auto"/>
        <w:rPr>
          <w:sz w:val="20"/>
          <w:szCs w:val="20"/>
          <w:color w:val="auto"/>
        </w:rPr>
      </w:pPr>
      <w:r>
        <w:rPr>
          <w:rFonts w:ascii="Courier New" w:cs="Courier New" w:eastAsia="Courier New" w:hAnsi="Courier New"/>
          <w:sz w:val="15"/>
          <w:szCs w:val="15"/>
          <w:color w:val="auto"/>
        </w:rPr>
        <w:t>Options to purchase 1.8 and 1.4 million shares of common stock were outstanding during the third quarters of 2000 and 1999, respectively, that could potentially dilute basic EPS in the future.</w:t>
      </w:r>
    </w:p>
    <w:p>
      <w:pPr>
        <w:spacing w:after="0" w:line="22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7 of 16</w:t>
      </w:r>
    </w:p>
    <w:p>
      <w:pPr>
        <w:sectPr>
          <w:pgSz w:w="11900" w:h="16838" w:orient="portrait"/>
          <w:cols w:equalWidth="0" w:num="1">
            <w:col w:w="10219"/>
          </w:cols>
          <w:pgMar w:left="240" w:top="26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18"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PART I-FINANCIAL INFORMATION-CONTINUED</w:t>
      </w:r>
    </w:p>
    <w:p>
      <w:pPr>
        <w:spacing w:after="0" w:line="30"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2"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AUGUST 26, 2000</w:t>
      </w:r>
    </w:p>
    <w:p>
      <w:pPr>
        <w:spacing w:after="0" w:line="2"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(Dollars in thousands except share and per share data)</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J. Segment Information:</w:t>
      </w:r>
    </w:p>
    <w:p>
      <w:pPr>
        <w:spacing w:after="0" w:line="174" w:lineRule="exact"/>
        <w:rPr>
          <w:sz w:val="20"/>
          <w:szCs w:val="20"/>
          <w:color w:val="auto"/>
        </w:rPr>
      </w:pPr>
    </w:p>
    <w:p>
      <w:pPr>
        <w:ind w:right="3940"/>
        <w:spacing w:after="0" w:line="359" w:lineRule="auto"/>
        <w:rPr>
          <w:sz w:val="20"/>
          <w:szCs w:val="20"/>
          <w:color w:val="auto"/>
        </w:rPr>
      </w:pPr>
      <w:r>
        <w:rPr>
          <w:rFonts w:ascii="Courier New" w:cs="Courier New" w:eastAsia="Courier New" w:hAnsi="Courier New"/>
          <w:sz w:val="15"/>
          <w:szCs w:val="15"/>
          <w:color w:val="auto"/>
        </w:rPr>
        <w:t>Segment information for the periods ended August 26, 2000 and August 28, 1999 were as follows: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nine months ended August 26, 2000</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00" w:type="dxa"/>
            <w:vAlign w:val="bottom"/>
          </w:tcPr>
          <w:p>
            <w:pPr>
              <w:spacing w:after="0"/>
              <w:rPr>
                <w:sz w:val="14"/>
                <w:szCs w:val="14"/>
                <w:color w:val="auto"/>
              </w:rPr>
            </w:pP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Wood</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Upholstery</w:t>
            </w:r>
          </w:p>
        </w:tc>
        <w:tc>
          <w:tcPr>
            <w:tcW w:w="54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Other</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252"/>
        </w:trPr>
        <w:tc>
          <w:tcPr>
            <w:tcW w:w="4100" w:type="dxa"/>
            <w:vAlign w:val="bottom"/>
          </w:tcPr>
          <w:p>
            <w:pPr>
              <w:spacing w:after="0"/>
              <w:rPr>
                <w:sz w:val="21"/>
                <w:szCs w:val="21"/>
                <w:color w:val="auto"/>
              </w:rPr>
            </w:pPr>
          </w:p>
        </w:tc>
        <w:tc>
          <w:tcPr>
            <w:tcW w:w="67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264"/>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Net sales</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$195,353</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$ 73,607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9,582</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$278,542</w:t>
            </w:r>
          </w:p>
        </w:tc>
      </w:tr>
      <w:tr>
        <w:trPr>
          <w:trHeight w:val="172"/>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Operating income (loss)</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28,226</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6,508</w:t>
            </w:r>
          </w:p>
        </w:tc>
        <w:tc>
          <w:tcPr>
            <w:tcW w:w="54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(26,694)</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8,040</w:t>
            </w:r>
          </w:p>
        </w:tc>
      </w:tr>
      <w:tr>
        <w:trPr>
          <w:trHeight w:val="172"/>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3,768</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621</w:t>
            </w:r>
          </w:p>
        </w:tc>
        <w:tc>
          <w:tcPr>
            <w:tcW w:w="54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3,065</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7,454</w:t>
            </w:r>
          </w:p>
        </w:tc>
      </w:tr>
      <w:tr>
        <w:trPr>
          <w:trHeight w:val="252"/>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Capital expenditures</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4,931</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2,014</w:t>
            </w:r>
          </w:p>
        </w:tc>
        <w:tc>
          <w:tcPr>
            <w:tcW w:w="540" w:type="dxa"/>
            <w:vAlign w:val="bottom"/>
          </w:tcPr>
          <w:p>
            <w:pPr>
              <w:spacing w:after="0"/>
              <w:rPr>
                <w:sz w:val="21"/>
                <w:szCs w:val="21"/>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9,206</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16,151</w:t>
            </w:r>
          </w:p>
        </w:tc>
      </w:tr>
      <w:tr>
        <w:trPr>
          <w:trHeight w:val="516"/>
        </w:trPr>
        <w:tc>
          <w:tcPr>
            <w:tcW w:w="4100" w:type="dxa"/>
            <w:vAlign w:val="bottom"/>
          </w:tcPr>
          <w:p>
            <w:pPr>
              <w:spacing w:after="0"/>
              <w:rPr>
                <w:sz w:val="20"/>
                <w:szCs w:val="20"/>
                <w:color w:val="auto"/>
              </w:rPr>
            </w:pPr>
            <w:r>
              <w:rPr>
                <w:rFonts w:ascii="Courier New" w:cs="Courier New" w:eastAsia="Courier New" w:hAnsi="Courier New"/>
                <w:sz w:val="15"/>
                <w:szCs w:val="15"/>
                <w:color w:val="auto"/>
              </w:rPr>
              <w:t>For the nine months ended August 28, 1999</w:t>
            </w:r>
          </w:p>
        </w:tc>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08"/>
        </w:trPr>
        <w:tc>
          <w:tcPr>
            <w:tcW w:w="4100" w:type="dxa"/>
            <w:vAlign w:val="bottom"/>
          </w:tcPr>
          <w:p>
            <w:pPr>
              <w:spacing w:after="0"/>
              <w:rPr>
                <w:sz w:val="24"/>
                <w:szCs w:val="24"/>
                <w:color w:val="auto"/>
              </w:rPr>
            </w:pP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Wood</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Upholstery</w:t>
            </w:r>
          </w:p>
        </w:tc>
        <w:tc>
          <w:tcPr>
            <w:tcW w:w="54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Other</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252"/>
        </w:trPr>
        <w:tc>
          <w:tcPr>
            <w:tcW w:w="4100" w:type="dxa"/>
            <w:vAlign w:val="bottom"/>
          </w:tcPr>
          <w:p>
            <w:pPr>
              <w:spacing w:after="0"/>
              <w:rPr>
                <w:sz w:val="21"/>
                <w:szCs w:val="21"/>
                <w:color w:val="auto"/>
              </w:rPr>
            </w:pPr>
          </w:p>
        </w:tc>
        <w:tc>
          <w:tcPr>
            <w:tcW w:w="67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264"/>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Net sales</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$189,773</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$ 77,655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24,457</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$291,885</w:t>
            </w:r>
          </w:p>
        </w:tc>
      </w:tr>
      <w:tr>
        <w:trPr>
          <w:trHeight w:val="172"/>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Operating income (loss)</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33,344</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6,739</w:t>
            </w:r>
          </w:p>
        </w:tc>
        <w:tc>
          <w:tcPr>
            <w:tcW w:w="54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(30,038)</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10,045</w:t>
            </w:r>
          </w:p>
        </w:tc>
      </w:tr>
      <w:tr>
        <w:trPr>
          <w:trHeight w:val="172"/>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3,106</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548</w:t>
            </w:r>
          </w:p>
        </w:tc>
        <w:tc>
          <w:tcPr>
            <w:tcW w:w="54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2,436</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6,090</w:t>
            </w:r>
          </w:p>
        </w:tc>
      </w:tr>
      <w:tr>
        <w:trPr>
          <w:trHeight w:val="252"/>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Capital expenditures</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11,446</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4,960</w:t>
            </w:r>
          </w:p>
        </w:tc>
        <w:tc>
          <w:tcPr>
            <w:tcW w:w="540" w:type="dxa"/>
            <w:vAlign w:val="bottom"/>
          </w:tcPr>
          <w:p>
            <w:pPr>
              <w:spacing w:after="0"/>
              <w:rPr>
                <w:sz w:val="21"/>
                <w:szCs w:val="21"/>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21,747</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38,153</w:t>
            </w:r>
          </w:p>
        </w:tc>
      </w:tr>
      <w:tr>
        <w:trPr>
          <w:trHeight w:val="516"/>
        </w:trPr>
        <w:tc>
          <w:tcPr>
            <w:tcW w:w="4100" w:type="dxa"/>
            <w:vAlign w:val="bottom"/>
          </w:tcPr>
          <w:p>
            <w:pPr>
              <w:spacing w:after="0"/>
              <w:rPr>
                <w:sz w:val="20"/>
                <w:szCs w:val="20"/>
                <w:color w:val="auto"/>
              </w:rPr>
            </w:pPr>
            <w:r>
              <w:rPr>
                <w:rFonts w:ascii="Courier New" w:cs="Courier New" w:eastAsia="Courier New" w:hAnsi="Courier New"/>
                <w:sz w:val="15"/>
                <w:szCs w:val="15"/>
                <w:color w:val="auto"/>
              </w:rPr>
              <w:t>For the quarter ended August 26, 2000</w:t>
            </w:r>
          </w:p>
        </w:tc>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08"/>
        </w:trPr>
        <w:tc>
          <w:tcPr>
            <w:tcW w:w="4100" w:type="dxa"/>
            <w:vAlign w:val="bottom"/>
          </w:tcPr>
          <w:p>
            <w:pPr>
              <w:spacing w:after="0"/>
              <w:rPr>
                <w:sz w:val="24"/>
                <w:szCs w:val="24"/>
                <w:color w:val="auto"/>
              </w:rPr>
            </w:pP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Wood</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Upholstery</w:t>
            </w:r>
          </w:p>
        </w:tc>
        <w:tc>
          <w:tcPr>
            <w:tcW w:w="54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Other</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252"/>
        </w:trPr>
        <w:tc>
          <w:tcPr>
            <w:tcW w:w="4100" w:type="dxa"/>
            <w:vAlign w:val="bottom"/>
          </w:tcPr>
          <w:p>
            <w:pPr>
              <w:spacing w:after="0"/>
              <w:rPr>
                <w:sz w:val="21"/>
                <w:szCs w:val="21"/>
                <w:color w:val="auto"/>
              </w:rPr>
            </w:pPr>
          </w:p>
        </w:tc>
        <w:tc>
          <w:tcPr>
            <w:tcW w:w="67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264"/>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Net sales</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$ 62,551</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$ 25,609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2,995</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$ 91,155</w:t>
            </w:r>
          </w:p>
        </w:tc>
      </w:tr>
      <w:tr>
        <w:trPr>
          <w:trHeight w:val="172"/>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Operating income (loss)</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7,482</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2,224</w:t>
            </w:r>
          </w:p>
        </w:tc>
        <w:tc>
          <w:tcPr>
            <w:tcW w:w="54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(7,444)</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2,262</w:t>
            </w:r>
          </w:p>
        </w:tc>
      </w:tr>
      <w:tr>
        <w:trPr>
          <w:trHeight w:val="172"/>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1,208</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213</w:t>
            </w:r>
          </w:p>
        </w:tc>
        <w:tc>
          <w:tcPr>
            <w:tcW w:w="54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947</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2,368</w:t>
            </w:r>
          </w:p>
        </w:tc>
      </w:tr>
      <w:tr>
        <w:trPr>
          <w:trHeight w:val="252"/>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Capital expenditures</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728</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315</w:t>
            </w:r>
          </w:p>
        </w:tc>
        <w:tc>
          <w:tcPr>
            <w:tcW w:w="540" w:type="dxa"/>
            <w:vAlign w:val="bottom"/>
          </w:tcPr>
          <w:p>
            <w:pPr>
              <w:spacing w:after="0"/>
              <w:rPr>
                <w:sz w:val="21"/>
                <w:szCs w:val="21"/>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1,383</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2,426</w:t>
            </w:r>
          </w:p>
        </w:tc>
      </w:tr>
      <w:tr>
        <w:trPr>
          <w:trHeight w:val="516"/>
        </w:trPr>
        <w:tc>
          <w:tcPr>
            <w:tcW w:w="4100" w:type="dxa"/>
            <w:vAlign w:val="bottom"/>
          </w:tcPr>
          <w:p>
            <w:pPr>
              <w:spacing w:after="0"/>
              <w:rPr>
                <w:sz w:val="20"/>
                <w:szCs w:val="20"/>
                <w:color w:val="auto"/>
              </w:rPr>
            </w:pPr>
            <w:r>
              <w:rPr>
                <w:rFonts w:ascii="Courier New" w:cs="Courier New" w:eastAsia="Courier New" w:hAnsi="Courier New"/>
                <w:sz w:val="15"/>
                <w:szCs w:val="15"/>
                <w:color w:val="auto"/>
              </w:rPr>
              <w:t>For the quarter ended August 28, 1999</w:t>
            </w:r>
          </w:p>
        </w:tc>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08"/>
        </w:trPr>
        <w:tc>
          <w:tcPr>
            <w:tcW w:w="4100" w:type="dxa"/>
            <w:vAlign w:val="bottom"/>
          </w:tcPr>
          <w:p>
            <w:pPr>
              <w:spacing w:after="0"/>
              <w:rPr>
                <w:sz w:val="24"/>
                <w:szCs w:val="24"/>
                <w:color w:val="auto"/>
              </w:rPr>
            </w:pP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Wood</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Upholstery</w:t>
            </w:r>
          </w:p>
        </w:tc>
        <w:tc>
          <w:tcPr>
            <w:tcW w:w="54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Other</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252"/>
        </w:trPr>
        <w:tc>
          <w:tcPr>
            <w:tcW w:w="4100" w:type="dxa"/>
            <w:vAlign w:val="bottom"/>
          </w:tcPr>
          <w:p>
            <w:pPr>
              <w:spacing w:after="0"/>
              <w:rPr>
                <w:sz w:val="21"/>
                <w:szCs w:val="21"/>
                <w:color w:val="auto"/>
              </w:rPr>
            </w:pPr>
          </w:p>
        </w:tc>
        <w:tc>
          <w:tcPr>
            <w:tcW w:w="67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264"/>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Net sales</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$ 60,924</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$ 22,535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5,344</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$ 88,803</w:t>
            </w:r>
          </w:p>
        </w:tc>
      </w:tr>
      <w:tr>
        <w:trPr>
          <w:trHeight w:val="172"/>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Operating income (loss)</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10,544</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1,752</w:t>
            </w:r>
          </w:p>
        </w:tc>
        <w:tc>
          <w:tcPr>
            <w:tcW w:w="54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(9,281)</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3,015</w:t>
            </w:r>
          </w:p>
        </w:tc>
      </w:tr>
      <w:tr>
        <w:trPr>
          <w:trHeight w:val="172"/>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1,004</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177</w:t>
            </w:r>
          </w:p>
        </w:tc>
        <w:tc>
          <w:tcPr>
            <w:tcW w:w="54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788</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1,969</w:t>
            </w:r>
          </w:p>
        </w:tc>
      </w:tr>
      <w:tr>
        <w:trPr>
          <w:trHeight w:val="252"/>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Capital expenditures</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4,734</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2,052</w:t>
            </w:r>
          </w:p>
        </w:tc>
        <w:tc>
          <w:tcPr>
            <w:tcW w:w="540" w:type="dxa"/>
            <w:vAlign w:val="bottom"/>
          </w:tcPr>
          <w:p>
            <w:pPr>
              <w:spacing w:after="0"/>
              <w:rPr>
                <w:sz w:val="21"/>
                <w:szCs w:val="21"/>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8,995</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15,781</w:t>
            </w:r>
          </w:p>
        </w:tc>
      </w:tr>
    </w:tbl>
    <w:p>
      <w:pPr>
        <w:spacing w:after="0" w:line="264" w:lineRule="exact"/>
        <w:rPr>
          <w:sz w:val="20"/>
          <w:szCs w:val="20"/>
          <w:color w:val="auto"/>
        </w:rPr>
      </w:pPr>
    </w:p>
    <w:p>
      <w:pPr>
        <w:ind w:right="3860"/>
        <w:spacing w:after="0" w:line="266" w:lineRule="auto"/>
        <w:rPr>
          <w:sz w:val="20"/>
          <w:szCs w:val="20"/>
          <w:color w:val="auto"/>
        </w:rPr>
      </w:pPr>
      <w:r>
        <w:rPr>
          <w:rFonts w:ascii="Courier New" w:cs="Courier New" w:eastAsia="Courier New" w:hAnsi="Courier New"/>
          <w:sz w:val="15"/>
          <w:szCs w:val="15"/>
          <w:color w:val="auto"/>
        </w:rPr>
        <w:t>The Company's other businesses consist of the Bedding Division (for the first five months of fiscal 1999), a contemporary furniture business (Weiman), the retail business (for the first nine months of 1999) and corporate operations, all included to reconcile segment information to the Condensed Consolidated Financial Statements. Operating income by business segment is defined as sales less direct operating costs and expenses.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K. Subsequent Event:</w:t>
      </w:r>
    </w:p>
    <w:p>
      <w:pPr>
        <w:spacing w:after="0" w:line="174" w:lineRule="exact"/>
        <w:rPr>
          <w:sz w:val="20"/>
          <w:szCs w:val="20"/>
          <w:color w:val="auto"/>
        </w:rPr>
      </w:pPr>
    </w:p>
    <w:p>
      <w:pPr>
        <w:ind w:right="3760"/>
        <w:spacing w:after="0" w:line="266" w:lineRule="auto"/>
        <w:rPr>
          <w:sz w:val="20"/>
          <w:szCs w:val="20"/>
          <w:color w:val="auto"/>
        </w:rPr>
      </w:pPr>
      <w:r>
        <w:rPr>
          <w:rFonts w:ascii="Courier New" w:cs="Courier New" w:eastAsia="Courier New" w:hAnsi="Courier New"/>
          <w:sz w:val="15"/>
          <w:szCs w:val="15"/>
          <w:color w:val="auto"/>
        </w:rPr>
        <w:t>After the end of the third quarter of 2000, the Company agreed to enter into a new credit facility led by Branch Banking &amp; Trust (BB&amp;T), replacing an existing facility with another bank. The new facility will provide for a 3 year, $70 million revolving credit line tied to and secured by receivables and inventory. The borrowing rates are expected to range from LIBOR plus 0.625 to LIBOR plus 1.375 based on the Company's debt ratio, as defined.</w:t>
      </w:r>
    </w:p>
    <w:p>
      <w:pPr>
        <w:sectPr>
          <w:pgSz w:w="11900" w:h="16838" w:orient="portrait"/>
          <w:cols w:equalWidth="0" w:num="1">
            <w:col w:w="10820"/>
          </w:cols>
          <w:pgMar w:left="240" w:top="263" w:right="839" w:bottom="1440" w:gutter="0" w:footer="0" w:header="0"/>
        </w:sectPr>
      </w:pPr>
    </w:p>
    <w:p>
      <w:pPr>
        <w:spacing w:after="0" w:line="24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8 of 16</w:t>
      </w:r>
    </w:p>
    <w:p>
      <w:pPr>
        <w:sectPr>
          <w:pgSz w:w="11900" w:h="16838" w:orient="portrait"/>
          <w:cols w:equalWidth="0" w:num="1">
            <w:col w:w="10820"/>
          </w:cols>
          <w:pgMar w:left="240" w:top="263" w:right="839"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PART I-FINANCIAL INFORMATION-CONTINUED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AUGUST 26, 2000</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(Dollars in thousands except share and per share data)</w:t>
      </w:r>
    </w:p>
    <w:p>
      <w:pPr>
        <w:spacing w:after="0" w:line="146" w:lineRule="exact"/>
        <w:rPr>
          <w:sz w:val="20"/>
          <w:szCs w:val="20"/>
          <w:color w:val="auto"/>
        </w:rPr>
      </w:pPr>
    </w:p>
    <w:p>
      <w:pPr>
        <w:ind w:right="3599"/>
        <w:spacing w:after="0" w:line="359"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8" w:lineRule="exact"/>
        <w:rPr>
          <w:sz w:val="20"/>
          <w:szCs w:val="20"/>
          <w:color w:val="auto"/>
        </w:rPr>
      </w:pPr>
    </w:p>
    <w:p>
      <w:pPr>
        <w:ind w:right="3079"/>
        <w:spacing w:after="0" w:line="359" w:lineRule="auto"/>
        <w:rPr>
          <w:sz w:val="20"/>
          <w:szCs w:val="20"/>
          <w:color w:val="auto"/>
        </w:rPr>
      </w:pPr>
      <w:r>
        <w:rPr>
          <w:rFonts w:ascii="Courier New" w:cs="Courier New" w:eastAsia="Courier New" w:hAnsi="Courier New"/>
          <w:sz w:val="15"/>
          <w:szCs w:val="15"/>
          <w:color w:val="auto"/>
        </w:rPr>
        <w:t>Results of Operations -Periods ended August 26, 2000 compared with periods ended August 28, 1999</w:t>
      </w:r>
    </w:p>
    <w:p>
      <w:pPr>
        <w:spacing w:after="0" w:line="8" w:lineRule="exact"/>
        <w:rPr>
          <w:sz w:val="20"/>
          <w:szCs w:val="20"/>
          <w:color w:val="auto"/>
        </w:rPr>
      </w:pPr>
    </w:p>
    <w:p>
      <w:pPr>
        <w:ind w:right="3159"/>
        <w:spacing w:after="0" w:line="249" w:lineRule="auto"/>
        <w:rPr>
          <w:sz w:val="20"/>
          <w:szCs w:val="20"/>
          <w:color w:val="auto"/>
        </w:rPr>
      </w:pPr>
      <w:r>
        <w:rPr>
          <w:rFonts w:ascii="Courier New" w:cs="Courier New" w:eastAsia="Courier New" w:hAnsi="Courier New"/>
          <w:sz w:val="15"/>
          <w:szCs w:val="15"/>
          <w:color w:val="auto"/>
        </w:rPr>
        <w:t>In the third quarter of 2000 Bassett reported $91.2 million in sales, an increase of 2.6% from the $88.8 million reported for the third quarter of 1999. This increase is due entirely to the growth of the Company's BFD stores; four new stores were opened in third quarter 2000. Sales for the nine months ended August 26, 2000 were $278.5 million versus $291.9 million for the nine months ended August 28, 1999, reflecting a decline of 4.6%. This decline was due partially to the disposal of certain businesses. In April of 1999, the Company sold its Bedding Division, which had revenues of $11.9 million for the nine months ended August 28, 1999. In the first quarter of 2000, the Company merged its eight BFD stores and formed a new joint venture known as the Ladin Retail Group (LRG). Corporate retail sales totaled $1.8 million for third quarter of 1999 and $3 million for the first nine months of 1999. On a comparable sales basis, sales were only $86.8 million in third quarter of 1999 and $277 million for the first nine months of 1999, reflecting an increase of 5.1% for the quarter and a marginal increase of 0.5% year to date. The growth of BFD stores has more than offset the recent softening in retail furniture demand and disruptions earlier in the year associated with the Company-wide software implementation.</w:t>
      </w:r>
    </w:p>
    <w:p>
      <w:pPr>
        <w:spacing w:after="0" w:line="95" w:lineRule="exact"/>
        <w:rPr>
          <w:sz w:val="20"/>
          <w:szCs w:val="20"/>
          <w:color w:val="auto"/>
        </w:rPr>
      </w:pPr>
    </w:p>
    <w:p>
      <w:pPr>
        <w:ind w:right="3259"/>
        <w:spacing w:after="0" w:line="301" w:lineRule="auto"/>
        <w:rPr>
          <w:sz w:val="20"/>
          <w:szCs w:val="20"/>
          <w:color w:val="auto"/>
        </w:rPr>
      </w:pPr>
      <w:r>
        <w:rPr>
          <w:rFonts w:ascii="Courier New" w:cs="Courier New" w:eastAsia="Courier New" w:hAnsi="Courier New"/>
          <w:sz w:val="15"/>
          <w:szCs w:val="15"/>
          <w:color w:val="auto"/>
        </w:rPr>
        <w:t>Gross margin, selling, general and administrative (S,G&amp;A) expenses, and operating income as a percentage of net sales were as follows for the quarters and nine months ended August 26, 2000 and August 28, 1999:</w:t>
      </w:r>
    </w:p>
    <w:p>
      <w:pPr>
        <w:spacing w:after="0" w:line="39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600" w:type="dxa"/>
            <w:vAlign w:val="bottom"/>
          </w:tcPr>
          <w:p>
            <w:pPr>
              <w:spacing w:after="0"/>
              <w:rPr>
                <w:sz w:val="14"/>
                <w:szCs w:val="14"/>
                <w:color w:val="auto"/>
              </w:rPr>
            </w:pPr>
          </w:p>
        </w:tc>
        <w:tc>
          <w:tcPr>
            <w:tcW w:w="4380" w:type="dxa"/>
            <w:vAlign w:val="bottom"/>
            <w:gridSpan w:val="2"/>
          </w:tcPr>
          <w:p>
            <w:pPr>
              <w:jc w:val="right"/>
              <w:ind w:right="985"/>
              <w:spacing w:after="0"/>
              <w:rPr>
                <w:sz w:val="20"/>
                <w:szCs w:val="20"/>
                <w:color w:val="auto"/>
              </w:rPr>
            </w:pPr>
            <w:r>
              <w:rPr>
                <w:rFonts w:ascii="Courier New" w:cs="Courier New" w:eastAsia="Courier New" w:hAnsi="Courier New"/>
                <w:sz w:val="15"/>
                <w:szCs w:val="15"/>
                <w:color w:val="auto"/>
              </w:rPr>
              <w:t>For the Nine Months Ended</w:t>
            </w:r>
          </w:p>
        </w:tc>
        <w:tc>
          <w:tcPr>
            <w:tcW w:w="376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For the Quarter Ended</w:t>
            </w:r>
          </w:p>
        </w:tc>
      </w:tr>
      <w:tr>
        <w:trPr>
          <w:trHeight w:val="172"/>
        </w:trPr>
        <w:tc>
          <w:tcPr>
            <w:tcW w:w="1600" w:type="dxa"/>
            <w:vAlign w:val="bottom"/>
          </w:tcPr>
          <w:p>
            <w:pPr>
              <w:spacing w:after="0"/>
              <w:rPr>
                <w:sz w:val="14"/>
                <w:szCs w:val="14"/>
                <w:color w:val="auto"/>
              </w:rPr>
            </w:pPr>
          </w:p>
        </w:tc>
        <w:tc>
          <w:tcPr>
            <w:tcW w:w="278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August 26, 2000</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August 28, 1999</w:t>
            </w:r>
          </w:p>
        </w:tc>
        <w:tc>
          <w:tcPr>
            <w:tcW w:w="2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August 26, 2000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August 28, 1999</w:t>
            </w:r>
          </w:p>
        </w:tc>
      </w:tr>
      <w:tr>
        <w:trPr>
          <w:trHeight w:val="252"/>
        </w:trPr>
        <w:tc>
          <w:tcPr>
            <w:tcW w:w="1600" w:type="dxa"/>
            <w:vAlign w:val="bottom"/>
          </w:tcPr>
          <w:p>
            <w:pPr>
              <w:spacing w:after="0"/>
              <w:rPr>
                <w:sz w:val="21"/>
                <w:szCs w:val="21"/>
                <w:color w:val="auto"/>
              </w:rPr>
            </w:pPr>
          </w:p>
        </w:tc>
        <w:tc>
          <w:tcPr>
            <w:tcW w:w="43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64"/>
        </w:trPr>
        <w:tc>
          <w:tcPr>
            <w:tcW w:w="160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278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18.9%</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21.6%</w:t>
            </w:r>
          </w:p>
        </w:tc>
        <w:tc>
          <w:tcPr>
            <w:tcW w:w="2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17.4%</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22.8%</w:t>
            </w:r>
          </w:p>
        </w:tc>
      </w:tr>
      <w:tr>
        <w:trPr>
          <w:trHeight w:val="172"/>
        </w:trPr>
        <w:tc>
          <w:tcPr>
            <w:tcW w:w="1600" w:type="dxa"/>
            <w:vAlign w:val="bottom"/>
          </w:tcPr>
          <w:p>
            <w:pPr>
              <w:spacing w:after="0"/>
              <w:rPr>
                <w:sz w:val="20"/>
                <w:szCs w:val="20"/>
                <w:color w:val="auto"/>
              </w:rPr>
            </w:pPr>
            <w:r>
              <w:rPr>
                <w:rFonts w:ascii="Courier New" w:cs="Courier New" w:eastAsia="Courier New" w:hAnsi="Courier New"/>
                <w:sz w:val="15"/>
                <w:szCs w:val="15"/>
                <w:color w:val="auto"/>
              </w:rPr>
              <w:t>S,G&amp;A</w:t>
            </w:r>
          </w:p>
        </w:tc>
        <w:tc>
          <w:tcPr>
            <w:tcW w:w="278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16.0%</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18.2%</w:t>
            </w:r>
          </w:p>
        </w:tc>
        <w:tc>
          <w:tcPr>
            <w:tcW w:w="2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14.9%</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r>
      <w:tr>
        <w:trPr>
          <w:trHeight w:val="252"/>
        </w:trPr>
        <w:tc>
          <w:tcPr>
            <w:tcW w:w="16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78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2.9%</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w:t>
            </w:r>
          </w:p>
        </w:tc>
        <w:tc>
          <w:tcPr>
            <w:tcW w:w="2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bl>
    <w:p>
      <w:pPr>
        <w:spacing w:after="0" w:line="26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Overall gross margin decreased by 5.4 percentage points from 22.8% in the third quarter of 1999 to 17.4% in the third quarter of 2000. This decrease is due primarily to issues within the Wood Division relating to lumber prices, product mix and production schedules, as discussed in the following segment information. For the nine months ended August 26, 2000, gross margins decreased by 2.7 percentage points from 21.6% in the first nine months of 1999 to 18.9%, a decline of 12.5%. Gross margins were also negatively impacted in the first nine months of 2000 due to lower than expected margins at the new dining table top plant, plus the closing of the Dumas plant in the Upholstery Division in the first quarter. Excluding the effects of the disposal of the bedding division, the LRG joint venture and the costs of the new dining table top plant, gross margins would have been down by only 2.9 percentage points on a quarter to quarter comparison, and down by only 1.5 percentage points for the first nine months of 2000 as compared to the same period in 1999. The Company continually evaluates both its pricing practices and its labor and overhead cost structure in an effort to improve its overall gross margin. Through consolidation of</w:t>
      </w:r>
    </w:p>
    <w:p>
      <w:pPr>
        <w:spacing w:after="0" w:line="10"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5"/>
          <w:szCs w:val="15"/>
          <w:color w:val="auto"/>
        </w:rPr>
        <w:t>the management of four wood plants in the Bassett area, approximately 40 salaried manufacturing positions were eliminated and further hourly position reductions are expected to take place through normal attrition which will directly affect future gross margins. Also, plans have begun for a new centralized distribution center in Martinsville, VA to facilitate complete on-time deliveries and improved customer service.</w:t>
      </w:r>
    </w:p>
    <w:p>
      <w:pPr>
        <w:spacing w:after="0" w:line="80" w:lineRule="exact"/>
        <w:rPr>
          <w:sz w:val="20"/>
          <w:szCs w:val="20"/>
          <w:color w:val="auto"/>
        </w:rPr>
      </w:pPr>
    </w:p>
    <w:p>
      <w:pPr>
        <w:ind w:right="3079"/>
        <w:spacing w:after="0" w:line="278" w:lineRule="auto"/>
        <w:rPr>
          <w:sz w:val="20"/>
          <w:szCs w:val="20"/>
          <w:color w:val="auto"/>
        </w:rPr>
      </w:pPr>
      <w:r>
        <w:rPr>
          <w:rFonts w:ascii="Courier New" w:cs="Courier New" w:eastAsia="Courier New" w:hAnsi="Courier New"/>
          <w:sz w:val="14"/>
          <w:szCs w:val="14"/>
          <w:color w:val="auto"/>
        </w:rPr>
        <w:t>S,G&amp;A expenses decreased in the third quarter from 19.4% in 1999 to 14.9% in 2000. For the nine months ended August 26, 2000, S,G&amp;A expenses were 16.0% versus 18.2% for the nine months ended August 28, 1999, reflecting a decrease of 2.2 percentage points. These decreases were mainly attributable to the retail operations being transferred to the joint venture at the beginning of fiscal 2000. Exclusive of the retail operations, as a percentage of sales, S,G&amp;A experienced a decrease from 16.9% of sales for the first nine months of 1999 to 16% in the first nine months of 2000, due to tighter control over discretionary spending. The Company plans to continue to target its marketing and</w:t>
      </w:r>
    </w:p>
    <w:p>
      <w:pPr>
        <w:sectPr>
          <w:pgSz w:w="11900" w:h="16838" w:orient="portrait"/>
          <w:cols w:equalWidth="0" w:num="1">
            <w:col w:w="10219"/>
          </w:cols>
          <w:pgMar w:left="240" w:top="26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9 of 16</w:t>
      </w:r>
    </w:p>
    <w:p>
      <w:pPr>
        <w:sectPr>
          <w:pgSz w:w="11900" w:h="16838" w:orient="portrait"/>
          <w:cols w:equalWidth="0" w:num="1">
            <w:col w:w="10219"/>
          </w:cols>
          <w:pgMar w:left="240" w:top="263"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18"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PART I-FINANCIAL INFORMATION-CONTINUED</w:t>
      </w:r>
    </w:p>
    <w:p>
      <w:pPr>
        <w:spacing w:after="0" w:line="30"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2"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AUGUST 26, 2000</w:t>
      </w:r>
    </w:p>
    <w:p>
      <w:pPr>
        <w:spacing w:after="0" w:line="146" w:lineRule="exact"/>
        <w:rPr>
          <w:sz w:val="20"/>
          <w:szCs w:val="20"/>
          <w:color w:val="auto"/>
        </w:rPr>
      </w:pPr>
    </w:p>
    <w:p>
      <w:pPr>
        <w:ind w:right="3840"/>
        <w:spacing w:after="0" w:line="359"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(continued)</w:t>
      </w:r>
    </w:p>
    <w:p>
      <w:pPr>
        <w:spacing w:after="0" w:line="8" w:lineRule="exact"/>
        <w:rPr>
          <w:sz w:val="20"/>
          <w:szCs w:val="20"/>
          <w:color w:val="auto"/>
        </w:rPr>
      </w:pPr>
    </w:p>
    <w:p>
      <w:pPr>
        <w:ind w:right="3500"/>
        <w:spacing w:after="0" w:line="307" w:lineRule="auto"/>
        <w:rPr>
          <w:sz w:val="20"/>
          <w:szCs w:val="20"/>
          <w:color w:val="auto"/>
        </w:rPr>
      </w:pPr>
      <w:r>
        <w:rPr>
          <w:rFonts w:ascii="Courier New" w:cs="Courier New" w:eastAsia="Courier New" w:hAnsi="Courier New"/>
          <w:sz w:val="14"/>
          <w:szCs w:val="14"/>
          <w:color w:val="auto"/>
        </w:rPr>
        <w:t>advertising spending to drive future sales growth. Additionally, approximately 20 salaried administrative positions were eliminated in administrative consolidations. Management currently estimates S,G&amp;A spending of approximately 15-16% of wholesale furniture sales over the next three years.</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increased to $4.1 million in the third quarter 2000 from $3.5</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the third quarter 1999 and to $11.8 million for first nine months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from $10.3 million in the first nine months of 1999. The increase in 2000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due primarily to continued strong returns on affiliate investments. A $1.4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gain was recognized in the first quarter of 2000 on the termination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equity index collar and an additional $1.4 million gain was recognized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quarter on the sales of certain affiliate and equity investments. These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were partially offset by both the Company's share of losses in the LRG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joint venture ($3.6 million for the nine months ended August 26, 2000) and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 on outstanding notes payable ($2.4 million for the nine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ended August 26, 2000). Management expects other income will continue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an integral component of the Company's future earnings.</w:t>
      </w:r>
    </w:p>
    <w:p>
      <w:pPr>
        <w:spacing w:after="0" w:line="146" w:lineRule="exact"/>
        <w:rPr>
          <w:sz w:val="20"/>
          <w:szCs w:val="20"/>
          <w:color w:val="auto"/>
        </w:rPr>
      </w:pPr>
    </w:p>
    <w:p>
      <w:pPr>
        <w:ind w:right="3320"/>
        <w:spacing w:after="0" w:line="301" w:lineRule="auto"/>
        <w:rPr>
          <w:sz w:val="20"/>
          <w:szCs w:val="20"/>
          <w:color w:val="auto"/>
        </w:rPr>
      </w:pPr>
      <w:r>
        <w:rPr>
          <w:rFonts w:ascii="Courier New" w:cs="Courier New" w:eastAsia="Courier New" w:hAnsi="Courier New"/>
          <w:sz w:val="15"/>
          <w:szCs w:val="15"/>
          <w:color w:val="auto"/>
        </w:rPr>
        <w:t>The effective tax rate for the quarter and year to date approximated 32%, nearly equal to that of last year, and still lower than the statutory federal income tax rate due to exclusions for tax exempt income.</w:t>
      </w:r>
    </w:p>
    <w:p>
      <w:pPr>
        <w:spacing w:after="0" w:line="49" w:lineRule="exact"/>
        <w:rPr>
          <w:sz w:val="20"/>
          <w:szCs w:val="20"/>
          <w:color w:val="auto"/>
        </w:rPr>
      </w:pPr>
    </w:p>
    <w:p>
      <w:pPr>
        <w:ind w:right="3320"/>
        <w:spacing w:after="0" w:line="255" w:lineRule="auto"/>
        <w:rPr>
          <w:sz w:val="20"/>
          <w:szCs w:val="20"/>
          <w:color w:val="auto"/>
        </w:rPr>
      </w:pPr>
      <w:r>
        <w:rPr>
          <w:rFonts w:ascii="Courier New" w:cs="Courier New" w:eastAsia="Courier New" w:hAnsi="Courier New"/>
          <w:sz w:val="15"/>
          <w:szCs w:val="15"/>
          <w:color w:val="auto"/>
        </w:rPr>
        <w:t>For the quarter and nine months ended August 26, 2000, income before cumulative effect of the accounting change was $4.3 million or $.37 per diluted share and $13.5 million or $1.14 per diluted share, respectively. This reflects a decrease of 2.3% from the third quarter of 1999 and 2.5% from the first nine months of 1999. The effect of the accounting change was $364 after the impact of income taxes or $.03 per diluted share. Net income was $4.3 million or $.37 per diluted share for the quarter and $13.2 million or $1.11 per diluted share for the first nine months of 2000, compared to $4.4 million or $.36 per diluted share for the quarter ended August 28, 1999 and $13.9 million or $1.10 per diluted share for the nine months ended August 28, 1999.</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74" w:lineRule="exact"/>
        <w:rPr>
          <w:sz w:val="20"/>
          <w:szCs w:val="20"/>
          <w:color w:val="auto"/>
        </w:rPr>
      </w:pPr>
    </w:p>
    <w:p>
      <w:pPr>
        <w:ind w:right="4020"/>
        <w:spacing w:after="0" w:line="359" w:lineRule="auto"/>
        <w:rPr>
          <w:sz w:val="20"/>
          <w:szCs w:val="20"/>
          <w:color w:val="auto"/>
        </w:rPr>
      </w:pPr>
      <w:r>
        <w:rPr>
          <w:rFonts w:ascii="Courier New" w:cs="Courier New" w:eastAsia="Courier New" w:hAnsi="Courier New"/>
          <w:sz w:val="15"/>
          <w:szCs w:val="15"/>
          <w:color w:val="auto"/>
        </w:rPr>
        <w:t>The following is a discussion of operating results for each of Bassett's business segments.</w:t>
      </w:r>
    </w:p>
    <w:p>
      <w:pPr>
        <w:spacing w:after="0" w:line="352"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Wood Division</w:t>
            </w:r>
          </w:p>
        </w:tc>
        <w:tc>
          <w:tcPr>
            <w:tcW w:w="580" w:type="dxa"/>
            <w:vAlign w:val="bottom"/>
          </w:tcPr>
          <w:p>
            <w:pPr>
              <w:spacing w:after="0"/>
              <w:rPr>
                <w:sz w:val="14"/>
                <w:szCs w:val="14"/>
                <w:color w:val="auto"/>
              </w:rPr>
            </w:pPr>
          </w:p>
        </w:tc>
        <w:tc>
          <w:tcPr>
            <w:tcW w:w="3700" w:type="dxa"/>
            <w:vAlign w:val="bottom"/>
            <w:gridSpan w:val="3"/>
          </w:tcPr>
          <w:p>
            <w:pPr>
              <w:jc w:val="right"/>
              <w:ind w:right="945"/>
              <w:spacing w:after="0"/>
              <w:rPr>
                <w:sz w:val="20"/>
                <w:szCs w:val="20"/>
                <w:color w:val="auto"/>
              </w:rPr>
            </w:pPr>
            <w:r>
              <w:rPr>
                <w:rFonts w:ascii="Courier New" w:cs="Courier New" w:eastAsia="Courier New" w:hAnsi="Courier New"/>
                <w:sz w:val="15"/>
                <w:szCs w:val="15"/>
                <w:color w:val="auto"/>
              </w:rPr>
              <w:t>For the Nine Months Ended</w:t>
            </w:r>
          </w:p>
        </w:tc>
        <w:tc>
          <w:tcPr>
            <w:tcW w:w="5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Quarter</w:t>
            </w:r>
          </w:p>
        </w:tc>
        <w:tc>
          <w:tcPr>
            <w:tcW w:w="1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w:t>
            </w:r>
          </w:p>
        </w:tc>
        <w:tc>
          <w:tcPr>
            <w:tcW w:w="0" w:type="dxa"/>
            <w:vAlign w:val="bottom"/>
          </w:tcPr>
          <w:p>
            <w:pPr>
              <w:spacing w:after="0"/>
              <w:rPr>
                <w:sz w:val="1"/>
                <w:szCs w:val="1"/>
                <w:color w:val="auto"/>
              </w:rPr>
            </w:pPr>
          </w:p>
        </w:tc>
      </w:tr>
      <w:tr>
        <w:trPr>
          <w:trHeight w:val="172"/>
        </w:trPr>
        <w:tc>
          <w:tcPr>
            <w:tcW w:w="22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August 26, 2000</w:t>
            </w:r>
          </w:p>
        </w:tc>
        <w:tc>
          <w:tcPr>
            <w:tcW w:w="360" w:type="dxa"/>
            <w:vAlign w:val="bottom"/>
          </w:tcPr>
          <w:p>
            <w:pPr>
              <w:spacing w:after="0"/>
              <w:rPr>
                <w:sz w:val="14"/>
                <w:szCs w:val="14"/>
                <w:color w:val="auto"/>
              </w:rPr>
            </w:pPr>
          </w:p>
        </w:tc>
        <w:tc>
          <w:tcPr>
            <w:tcW w:w="17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August 28, 1999</w:t>
            </w:r>
          </w:p>
        </w:tc>
        <w:tc>
          <w:tcPr>
            <w:tcW w:w="500" w:type="dxa"/>
            <w:vAlign w:val="bottom"/>
          </w:tcPr>
          <w:p>
            <w:pPr>
              <w:spacing w:after="0"/>
              <w:rPr>
                <w:sz w:val="14"/>
                <w:szCs w:val="14"/>
                <w:color w:val="auto"/>
              </w:rPr>
            </w:pPr>
          </w:p>
        </w:tc>
        <w:tc>
          <w:tcPr>
            <w:tcW w:w="17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August 26, 2000</w:t>
            </w:r>
          </w:p>
        </w:tc>
        <w:tc>
          <w:tcPr>
            <w:tcW w:w="180" w:type="dxa"/>
            <w:vAlign w:val="bottom"/>
          </w:tcPr>
          <w:p>
            <w:pPr>
              <w:spacing w:after="0"/>
              <w:rPr>
                <w:sz w:val="14"/>
                <w:szCs w:val="14"/>
                <w:color w:val="auto"/>
              </w:rPr>
            </w:pP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August 28, 1999</w:t>
            </w:r>
          </w:p>
        </w:tc>
        <w:tc>
          <w:tcPr>
            <w:tcW w:w="0" w:type="dxa"/>
            <w:vAlign w:val="bottom"/>
          </w:tcPr>
          <w:p>
            <w:pPr>
              <w:spacing w:after="0"/>
              <w:rPr>
                <w:sz w:val="1"/>
                <w:szCs w:val="1"/>
                <w:color w:val="auto"/>
              </w:rPr>
            </w:pPr>
          </w:p>
        </w:tc>
      </w:tr>
      <w:tr>
        <w:trPr>
          <w:trHeight w:val="252"/>
        </w:trPr>
        <w:tc>
          <w:tcPr>
            <w:tcW w:w="2200" w:type="dxa"/>
            <w:vAlign w:val="bottom"/>
          </w:tcPr>
          <w:p>
            <w:pPr>
              <w:spacing w:after="0"/>
              <w:rPr>
                <w:sz w:val="21"/>
                <w:szCs w:val="21"/>
                <w:color w:val="auto"/>
              </w:rPr>
            </w:pPr>
          </w:p>
        </w:tc>
        <w:tc>
          <w:tcPr>
            <w:tcW w:w="2140" w:type="dxa"/>
            <w:vAlign w:val="bottom"/>
            <w:gridSpan w:val="2"/>
          </w:tcPr>
          <w:p>
            <w:pPr>
              <w:ind w:left="480"/>
              <w:spacing w:after="0"/>
              <w:rPr>
                <w:sz w:val="20"/>
                <w:szCs w:val="20"/>
                <w:color w:val="auto"/>
              </w:rPr>
            </w:pPr>
            <w:r>
              <w:rPr>
                <w:rFonts w:ascii="Courier New" w:cs="Courier New" w:eastAsia="Courier New" w:hAnsi="Courier New"/>
                <w:sz w:val="10"/>
                <w:szCs w:val="10"/>
                <w:color w:val="auto"/>
                <w:w w:val="70"/>
              </w:rPr>
              <w:t>---------------------------------------</w:t>
            </w: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4"/>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195,353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189,773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62,551</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60,924</w:t>
            </w:r>
          </w:p>
        </w:tc>
        <w:tc>
          <w:tcPr>
            <w:tcW w:w="0" w:type="dxa"/>
            <w:vAlign w:val="bottom"/>
          </w:tcPr>
          <w:p>
            <w:pPr>
              <w:spacing w:after="0"/>
              <w:rPr>
                <w:sz w:val="1"/>
                <w:szCs w:val="1"/>
                <w:color w:val="auto"/>
              </w:rPr>
            </w:pPr>
          </w:p>
        </w:tc>
      </w:tr>
      <w:tr>
        <w:trPr>
          <w:trHeight w:val="172"/>
        </w:trPr>
        <w:tc>
          <w:tcPr>
            <w:tcW w:w="2200" w:type="dxa"/>
            <w:vAlign w:val="bottom"/>
          </w:tcPr>
          <w:p>
            <w:pPr>
              <w:spacing w:after="0"/>
              <w:rPr>
                <w:sz w:val="20"/>
                <w:szCs w:val="20"/>
                <w:color w:val="auto"/>
              </w:rPr>
            </w:pPr>
            <w:r>
              <w:rPr>
                <w:rFonts w:ascii="Courier New" w:cs="Courier New" w:eastAsia="Courier New" w:hAnsi="Courier New"/>
                <w:sz w:val="15"/>
                <w:szCs w:val="15"/>
                <w:color w:val="auto"/>
              </w:rPr>
              <w:t>Contribution to</w:t>
            </w:r>
          </w:p>
        </w:tc>
        <w:tc>
          <w:tcPr>
            <w:tcW w:w="580" w:type="dxa"/>
            <w:vAlign w:val="bottom"/>
            <w:vMerge w:val="restart"/>
          </w:tcPr>
          <w:p>
            <w:pPr>
              <w:ind w:left="480"/>
              <w:spacing w:after="0"/>
              <w:rPr>
                <w:sz w:val="20"/>
                <w:szCs w:val="20"/>
                <w:color w:val="auto"/>
              </w:rPr>
            </w:pPr>
            <w:r>
              <w:rPr>
                <w:rFonts w:ascii="Courier New" w:cs="Courier New" w:eastAsia="Courier New" w:hAnsi="Courier New"/>
                <w:sz w:val="15"/>
                <w:szCs w:val="15"/>
                <w:color w:val="auto"/>
                <w:w w:val="88"/>
              </w:rPr>
              <w:t>$</w:t>
            </w:r>
          </w:p>
        </w:tc>
        <w:tc>
          <w:tcPr>
            <w:tcW w:w="15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28,226</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78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33,344</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7,482</w:t>
            </w:r>
          </w:p>
        </w:tc>
        <w:tc>
          <w:tcPr>
            <w:tcW w:w="1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14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10,544</w:t>
            </w:r>
          </w:p>
        </w:tc>
        <w:tc>
          <w:tcPr>
            <w:tcW w:w="0" w:type="dxa"/>
            <w:vAlign w:val="bottom"/>
          </w:tcPr>
          <w:p>
            <w:pPr>
              <w:spacing w:after="0"/>
              <w:rPr>
                <w:sz w:val="1"/>
                <w:szCs w:val="1"/>
                <w:color w:val="auto"/>
              </w:rPr>
            </w:pPr>
          </w:p>
        </w:tc>
      </w:tr>
      <w:tr>
        <w:trPr>
          <w:trHeight w:val="252"/>
        </w:trPr>
        <w:tc>
          <w:tcPr>
            <w:tcW w:w="2200" w:type="dxa"/>
            <w:vAlign w:val="bottom"/>
          </w:tcPr>
          <w:p>
            <w:pPr>
              <w:spacing w:after="0"/>
              <w:rPr>
                <w:sz w:val="20"/>
                <w:szCs w:val="20"/>
                <w:color w:val="auto"/>
              </w:rPr>
            </w:pPr>
            <w:r>
              <w:rPr>
                <w:rFonts w:ascii="Courier New" w:cs="Courier New" w:eastAsia="Courier New" w:hAnsi="Courier New"/>
                <w:sz w:val="15"/>
                <w:szCs w:val="15"/>
                <w:color w:val="auto"/>
              </w:rPr>
              <w:t>profit and overhead</w:t>
            </w:r>
          </w:p>
        </w:tc>
        <w:tc>
          <w:tcPr>
            <w:tcW w:w="580" w:type="dxa"/>
            <w:vAlign w:val="bottom"/>
            <w:vMerge w:val="continue"/>
          </w:tcPr>
          <w:p>
            <w:pPr>
              <w:spacing w:after="0"/>
              <w:rPr>
                <w:sz w:val="21"/>
                <w:szCs w:val="21"/>
                <w:color w:val="auto"/>
              </w:rPr>
            </w:pPr>
          </w:p>
        </w:tc>
        <w:tc>
          <w:tcPr>
            <w:tcW w:w="1560" w:type="dxa"/>
            <w:vAlign w:val="bottom"/>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1780" w:type="dxa"/>
            <w:vAlign w:val="bottom"/>
            <w:vMerge w:val="continue"/>
          </w:tcPr>
          <w:p>
            <w:pPr>
              <w:spacing w:after="0"/>
              <w:rPr>
                <w:sz w:val="21"/>
                <w:szCs w:val="21"/>
                <w:color w:val="auto"/>
              </w:rPr>
            </w:pPr>
          </w:p>
        </w:tc>
        <w:tc>
          <w:tcPr>
            <w:tcW w:w="500" w:type="dxa"/>
            <w:vAlign w:val="bottom"/>
            <w:vMerge w:val="continue"/>
          </w:tcPr>
          <w:p>
            <w:pPr>
              <w:spacing w:after="0"/>
              <w:rPr>
                <w:sz w:val="21"/>
                <w:szCs w:val="21"/>
                <w:color w:val="auto"/>
              </w:rPr>
            </w:pPr>
          </w:p>
        </w:tc>
        <w:tc>
          <w:tcPr>
            <w:tcW w:w="174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320"/>
        <w:spacing w:after="0" w:line="281" w:lineRule="auto"/>
        <w:rPr>
          <w:sz w:val="20"/>
          <w:szCs w:val="20"/>
          <w:color w:val="auto"/>
        </w:rPr>
      </w:pPr>
      <w:r>
        <w:rPr>
          <w:rFonts w:ascii="Courier New" w:cs="Courier New" w:eastAsia="Courier New" w:hAnsi="Courier New"/>
          <w:sz w:val="15"/>
          <w:szCs w:val="15"/>
          <w:color w:val="auto"/>
        </w:rPr>
        <w:t>Wood Division net sales increased by 2.7% in the third quarter 2000 and 2.9% in the first nine months of 2000 due to the increased number of BFD stores. Sales growth should be bolstered in the fourth quarter, as the Company expects to open four additional BFD stores and eleven At Home with Bassett galleries.</w:t>
      </w:r>
    </w:p>
    <w:p>
      <w:pPr>
        <w:spacing w:after="0" w:line="64" w:lineRule="exact"/>
        <w:rPr>
          <w:sz w:val="20"/>
          <w:szCs w:val="20"/>
          <w:color w:val="auto"/>
        </w:rPr>
      </w:pPr>
    </w:p>
    <w:p>
      <w:pPr>
        <w:ind w:right="3320"/>
        <w:spacing w:after="0" w:line="253" w:lineRule="auto"/>
        <w:rPr>
          <w:sz w:val="20"/>
          <w:szCs w:val="20"/>
          <w:color w:val="auto"/>
        </w:rPr>
      </w:pPr>
      <w:r>
        <w:rPr>
          <w:rFonts w:ascii="Courier New" w:cs="Courier New" w:eastAsia="Courier New" w:hAnsi="Courier New"/>
          <w:sz w:val="15"/>
          <w:szCs w:val="15"/>
          <w:color w:val="auto"/>
        </w:rPr>
        <w:t>Contribution to profit and overhead is defined by the Company as gross profit less direct divisional operating expenses but excluding any allocation of corporate overhead expenses, interest expense, or income taxes. For the Wood Division, contribution to profit and overhead decreased from 17.3% of sales in the third quarter of 1999 to 12% of sales in the third quarter of 2000, and from 17.6% to 14.4% for the nine months ended August 26, 2000. Several factors contributed to the margin decline. Lumber prices increased by approximately 25% on certain species in the first six months of 2000; however, lumber prices have softened going into the second half of the year. Due to a build up of working capital in the first half of the year, the Company initiated an Inventory Reduction Program in the third quarter, which resulted in a higher percentage of closeout sales and reduced production schedules.</w:t>
      </w:r>
    </w:p>
    <w:p>
      <w:pPr>
        <w:spacing w:after="0" w:line="259"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PART I-FINANCIAL INFORMATION-CONTINUED</w:t>
      </w:r>
    </w:p>
    <w:p>
      <w:pPr>
        <w:spacing w:after="0" w:line="30"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BASSETT FURNITURE INDUSTRIES INC. AND SUBSIDIARIES</w:t>
      </w:r>
    </w:p>
    <w:p>
      <w:pPr>
        <w:sectPr>
          <w:pgSz w:w="11900" w:h="16838" w:orient="portrait"/>
          <w:cols w:equalWidth="0" w:num="1">
            <w:col w:w="10460"/>
          </w:cols>
          <w:pgMar w:left="240" w:top="263" w:right="1199" w:bottom="1440" w:gutter="0" w:footer="0" w:header="0"/>
        </w:sect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 of 16</w:t>
      </w:r>
    </w:p>
    <w:p>
      <w:pPr>
        <w:sectPr>
          <w:pgSz w:w="11900" w:h="16838" w:orient="portrait"/>
          <w:cols w:equalWidth="0" w:num="1">
            <w:col w:w="10460"/>
          </w:cols>
          <w:pgMar w:left="240" w:top="263" w:right="1199"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AUGUST 26, 2000</w:t>
      </w:r>
    </w:p>
    <w:p>
      <w:pPr>
        <w:spacing w:after="0" w:line="174" w:lineRule="exact"/>
        <w:rPr>
          <w:sz w:val="20"/>
          <w:szCs w:val="20"/>
          <w:color w:val="auto"/>
        </w:rPr>
      </w:pPr>
    </w:p>
    <w:p>
      <w:pPr>
        <w:ind w:right="4380"/>
        <w:spacing w:after="0" w:line="359"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(continued)</w:t>
      </w:r>
    </w:p>
    <w:p>
      <w:pPr>
        <w:spacing w:after="0" w:line="8" w:lineRule="exact"/>
        <w:rPr>
          <w:sz w:val="20"/>
          <w:szCs w:val="20"/>
          <w:color w:val="auto"/>
        </w:rPr>
      </w:pPr>
    </w:p>
    <w:p>
      <w:pPr>
        <w:ind w:right="3940"/>
        <w:spacing w:after="0" w:line="281" w:lineRule="auto"/>
        <w:rPr>
          <w:sz w:val="20"/>
          <w:szCs w:val="20"/>
          <w:color w:val="auto"/>
        </w:rPr>
      </w:pPr>
      <w:r>
        <w:rPr>
          <w:rFonts w:ascii="Courier New" w:cs="Courier New" w:eastAsia="Courier New" w:hAnsi="Courier New"/>
          <w:sz w:val="15"/>
          <w:szCs w:val="15"/>
          <w:color w:val="auto"/>
        </w:rPr>
        <w:t>These reduced production schedules resulted in inefficiencies and excess overhead capacities which significantly impacted margins for the quarter and have led to the cost reduction actions previously discussed which were taken in September of 2000.</w:t>
      </w:r>
    </w:p>
    <w:p>
      <w:pPr>
        <w:spacing w:after="0" w:line="64" w:lineRule="exact"/>
        <w:rPr>
          <w:sz w:val="20"/>
          <w:szCs w:val="20"/>
          <w:color w:val="auto"/>
        </w:rPr>
      </w:pPr>
    </w:p>
    <w:p>
      <w:pPr>
        <w:ind w:right="3860"/>
        <w:spacing w:after="0" w:line="272" w:lineRule="auto"/>
        <w:rPr>
          <w:sz w:val="20"/>
          <w:szCs w:val="20"/>
          <w:color w:val="auto"/>
        </w:rPr>
      </w:pPr>
      <w:r>
        <w:rPr>
          <w:rFonts w:ascii="Courier New" w:cs="Courier New" w:eastAsia="Courier New" w:hAnsi="Courier New"/>
          <w:sz w:val="15"/>
          <w:szCs w:val="15"/>
          <w:color w:val="auto"/>
        </w:rPr>
        <w:t>Sales of the Company's import products nearly doubled from the first nine months of 1999 to the first nine months of 2000, favorably impacting sales and profitability for the Wood Division. In addition, there were approximately $0.9 million of losses related under utilization of the Company's new Dining Table Top plant located in Martinsville, Virginia.</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60" w:type="dxa"/>
            <w:vAlign w:val="bottom"/>
            <w:vMerge w:val="restart"/>
          </w:tcPr>
          <w:p>
            <w:pPr>
              <w:spacing w:after="0"/>
              <w:rPr>
                <w:sz w:val="20"/>
                <w:szCs w:val="20"/>
                <w:color w:val="auto"/>
              </w:rPr>
            </w:pPr>
            <w:r>
              <w:rPr>
                <w:rFonts w:ascii="Courier New" w:cs="Courier New" w:eastAsia="Courier New" w:hAnsi="Courier New"/>
                <w:sz w:val="15"/>
                <w:szCs w:val="15"/>
                <w:color w:val="auto"/>
              </w:rPr>
              <w:t>Upholstery Division</w:t>
            </w:r>
          </w:p>
        </w:tc>
        <w:tc>
          <w:tcPr>
            <w:tcW w:w="500" w:type="dxa"/>
            <w:vAlign w:val="bottom"/>
          </w:tcPr>
          <w:p>
            <w:pPr>
              <w:spacing w:after="0"/>
              <w:rPr>
                <w:sz w:val="14"/>
                <w:szCs w:val="14"/>
                <w:color w:val="auto"/>
              </w:rPr>
            </w:pPr>
          </w:p>
        </w:tc>
        <w:tc>
          <w:tcPr>
            <w:tcW w:w="3980" w:type="dxa"/>
            <w:vAlign w:val="bottom"/>
            <w:gridSpan w:val="3"/>
          </w:tcPr>
          <w:p>
            <w:pPr>
              <w:jc w:val="center"/>
              <w:ind w:right="65"/>
              <w:spacing w:after="0"/>
              <w:rPr>
                <w:sz w:val="20"/>
                <w:szCs w:val="20"/>
                <w:color w:val="auto"/>
              </w:rPr>
            </w:pPr>
            <w:r>
              <w:rPr>
                <w:rFonts w:ascii="Courier New" w:cs="Courier New" w:eastAsia="Courier New" w:hAnsi="Courier New"/>
                <w:sz w:val="15"/>
                <w:szCs w:val="15"/>
                <w:color w:val="auto"/>
                <w:w w:val="99"/>
              </w:rPr>
              <w:t>For the Nine Months Ended</w:t>
            </w:r>
          </w:p>
        </w:tc>
        <w:tc>
          <w:tcPr>
            <w:tcW w:w="580" w:type="dxa"/>
            <w:vAlign w:val="bottom"/>
          </w:tcPr>
          <w:p>
            <w:pPr>
              <w:spacing w:after="0"/>
              <w:rPr>
                <w:sz w:val="14"/>
                <w:szCs w:val="14"/>
                <w:color w:val="auto"/>
              </w:rPr>
            </w:pPr>
          </w:p>
        </w:tc>
        <w:tc>
          <w:tcPr>
            <w:tcW w:w="3580" w:type="dxa"/>
            <w:vAlign w:val="bottom"/>
            <w:gridSpan w:val="3"/>
          </w:tcPr>
          <w:p>
            <w:pPr>
              <w:jc w:val="right"/>
              <w:ind w:right="1265"/>
              <w:spacing w:after="0"/>
              <w:rPr>
                <w:sz w:val="20"/>
                <w:szCs w:val="20"/>
                <w:color w:val="auto"/>
              </w:rPr>
            </w:pPr>
            <w:r>
              <w:rPr>
                <w:rFonts w:ascii="Courier New" w:cs="Courier New" w:eastAsia="Courier New" w:hAnsi="Courier New"/>
                <w:sz w:val="15"/>
                <w:szCs w:val="15"/>
                <w:color w:val="auto"/>
              </w:rPr>
              <w:t>Quarter Ended</w:t>
            </w:r>
          </w:p>
        </w:tc>
        <w:tc>
          <w:tcPr>
            <w:tcW w:w="0" w:type="dxa"/>
            <w:vAlign w:val="bottom"/>
          </w:tcPr>
          <w:p>
            <w:pPr>
              <w:spacing w:after="0"/>
              <w:rPr>
                <w:sz w:val="1"/>
                <w:szCs w:val="1"/>
                <w:color w:val="auto"/>
              </w:rPr>
            </w:pPr>
          </w:p>
        </w:tc>
      </w:tr>
      <w:tr>
        <w:trPr>
          <w:trHeight w:val="172"/>
        </w:trPr>
        <w:tc>
          <w:tcPr>
            <w:tcW w:w="23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August 26, 2000</w:t>
            </w:r>
          </w:p>
        </w:tc>
        <w:tc>
          <w:tcPr>
            <w:tcW w:w="400" w:type="dxa"/>
            <w:vAlign w:val="bottom"/>
          </w:tcPr>
          <w:p>
            <w:pPr>
              <w:spacing w:after="0"/>
              <w:rPr>
                <w:sz w:val="14"/>
                <w:szCs w:val="14"/>
                <w:color w:val="auto"/>
              </w:rPr>
            </w:pPr>
          </w:p>
        </w:tc>
        <w:tc>
          <w:tcPr>
            <w:tcW w:w="19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August 28, 1999</w:t>
            </w:r>
          </w:p>
        </w:tc>
        <w:tc>
          <w:tcPr>
            <w:tcW w:w="580" w:type="dxa"/>
            <w:vAlign w:val="bottom"/>
          </w:tcPr>
          <w:p>
            <w:pPr>
              <w:spacing w:after="0"/>
              <w:rPr>
                <w:sz w:val="14"/>
                <w:szCs w:val="14"/>
                <w:color w:val="auto"/>
              </w:rPr>
            </w:pP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August 26, 2000</w:t>
            </w:r>
          </w:p>
        </w:tc>
        <w:tc>
          <w:tcPr>
            <w:tcW w:w="440" w:type="dxa"/>
            <w:vAlign w:val="bottom"/>
          </w:tcPr>
          <w:p>
            <w:pPr>
              <w:spacing w:after="0"/>
              <w:rPr>
                <w:sz w:val="14"/>
                <w:szCs w:val="14"/>
                <w:color w:val="auto"/>
              </w:rPr>
            </w:pP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August 28, 1999</w:t>
            </w: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4480" w:type="dxa"/>
            <w:vAlign w:val="bottom"/>
            <w:gridSpan w:val="4"/>
          </w:tcPr>
          <w:p>
            <w:pPr>
              <w:ind w:left="400"/>
              <w:spacing w:after="0"/>
              <w:rPr>
                <w:sz w:val="20"/>
                <w:szCs w:val="20"/>
                <w:color w:val="auto"/>
              </w:rPr>
            </w:pPr>
            <w:r>
              <w:rPr>
                <w:rFonts w:ascii="Courier New" w:cs="Courier New" w:eastAsia="Courier New" w:hAnsi="Courier New"/>
                <w:sz w:val="15"/>
                <w:szCs w:val="15"/>
                <w:color w:val="auto"/>
              </w:rPr>
              <w:t>----------------------------------------</w:t>
            </w:r>
          </w:p>
        </w:tc>
        <w:tc>
          <w:tcPr>
            <w:tcW w:w="4160" w:type="dxa"/>
            <w:vAlign w:val="bottom"/>
            <w:gridSpan w:val="4"/>
          </w:tcPr>
          <w:p>
            <w:pPr>
              <w:ind w:left="48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4"/>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73,607</w:t>
            </w:r>
          </w:p>
        </w:tc>
        <w:tc>
          <w:tcPr>
            <w:tcW w:w="40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88"/>
              </w:rPr>
              <w:t>$</w:t>
            </w:r>
          </w:p>
        </w:tc>
        <w:tc>
          <w:tcPr>
            <w:tcW w:w="19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77,655</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25,609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22,535</w:t>
            </w:r>
          </w:p>
        </w:tc>
        <w:tc>
          <w:tcPr>
            <w:tcW w:w="0" w:type="dxa"/>
            <w:vAlign w:val="bottom"/>
          </w:tcPr>
          <w:p>
            <w:pPr>
              <w:spacing w:after="0"/>
              <w:rPr>
                <w:sz w:val="1"/>
                <w:szCs w:val="1"/>
                <w:color w:val="auto"/>
              </w:rPr>
            </w:pP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Contribution to profit</w:t>
            </w:r>
          </w:p>
        </w:tc>
        <w:tc>
          <w:tcPr>
            <w:tcW w:w="5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88"/>
              </w:rPr>
              <w:t>$</w:t>
            </w:r>
          </w:p>
        </w:tc>
        <w:tc>
          <w:tcPr>
            <w:tcW w:w="160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6,508</w:t>
            </w:r>
          </w:p>
        </w:tc>
        <w:tc>
          <w:tcPr>
            <w:tcW w:w="400" w:type="dxa"/>
            <w:vAlign w:val="bottom"/>
            <w:vMerge w:val="restart"/>
          </w:tcPr>
          <w:p>
            <w:pPr>
              <w:jc w:val="center"/>
              <w:ind w:left="165"/>
              <w:spacing w:after="0"/>
              <w:rPr>
                <w:sz w:val="20"/>
                <w:szCs w:val="20"/>
                <w:color w:val="auto"/>
              </w:rPr>
            </w:pPr>
            <w:r>
              <w:rPr>
                <w:rFonts w:ascii="Courier New" w:cs="Courier New" w:eastAsia="Courier New" w:hAnsi="Courier New"/>
                <w:sz w:val="15"/>
                <w:szCs w:val="15"/>
                <w:color w:val="auto"/>
                <w:w w:val="88"/>
              </w:rPr>
              <w:t>$</w:t>
            </w:r>
          </w:p>
        </w:tc>
        <w:tc>
          <w:tcPr>
            <w:tcW w:w="1980" w:type="dxa"/>
            <w:vAlign w:val="bottom"/>
            <w:vMerge w:val="restart"/>
          </w:tcPr>
          <w:p>
            <w:pPr>
              <w:jc w:val="right"/>
              <w:ind w:right="505"/>
              <w:spacing w:after="0"/>
              <w:rPr>
                <w:sz w:val="20"/>
                <w:szCs w:val="20"/>
                <w:color w:val="auto"/>
              </w:rPr>
            </w:pPr>
            <w:r>
              <w:rPr>
                <w:rFonts w:ascii="Courier New" w:cs="Courier New" w:eastAsia="Courier New" w:hAnsi="Courier New"/>
                <w:sz w:val="15"/>
                <w:szCs w:val="15"/>
                <w:color w:val="auto"/>
              </w:rPr>
              <w:t>6,739</w:t>
            </w:r>
          </w:p>
        </w:tc>
        <w:tc>
          <w:tcPr>
            <w:tcW w:w="580" w:type="dxa"/>
            <w:vAlign w:val="bottom"/>
            <w:vMerge w:val="restart"/>
          </w:tcPr>
          <w:p>
            <w:pPr>
              <w:ind w:left="480"/>
              <w:spacing w:after="0"/>
              <w:rPr>
                <w:sz w:val="20"/>
                <w:szCs w:val="20"/>
                <w:color w:val="auto"/>
              </w:rPr>
            </w:pPr>
            <w:r>
              <w:rPr>
                <w:rFonts w:ascii="Courier New" w:cs="Courier New" w:eastAsia="Courier New" w:hAnsi="Courier New"/>
                <w:sz w:val="15"/>
                <w:szCs w:val="15"/>
                <w:color w:val="auto"/>
                <w:w w:val="88"/>
              </w:rPr>
              <w:t>$</w:t>
            </w:r>
          </w:p>
        </w:tc>
        <w:tc>
          <w:tcPr>
            <w:tcW w:w="16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2,224</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1,752</w:t>
            </w: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0"/>
                <w:szCs w:val="20"/>
                <w:color w:val="auto"/>
              </w:rPr>
            </w:pPr>
            <w:r>
              <w:rPr>
                <w:rFonts w:ascii="Courier New" w:cs="Courier New" w:eastAsia="Courier New" w:hAnsi="Courier New"/>
                <w:sz w:val="15"/>
                <w:szCs w:val="15"/>
                <w:color w:val="auto"/>
              </w:rPr>
              <w:t>and overhead</w:t>
            </w:r>
          </w:p>
        </w:tc>
        <w:tc>
          <w:tcPr>
            <w:tcW w:w="500" w:type="dxa"/>
            <w:vAlign w:val="bottom"/>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400" w:type="dxa"/>
            <w:vAlign w:val="bottom"/>
            <w:vMerge w:val="continue"/>
          </w:tcPr>
          <w:p>
            <w:pPr>
              <w:spacing w:after="0"/>
              <w:rPr>
                <w:sz w:val="21"/>
                <w:szCs w:val="21"/>
                <w:color w:val="auto"/>
              </w:rPr>
            </w:pPr>
          </w:p>
        </w:tc>
        <w:tc>
          <w:tcPr>
            <w:tcW w:w="198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166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for the Upholstery Division have increased quarter to quarter by</w:t>
      </w:r>
    </w:p>
    <w:p>
      <w:pPr>
        <w:spacing w:after="0" w:line="30" w:lineRule="exact"/>
        <w:rPr>
          <w:sz w:val="20"/>
          <w:szCs w:val="20"/>
          <w:color w:val="auto"/>
        </w:rPr>
      </w:pPr>
    </w:p>
    <w:p>
      <w:pPr>
        <w:ind w:right="3860"/>
        <w:spacing w:after="0" w:line="253" w:lineRule="auto"/>
        <w:rPr>
          <w:sz w:val="20"/>
          <w:szCs w:val="20"/>
          <w:color w:val="auto"/>
        </w:rPr>
      </w:pPr>
      <w:r>
        <w:rPr>
          <w:rFonts w:ascii="Courier New" w:cs="Courier New" w:eastAsia="Courier New" w:hAnsi="Courier New"/>
          <w:sz w:val="15"/>
          <w:szCs w:val="15"/>
          <w:color w:val="auto"/>
        </w:rPr>
        <w:t>13.6%, but decreased from the first nine months of 1999 to the first nine months of 2000 by 5.2%. The Company continues its repositioning of this segment and refinement of product offerings. Certain key large accounts experienced sales declines for the first half of 2000 compared to 1999. The Company has hired a new merchandising team in the Upholstery Division to reverse this trend and continue the product line repositioning. The Company is focusing this segment on its BFD stores (opening four in fourth quarter 2000), its At Home with Bassett galleries, and several of its major customers.</w:t>
      </w:r>
    </w:p>
    <w:p>
      <w:pPr>
        <w:spacing w:after="0" w:line="87" w:lineRule="exact"/>
        <w:rPr>
          <w:sz w:val="20"/>
          <w:szCs w:val="20"/>
          <w:color w:val="auto"/>
        </w:rPr>
      </w:pPr>
    </w:p>
    <w:p>
      <w:pPr>
        <w:ind w:right="4040"/>
        <w:spacing w:after="0" w:line="262" w:lineRule="auto"/>
        <w:rPr>
          <w:sz w:val="20"/>
          <w:szCs w:val="20"/>
          <w:color w:val="auto"/>
        </w:rPr>
      </w:pPr>
      <w:r>
        <w:rPr>
          <w:rFonts w:ascii="Courier New" w:cs="Courier New" w:eastAsia="Courier New" w:hAnsi="Courier New"/>
          <w:sz w:val="15"/>
          <w:szCs w:val="15"/>
          <w:color w:val="auto"/>
        </w:rPr>
        <w:t>Contribution to profit and overhead for the Upholstery Division has grown from 7.8% of sales in the third quarter of 1999 to 8.7% of sales in 2000. This increase is a result of several operational initiatives put into place in an effort to improve results, including closing the Dumas plant. For the nine months ended August 26, 2000, the division's contribution percentage has increased slightly from 8.7% of sales in the first nine months of 1999 to 8.8% in the first nine months of 2000.</w:t>
      </w:r>
    </w:p>
    <w:p>
      <w:pPr>
        <w:spacing w:after="0" w:line="78" w:lineRule="exact"/>
        <w:rPr>
          <w:sz w:val="20"/>
          <w:szCs w:val="20"/>
          <w:color w:val="auto"/>
        </w:rPr>
      </w:pPr>
    </w:p>
    <w:p>
      <w:pPr>
        <w:jc w:val="both"/>
        <w:ind w:right="3860"/>
        <w:spacing w:after="0" w:line="288" w:lineRule="auto"/>
        <w:rPr>
          <w:sz w:val="20"/>
          <w:szCs w:val="20"/>
          <w:color w:val="auto"/>
        </w:rPr>
      </w:pPr>
      <w:r>
        <w:rPr>
          <w:rFonts w:ascii="Courier New" w:cs="Courier New" w:eastAsia="Courier New" w:hAnsi="Courier New"/>
          <w:sz w:val="14"/>
          <w:szCs w:val="14"/>
          <w:color w:val="auto"/>
        </w:rPr>
        <w:t>In the first quarter of 2000, the Company merged its eight BFD stores and formed a new joint venture known as the Ladin Retail Group (LRG). Bassett retains a 51% ownership of the joint venture but does not retain control of the joint venture and accordingly the joint venture has been accounted for under the equity method of accounting. The results of LRG's operations for the periods ended August 26, 2000 have been included as a component of other income.</w:t>
      </w:r>
    </w:p>
    <w:p>
      <w:pPr>
        <w:spacing w:after="0" w:line="62" w:lineRule="exact"/>
        <w:rPr>
          <w:sz w:val="20"/>
          <w:szCs w:val="20"/>
          <w:color w:val="auto"/>
        </w:rPr>
      </w:pPr>
    </w:p>
    <w:p>
      <w:pPr>
        <w:ind w:right="3860"/>
        <w:spacing w:after="0" w:line="272" w:lineRule="auto"/>
        <w:rPr>
          <w:sz w:val="20"/>
          <w:szCs w:val="20"/>
          <w:color w:val="auto"/>
        </w:rPr>
      </w:pPr>
      <w:r>
        <w:rPr>
          <w:rFonts w:ascii="Courier New" w:cs="Courier New" w:eastAsia="Courier New" w:hAnsi="Courier New"/>
          <w:sz w:val="15"/>
          <w:szCs w:val="15"/>
          <w:color w:val="auto"/>
        </w:rPr>
        <w:t>The changes in "Other" operations from the periods ended August 28, 1999, to the periods ended August 26,2000, detailed in Note J to the Condensed Consolidated Financial Statements reflect the elimination of discontinued operations, the sale of the Bedding Division, and the increase in corporate related marketing and support structure spending.</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860"/>
        <w:spacing w:after="0" w:line="253" w:lineRule="auto"/>
        <w:rPr>
          <w:sz w:val="20"/>
          <w:szCs w:val="20"/>
          <w:color w:val="auto"/>
        </w:rPr>
      </w:pPr>
      <w:r>
        <w:rPr>
          <w:rFonts w:ascii="Courier New" w:cs="Courier New" w:eastAsia="Courier New" w:hAnsi="Courier New"/>
          <w:sz w:val="15"/>
          <w:szCs w:val="15"/>
          <w:color w:val="auto"/>
        </w:rPr>
        <w:t>Cash used in operating activities was $11.9 million for the first nine months of 2000 compared to net cash provided of $10.9 million for the same period in 1999. The increase in net cash used was attributable primarily to significantly increased levels of inventory and accounts receivable. Although inventory levels decreased by nearly $6 million for the third quarter 2000, overall inventories have still increased for the year due in part to improve service and as a result of the increase in lumber prices, but primarily from a significant shortfall in actual versus planned sales for the first nine months of the year. While accounts receivable have remained flat for the quarter, in the first nine months of 2000, accounts receivable have increased due to the shift in the Company's sales distribution (towards BFD's), as well as repercussions from the slow payment of certain significant customers.</w:t>
      </w:r>
    </w:p>
    <w:p>
      <w:pPr>
        <w:spacing w:after="0" w:line="87"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5"/>
          <w:szCs w:val="15"/>
          <w:color w:val="auto"/>
        </w:rPr>
        <w:t>PART I-FINANCIAL INFORMATION-CONTINUED</w:t>
      </w:r>
    </w:p>
    <w:p>
      <w:pPr>
        <w:spacing w:after="0" w:line="30"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2"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AUGUST 26, 2000</w:t>
      </w:r>
    </w:p>
    <w:p>
      <w:pPr>
        <w:sectPr>
          <w:pgSz w:w="11900" w:h="16838" w:orient="portrait"/>
          <w:cols w:equalWidth="0" w:num="1">
            <w:col w:w="11000"/>
          </w:cols>
          <w:pgMar w:left="240" w:top="263" w:right="65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11 of 16</w:t>
      </w:r>
    </w:p>
    <w:p>
      <w:pPr>
        <w:sectPr>
          <w:pgSz w:w="11900" w:h="16838" w:orient="portrait"/>
          <w:cols w:equalWidth="0" w:num="1">
            <w:col w:w="11000"/>
          </w:cols>
          <w:pgMar w:left="240" w:top="263" w:right="659"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right="3599"/>
        <w:spacing w:after="0" w:line="359"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(continued)</w:t>
      </w:r>
    </w:p>
    <w:p>
      <w:pPr>
        <w:spacing w:after="0" w:line="8"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5"/>
          <w:szCs w:val="15"/>
          <w:color w:val="auto"/>
        </w:rPr>
        <w:t>The Company invested $16.2 million for the nine months ended August 26, 2000, for real estate, manufacturing equipment to improve productivity, and new enterprise-wide information systems, as compared to $38.2 million for the nine months ended August 28, 1999. This decrease of $22 million is due to less real estate expenditures versus 1999, plus the new dining table top plant which is included in 1999. In the first quarter of 2000, cash of $4.2 million was invested into the new joint venture with LRG. To generate additional cash for the quarter, the Company sold $1.7 million of certain affiliate investments, received $2 million in dividends from affiliated companies and sold equity securities totaling $2.5 million. Year-to-date equity security sales total $4.8 million in fiscal 2000 compared to $37.8 million for the nine months ended August 28, 1999, reflecting management's decision to finance its growth plans with external borrowings.</w:t>
      </w:r>
    </w:p>
    <w:p>
      <w:pPr>
        <w:spacing w:after="0" w:line="89" w:lineRule="exact"/>
        <w:rPr>
          <w:sz w:val="20"/>
          <w:szCs w:val="20"/>
          <w:color w:val="auto"/>
        </w:rPr>
      </w:pPr>
    </w:p>
    <w:p>
      <w:pPr>
        <w:ind w:right="3079"/>
        <w:spacing w:after="0" w:line="274" w:lineRule="auto"/>
        <w:rPr>
          <w:sz w:val="20"/>
          <w:szCs w:val="20"/>
          <w:color w:val="auto"/>
        </w:rPr>
      </w:pPr>
      <w:r>
        <w:rPr>
          <w:rFonts w:ascii="Courier New" w:cs="Courier New" w:eastAsia="Courier New" w:hAnsi="Courier New"/>
          <w:sz w:val="14"/>
          <w:szCs w:val="14"/>
          <w:color w:val="auto"/>
        </w:rPr>
        <w:t>The Company entered into a $50 million revolving credit facility in fiscal 1999. Management decided to borrow money at competitive rates rather than further liquidate its investment portfolio, which continues to generate favorable returns. Borrowings under the credit facility were $33.5 million for the nine months ended August 26, 2000. Through the first half of the year, the Company borrowed $32.5 million, but due to the Inventory Reduction Program implemented in the third quarter, only $1 million was borrowed during third quarter 2000. The increase in borrowings was used to fund the increase in working capital and the capital expenditures discussed above. Subsequent to the end of the third quarter, the Company signed a letter of intent to change lenders and will be finalizing a new $70 million revolving credit facility in October.</w:t>
      </w:r>
    </w:p>
    <w:p>
      <w:pPr>
        <w:spacing w:after="0" w:line="72"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The Company continues to focus on reducing working capital, with targeted plans for raw material inventories, finished goods inventories and accounts receivable. This is one of two major priorities for the Company in the second half of the year. The other major priority is improving customer service through better communication and complete, on-time deliveries.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purchased and retired 321,000 shares of its Common Stock during the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nine months of 2000. These purchases were part of the Company's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program, approved in fiscal 1998, which allows the Company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shares for an aggregate purchase price not to exceed $40 million. The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average cost of the shares purchased during the first nine months of 2000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$14.33, resulting in a total expenditure of $4.6 million. As of August 26, 2000,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completed approximately 67% of its current repurchase plan.</w:t>
      </w:r>
    </w:p>
    <w:p>
      <w:pPr>
        <w:spacing w:after="0" w:line="146"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The current ratio as of August 26, 2000 and November 27, 1999, respectively, was 3.45 to 1 and 2.41 to 1. Working capital at August 26, 2000 was $103.8 million compared to $80.2 million at November 27, 1999. The Company's consolidated financial statements are prepared on the basis of historical cost and are not intended to show the impact of inflation or changing prices.</w:t>
      </w:r>
    </w:p>
    <w:p>
      <w:pPr>
        <w:spacing w:after="0" w:line="200" w:lineRule="exact"/>
        <w:rPr>
          <w:sz w:val="20"/>
          <w:szCs w:val="20"/>
          <w:color w:val="auto"/>
        </w:rPr>
      </w:pPr>
    </w:p>
    <w:p>
      <w:pPr>
        <w:spacing w:after="0" w:line="21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12 of 16</w:t>
      </w:r>
    </w:p>
    <w:p>
      <w:pPr>
        <w:sectPr>
          <w:pgSz w:w="11900" w:h="16838" w:orient="portrait"/>
          <w:cols w:equalWidth="0" w:num="1">
            <w:col w:w="10219"/>
          </w:cols>
          <w:pgMar w:left="240" w:top="263" w:right="1440" w:bottom="1440" w:gutter="0" w:footer="0" w:header="0"/>
        </w:sectPr>
      </w:pPr>
    </w:p>
    <w:bookmarkStart w:id="12" w:name="page13"/>
    <w:bookmarkEnd w:id="12"/>
    <w:p>
      <w:pPr>
        <w:ind w:left="268"/>
        <w:spacing w:after="0"/>
        <w:rPr>
          <w:sz w:val="20"/>
          <w:szCs w:val="20"/>
          <w:color w:val="auto"/>
        </w:rPr>
      </w:pPr>
      <w:r>
        <w:rPr>
          <w:rFonts w:ascii="Courier New" w:cs="Courier New" w:eastAsia="Courier New" w:hAnsi="Courier New"/>
          <w:sz w:val="15"/>
          <w:szCs w:val="15"/>
          <w:color w:val="auto"/>
        </w:rPr>
        <w:t>13</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PART I-FINANCIAL INFORMATION-CONTINUED</w:t>
      </w:r>
    </w:p>
    <w:p>
      <w:pPr>
        <w:spacing w:after="0" w:line="3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2"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AUGUST 26, 2000</w:t>
      </w:r>
    </w:p>
    <w:p>
      <w:pPr>
        <w:spacing w:after="0" w:line="146" w:lineRule="exact"/>
        <w:rPr>
          <w:sz w:val="20"/>
          <w:szCs w:val="20"/>
          <w:color w:val="auto"/>
        </w:rPr>
      </w:pPr>
    </w:p>
    <w:p>
      <w:pPr>
        <w:ind w:left="8" w:right="3599"/>
        <w:spacing w:after="0" w:line="359"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(continued)</w:t>
      </w:r>
    </w:p>
    <w:p>
      <w:pPr>
        <w:spacing w:after="0" w:line="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MARKET RISK:</w:t>
      </w:r>
    </w:p>
    <w:p>
      <w:pPr>
        <w:spacing w:after="0" w:line="174" w:lineRule="exact"/>
        <w:rPr>
          <w:sz w:val="20"/>
          <w:szCs w:val="20"/>
          <w:color w:val="auto"/>
        </w:rPr>
      </w:pPr>
    </w:p>
    <w:p>
      <w:pPr>
        <w:ind w:left="8" w:right="3439"/>
        <w:spacing w:after="0" w:line="288" w:lineRule="auto"/>
        <w:rPr>
          <w:sz w:val="20"/>
          <w:szCs w:val="20"/>
          <w:color w:val="auto"/>
        </w:rPr>
      </w:pPr>
      <w:r>
        <w:rPr>
          <w:rFonts w:ascii="Courier New" w:cs="Courier New" w:eastAsia="Courier New" w:hAnsi="Courier New"/>
          <w:sz w:val="14"/>
          <w:szCs w:val="14"/>
          <w:color w:val="auto"/>
        </w:rPr>
        <w:t>The Company is exposed to market risk for changes in market prices of its various types of investments. The Company's investments include equity securities; a financial instrument entered into in order to hedge its equity securities, and an investment partnership included in its investments in affiliated companies. The Company does not use these securities for trading purposes and is not party to any leveraged derivatives.</w:t>
      </w:r>
    </w:p>
    <w:p>
      <w:pPr>
        <w:spacing w:after="0" w:line="62" w:lineRule="exact"/>
        <w:rPr>
          <w:sz w:val="20"/>
          <w:szCs w:val="20"/>
          <w:color w:val="auto"/>
        </w:rPr>
      </w:pPr>
    </w:p>
    <w:p>
      <w:pPr>
        <w:ind w:left="8" w:right="3079"/>
        <w:spacing w:after="0" w:line="274" w:lineRule="auto"/>
        <w:rPr>
          <w:sz w:val="20"/>
          <w:szCs w:val="20"/>
          <w:color w:val="auto"/>
        </w:rPr>
      </w:pPr>
      <w:r>
        <w:rPr>
          <w:rFonts w:ascii="Courier New" w:cs="Courier New" w:eastAsia="Courier New" w:hAnsi="Courier New"/>
          <w:sz w:val="14"/>
          <w:szCs w:val="14"/>
          <w:color w:val="auto"/>
        </w:rPr>
        <w:t>The Company's equity securities portfolio, which totaled $18.3 million at August 26, 2000, is diversified among over twenty different medium to large capitalization interests. The Company entered into an equity collar in 1999 to reduce its exposure to fluctuations in the market value of these securities. In the first quarter of 2000, management decided to liquidate this financial instrument and enter into a new financial instrument which more clearly correlates to its equity portfolio. The new financial instrument has a notional value of $10.1 million and expires quarterly in varying amounts over the next six years. Although there are no maturity dates for the Company's equity investments, management has plans to liquidate both its current equity portfolio and the related financial instrument on a scheduled basis through 2006.</w:t>
      </w:r>
    </w:p>
    <w:p>
      <w:pPr>
        <w:spacing w:after="0" w:line="72" w:lineRule="exact"/>
        <w:rPr>
          <w:sz w:val="20"/>
          <w:szCs w:val="20"/>
          <w:color w:val="auto"/>
        </w:rPr>
      </w:pPr>
    </w:p>
    <w:p>
      <w:pPr>
        <w:ind w:left="8" w:right="3079"/>
        <w:spacing w:after="0" w:line="259" w:lineRule="auto"/>
        <w:rPr>
          <w:sz w:val="20"/>
          <w:szCs w:val="20"/>
          <w:color w:val="auto"/>
        </w:rPr>
      </w:pPr>
      <w:r>
        <w:rPr>
          <w:rFonts w:ascii="Courier New" w:cs="Courier New" w:eastAsia="Courier New" w:hAnsi="Courier New"/>
          <w:sz w:val="15"/>
          <w:szCs w:val="15"/>
          <w:color w:val="auto"/>
        </w:rPr>
        <w:t>The Company's investment in a limited partnership, which totaled $65.2 million at August 26, 2000, invests in various other private limited partnerships which contain contractual commitments with elements of market risk. These contractual commitments, which include fixed-income securities and derivatives, may involve future settlements, which give rise to both market and credit risk. The investment partnership's exposure to market risk is determined by a number of factors, including the size, composition, and diversification of positions held, volatility of interest, market currency rates, and liquidity.</w:t>
      </w:r>
    </w:p>
    <w:p>
      <w:pPr>
        <w:spacing w:after="0" w:line="8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SAFE-HARBOR, FORWARD-LOOKING STATEMENTS:</w:t>
      </w:r>
    </w:p>
    <w:p>
      <w:pPr>
        <w:spacing w:after="0" w:line="174"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5"/>
          <w:szCs w:val="15"/>
          <w:color w:val="auto"/>
        </w:rPr>
        <w:t>This discussion contains certain forward-looking statements within the meaning of the Private Securities Litigation Reform Act of 1995 with respect to the financial condition, results of operations and business of Bassett Furniture Industries, Incorporated. These forward-looking statements involve certain risks and uncertainties. No assurance can be given that any such matters will be realized. Important factors that could cause actual results to differ materially from those contemplated by such forward-looking statements include:</w:t>
      </w:r>
    </w:p>
    <w:p>
      <w:pPr>
        <w:spacing w:after="0" w:line="78" w:lineRule="exact"/>
        <w:rPr>
          <w:sz w:val="20"/>
          <w:szCs w:val="20"/>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competitive conditions in the home furnishings industry</w:t>
      </w:r>
    </w:p>
    <w:p>
      <w:pPr>
        <w:spacing w:after="0" w:line="3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general economic conditions that are less favorable than expected</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overall consumer demand for home furnishings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timing and number of new BFD openings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cost and availability of raw materials and labor</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information and technology advances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effectiveness of marketing and advertising campaigns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future tax legislation, or regulatory or judicial positions related to COLI</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13 of 16</w:t>
      </w:r>
    </w:p>
    <w:p>
      <w:pPr>
        <w:sectPr>
          <w:pgSz w:w="11900" w:h="16838" w:orient="portrait"/>
          <w:cols w:equalWidth="0" w:num="1">
            <w:col w:w="10227"/>
          </w:cols>
          <w:pgMar w:left="232" w:top="263" w:right="1440" w:bottom="1440" w:gutter="0" w:footer="0" w:header="0"/>
        </w:sectPr>
      </w:pPr>
    </w:p>
    <w:bookmarkStart w:id="13" w:name="page14"/>
    <w:bookmarkEnd w:id="13"/>
    <w:p>
      <w:pPr>
        <w:ind w:left="268"/>
        <w:spacing w:after="0"/>
        <w:rPr>
          <w:sz w:val="20"/>
          <w:szCs w:val="20"/>
          <w:color w:val="auto"/>
        </w:rPr>
      </w:pPr>
      <w:r>
        <w:rPr>
          <w:rFonts w:ascii="Courier New" w:cs="Courier New" w:eastAsia="Courier New" w:hAnsi="Courier New"/>
          <w:sz w:val="15"/>
          <w:szCs w:val="15"/>
          <w:color w:val="auto"/>
        </w:rPr>
        <w:t>14</w:t>
      </w:r>
    </w:p>
    <w:p>
      <w:pPr>
        <w:spacing w:after="0" w:line="346"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PART II - OTHER INFORMATION</w:t>
      </w:r>
    </w:p>
    <w:p>
      <w:pPr>
        <w:spacing w:after="0" w:line="3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2"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AUGUST 26, 2000</w:t>
      </w: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4" w:lineRule="exact"/>
        <w:rPr>
          <w:sz w:val="20"/>
          <w:szCs w:val="20"/>
          <w:color w:val="auto"/>
        </w:rPr>
      </w:pPr>
    </w:p>
    <w:p>
      <w:pPr>
        <w:ind w:left="8" w:right="3599"/>
        <w:spacing w:after="0" w:line="359" w:lineRule="auto"/>
        <w:rPr>
          <w:sz w:val="20"/>
          <w:szCs w:val="20"/>
          <w:color w:val="auto"/>
        </w:rPr>
      </w:pPr>
      <w:r>
        <w:rPr>
          <w:rFonts w:ascii="Courier New" w:cs="Courier New" w:eastAsia="Courier New" w:hAnsi="Courier New"/>
          <w:sz w:val="15"/>
          <w:szCs w:val="15"/>
          <w:color w:val="auto"/>
        </w:rPr>
        <w:t>March 28, 2000 vote of stockholders was reported in the 10-Q filed for the period ended February 26, 2000.</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6.</w:t>
      </w:r>
    </w:p>
    <w:p>
      <w:pPr>
        <w:spacing w:after="0" w:line="174" w:lineRule="exact"/>
        <w:rPr>
          <w:sz w:val="20"/>
          <w:szCs w:val="20"/>
          <w:color w:val="auto"/>
        </w:rPr>
      </w:pPr>
    </w:p>
    <w:p>
      <w:pPr>
        <w:ind w:left="628" w:hanging="628"/>
        <w:spacing w:after="0"/>
        <w:tabs>
          <w:tab w:leader="none" w:pos="62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30" w:lineRule="exact"/>
        <w:rPr>
          <w:rFonts w:ascii="Courier New" w:cs="Courier New" w:eastAsia="Courier New" w:hAnsi="Courier New"/>
          <w:sz w:val="15"/>
          <w:szCs w:val="15"/>
          <w:color w:val="auto"/>
        </w:rPr>
      </w:pPr>
    </w:p>
    <w:p>
      <w:pPr>
        <w:ind w:left="1068" w:hanging="442"/>
        <w:spacing w:after="0"/>
        <w:tabs>
          <w:tab w:leader="none" w:pos="1068"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14 of 16</w:t>
      </w:r>
    </w:p>
    <w:p>
      <w:pPr>
        <w:sectPr>
          <w:pgSz w:w="11900" w:h="16838" w:orient="portrait"/>
          <w:cols w:equalWidth="0" w:num="1">
            <w:col w:w="10227"/>
          </w:cols>
          <w:pgMar w:left="232" w:top="263" w:right="1440" w:bottom="1440" w:gutter="0" w:footer="0" w:header="0"/>
        </w:sectPr>
      </w:pPr>
    </w:p>
    <w:bookmarkStart w:id="14" w:name="page15"/>
    <w:bookmarkEnd w:id="14"/>
    <w:p>
      <w:pPr>
        <w:ind w:left="268"/>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18"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SIGNATURES</w:t>
      </w:r>
    </w:p>
    <w:p>
      <w:pPr>
        <w:spacing w:after="0" w:line="346" w:lineRule="exact"/>
        <w:rPr>
          <w:sz w:val="20"/>
          <w:szCs w:val="20"/>
          <w:color w:val="auto"/>
        </w:rPr>
      </w:pPr>
    </w:p>
    <w:p>
      <w:pPr>
        <w:jc w:val="both"/>
        <w:ind w:left="8" w:right="3779"/>
        <w:spacing w:after="0" w:line="30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9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BARRY C. SAFRIT</w:t>
      </w:r>
    </w:p>
    <w:p>
      <w:pPr>
        <w:spacing w:after="0" w:line="30"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Barry C. Safrit, Vice President, Chief Accounting Officer</w:t>
      </w: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October 10,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15 of 16</w:t>
      </w:r>
    </w:p>
    <w:p>
      <w:pPr>
        <w:sectPr>
          <w:pgSz w:w="11900" w:h="16838" w:orient="portrait"/>
          <w:cols w:equalWidth="0" w:num="1">
            <w:col w:w="10227"/>
          </w:cols>
          <w:pgMar w:left="232" w:top="26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4"/>
          <w:szCs w:val="14"/>
          <w:color w:val="auto"/>
        </w:rPr>
        <w:t>BASSETT FURNITURE INDUSTRIES INC.</w:t>
      </w:r>
    </w:p>
    <w:p>
      <w:pPr>
        <w:spacing w:after="0" w:line="4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Description</w:t>
      </w:r>
    </w:p>
    <w:p>
      <w:pPr>
        <w:spacing w:after="0" w:line="3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3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sectPr>
          <w:pgSz w:w="11900" w:h="16838" w:orient="portrait"/>
          <w:cols w:equalWidth="0" w:num="3">
            <w:col w:w="1240" w:space="720"/>
            <w:col w:w="2940" w:space="720"/>
            <w:col w:w="4599"/>
          </w:cols>
          <w:pgMar w:left="240" w:top="263" w:right="1440" w:bottom="1440" w:gutter="0" w:footer="0" w:header="0"/>
          <w:type w:val="continuous"/>
        </w:sectPr>
      </w:pPr>
    </w:p>
    <w:p>
      <w:pPr>
        <w:ind w:left="34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9</w:t>
      </w:r>
    </w:p>
    <w:p>
      <w:pPr>
        <w:spacing w:after="0" w:line="211" w:lineRule="exact"/>
        <w:rPr>
          <w:sz w:val="20"/>
          <w:szCs w:val="20"/>
          <w:color w:val="auto"/>
        </w:rPr>
      </w:pPr>
    </w:p>
    <w:p>
      <w:pPr>
        <w:sectPr>
          <w:pgSz w:w="11900" w:h="16838" w:orient="portrait"/>
          <w:cols w:equalWidth="0" w:num="3">
            <w:col w:w="1060" w:space="720"/>
            <w:col w:w="3220" w:space="720"/>
            <w:col w:w="4499"/>
          </w:cols>
          <w:pgMar w:left="240" w:top="2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16 of 16</w:t>
      </w:r>
    </w:p>
    <w:p>
      <w:pPr>
        <w:sectPr>
          <w:pgSz w:w="11900" w:h="16838" w:orient="portrait"/>
          <w:cols w:equalWidth="0" w:num="1">
            <w:col w:w="10219"/>
          </w:cols>
          <w:pgMar w:left="240" w:top="263" w:right="1440" w:bottom="144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5</w:t>
      </w:r>
    </w:p>
    <w:p>
      <w:pPr>
        <w:spacing w:after="0" w:line="346"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9-MOS</w:t>
      </w:r>
    </w:p>
    <w:p>
      <w:pPr>
        <w:spacing w:after="0" w:line="3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NOV-25-2000</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NOV-28-1999</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AUG-26-2000</w:t>
      </w:r>
    </w:p>
    <w:p>
      <w:pPr>
        <w:spacing w:after="0" w:line="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2,541</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74,358</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3,390</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54,555</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146,175</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236,484</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136,423</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367,104</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42,375</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58,864</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198,242</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367,104</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278,542</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287,911</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225,929</w:t>
      </w:r>
    </w:p>
    <w:p>
      <w:pPr>
        <w:spacing w:after="0" w:line="2"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270,502</w:t>
      </w:r>
    </w:p>
    <w:p>
      <w:pPr>
        <w:spacing w:after="0" w:line="2"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2,438</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19,847</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6,309</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13,538</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364</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13,174</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1.11</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1.11</w:t>
      </w:r>
    </w:p>
    <w:sectPr>
      <w:pgSz w:w="11900" w:h="16838" w:orient="portrait"/>
      <w:cols w:equalWidth="0" w:num="1">
        <w:col w:w="10139"/>
      </w:cols>
      <w:pgMar w:left="320" w:top="4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decimal"/>
      <w:start w:val="2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2019-12-20T04:33:09Z</dcterms:created>
  <dcterms:modified xsi:type="dcterms:W3CDTF">2019-12-20T04:33:09Z</dcterms:modified>
</cp:coreProperties>
</file>