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UNITED STATES</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WASHINGTON, D.C.</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1 of 27</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ind w:left="440"/>
        <w:spacing w:after="0"/>
        <w:tabs>
          <w:tab w:leader="none" w:pos="4880" w:val="left"/>
        </w:tabs>
        <w:rPr>
          <w:sz w:val="20"/>
          <w:szCs w:val="20"/>
          <w:color w:val="auto"/>
        </w:rPr>
      </w:pPr>
      <w:r>
        <w:rPr>
          <w:rFonts w:ascii="Courier New" w:cs="Courier New" w:eastAsia="Courier New" w:hAnsi="Courier New"/>
          <w:sz w:val="15"/>
          <w:szCs w:val="15"/>
          <w:color w:val="auto"/>
        </w:rPr>
        <w:t>For the fiscal year ended November 30, 1996</w:t>
      </w:r>
      <w:r>
        <w:rPr>
          <w:sz w:val="20"/>
          <w:szCs w:val="20"/>
          <w:color w:val="auto"/>
        </w:rPr>
        <w:tab/>
      </w:r>
      <w:r>
        <w:rPr>
          <w:rFonts w:ascii="Courier New" w:cs="Courier New" w:eastAsia="Courier New" w:hAnsi="Courier New"/>
          <w:sz w:val="14"/>
          <w:szCs w:val="14"/>
          <w:color w:val="auto"/>
        </w:rPr>
        <w:t>Commision File No. 0-209</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BASSETT FURNITURE INDUSTRIES, INCORPORATED</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VIRGINIA</w:t>
            </w:r>
          </w:p>
        </w:tc>
        <w:tc>
          <w:tcPr>
            <w:tcW w:w="26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54-0135270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4080" w:type="dxa"/>
            <w:vAlign w:val="bottom"/>
          </w:tcPr>
          <w:p>
            <w:pPr>
              <w:ind w:left="1400"/>
              <w:spacing w:after="0"/>
              <w:rPr>
                <w:sz w:val="20"/>
                <w:szCs w:val="20"/>
                <w:color w:val="auto"/>
              </w:rPr>
            </w:pPr>
            <w:r>
              <w:rPr>
                <w:rFonts w:ascii="Courier New" w:cs="Courier New" w:eastAsia="Courier New" w:hAnsi="Courier New"/>
                <w:sz w:val="15"/>
                <w:szCs w:val="15"/>
                <w:color w:val="auto"/>
              </w:rPr>
              <w:t>BASSETT, VIRGINIA</w:t>
            </w:r>
          </w:p>
        </w:tc>
        <w:tc>
          <w:tcPr>
            <w:tcW w:w="26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24055</w:t>
            </w:r>
          </w:p>
        </w:tc>
      </w:tr>
    </w:tbl>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540"/>
        <w:spacing w:after="0"/>
        <w:tabs>
          <w:tab w:leader="none" w:pos="49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Registrant's telephone number, including area code 540/629-6000</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ectPr>
          <w:pgSz w:w="11900" w:h="16838" w:orient="portrait"/>
          <w:cols w:equalWidth="0" w:num="1">
            <w:col w:w="10239"/>
          </w:cols>
          <w:pgMar w:left="220" w:top="225" w:right="1440" w:bottom="1440" w:gutter="0" w:footer="0" w:header="0"/>
        </w:sectPr>
      </w:pPr>
    </w:p>
    <w:p>
      <w:pPr>
        <w:spacing w:after="0" w:line="341"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Title of each class:</w:t>
      </w:r>
    </w:p>
    <w:p>
      <w:pPr>
        <w:spacing w:after="0" w:line="10"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Name of each exchange</w:t>
      </w:r>
    </w:p>
    <w:p>
      <w:pPr>
        <w:jc w:val="center"/>
        <w:ind w:right="3579"/>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920" w:space="720"/>
            <w:col w:w="5599"/>
          </w:cols>
          <w:pgMar w:left="220" w:top="225" w:right="1440" w:bottom="1440" w:gutter="0" w:footer="0" w:header="0"/>
          <w:type w:val="continuous"/>
        </w:sectPr>
      </w:pPr>
    </w:p>
    <w:p>
      <w:pPr>
        <w:ind w:left="1240" w:right="600"/>
        <w:spacing w:after="0" w:line="261" w:lineRule="auto"/>
        <w:rPr>
          <w:sz w:val="20"/>
          <w:szCs w:val="20"/>
          <w:color w:val="auto"/>
        </w:rPr>
      </w:pPr>
      <w:r>
        <w:rPr>
          <w:rFonts w:ascii="Courier New" w:cs="Courier New" w:eastAsia="Courier New" w:hAnsi="Courier New"/>
          <w:sz w:val="14"/>
          <w:szCs w:val="14"/>
          <w:color w:val="auto"/>
        </w:rPr>
        <w:t>Common stock ($5.00 par value)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NASDAQ</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460" w:space="720"/>
            <w:col w:w="5059"/>
          </w:cols>
          <w:pgMar w:left="220" w:top="225" w:right="1440" w:bottom="1440" w:gutter="0" w:footer="0" w:header="0"/>
          <w:type w:val="continuous"/>
        </w:sectPr>
      </w:pPr>
    </w:p>
    <w:p>
      <w:pPr>
        <w:jc w:val="both"/>
        <w:ind w:left="440" w:right="357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69"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[X] Yes [ ] No</w:t>
      </w:r>
    </w:p>
    <w:p>
      <w:pPr>
        <w:spacing w:after="0" w:line="173" w:lineRule="exact"/>
        <w:rPr>
          <w:sz w:val="24"/>
          <w:szCs w:val="24"/>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left="440" w:right="4539"/>
        <w:spacing w:after="0" w:line="261" w:lineRule="auto"/>
        <w:rPr>
          <w:sz w:val="20"/>
          <w:szCs w:val="20"/>
          <w:color w:val="auto"/>
        </w:rPr>
      </w:pPr>
      <w:r>
        <w:rPr>
          <w:rFonts w:ascii="Courier New" w:cs="Courier New" w:eastAsia="Courier New" w:hAnsi="Courier New"/>
          <w:sz w:val="14"/>
          <w:szCs w:val="14"/>
          <w:color w:val="auto"/>
        </w:rPr>
        <w:t>State the aggregate market value of the voting stock held by non-affiliates of the registrant as of December 13, 1996.</w:t>
      </w:r>
    </w:p>
    <w:p>
      <w:pPr>
        <w:spacing w:after="0" w:line="153" w:lineRule="exact"/>
        <w:rPr>
          <w:sz w:val="24"/>
          <w:szCs w:val="24"/>
          <w:color w:val="auto"/>
        </w:rPr>
      </w:pPr>
    </w:p>
    <w:tbl>
      <w:tblPr>
        <w:tblLayout w:type="fixed"/>
        <w:tblInd w:w="150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w w:val="97"/>
              </w:rPr>
              <w:t>Common Stock, $5.00 par value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$270,250,000</w:t>
            </w:r>
          </w:p>
        </w:tc>
      </w:tr>
    </w:tbl>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440" w:right="3759"/>
        <w:spacing w:after="0" w:line="261"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the latest practicable date.</w:t>
      </w:r>
    </w:p>
    <w:p>
      <w:pPr>
        <w:spacing w:after="0" w:line="160" w:lineRule="exact"/>
        <w:rPr>
          <w:sz w:val="24"/>
          <w:szCs w:val="24"/>
          <w:color w:val="auto"/>
        </w:rPr>
      </w:pPr>
    </w:p>
    <w:p>
      <w:pPr>
        <w:ind w:left="440" w:right="3579" w:firstLine="700"/>
        <w:spacing w:after="0" w:line="234" w:lineRule="auto"/>
        <w:rPr>
          <w:sz w:val="20"/>
          <w:szCs w:val="20"/>
          <w:color w:val="auto"/>
        </w:rPr>
      </w:pPr>
      <w:r>
        <w:rPr>
          <w:rFonts w:ascii="Courier New" w:cs="Courier New" w:eastAsia="Courier New" w:hAnsi="Courier New"/>
          <w:sz w:val="15"/>
          <w:szCs w:val="15"/>
          <w:color w:val="auto"/>
        </w:rPr>
        <w:t>Common Stock, $5.00 par value -- 13,075,595 at the close of the period covered by this report.</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left="880" w:right="357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30, 1996 (the "Annual Report") are incorporated by reference into Parts I and II of this Form 10-K.</w:t>
      </w:r>
    </w:p>
    <w:p>
      <w:pPr>
        <w:spacing w:after="0" w:line="175" w:lineRule="exact"/>
        <w:rPr>
          <w:rFonts w:ascii="Courier New" w:cs="Courier New" w:eastAsia="Courier New" w:hAnsi="Courier New"/>
          <w:sz w:val="15"/>
          <w:szCs w:val="15"/>
          <w:color w:val="auto"/>
        </w:rPr>
      </w:pPr>
    </w:p>
    <w:p>
      <w:pPr>
        <w:ind w:left="880" w:right="3499" w:hanging="433"/>
        <w:spacing w:after="0" w:line="236"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definitive Proxy Statement for its 1997 Annual Meeting of Stockholders held February 19, 1997, filed with the Securities and Exchange Commission pursuant to Regulation 14A under the Securities Exchange Act of 1934 (the "Proxy Statement") are incorporated by reference into Part III of this Form 10-K.</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2 of 27</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GENERAL DEVELOPMENT OF BUSINESS</w:t>
      </w:r>
    </w:p>
    <w:p>
      <w:pPr>
        <w:spacing w:after="0" w:line="173" w:lineRule="exact"/>
        <w:rPr>
          <w:sz w:val="20"/>
          <w:szCs w:val="20"/>
          <w:color w:val="auto"/>
        </w:rPr>
      </w:pPr>
    </w:p>
    <w:p>
      <w:pPr>
        <w:ind w:left="1060" w:right="3499"/>
        <w:spacing w:after="0" w:line="235" w:lineRule="auto"/>
        <w:rPr>
          <w:sz w:val="20"/>
          <w:szCs w:val="20"/>
          <w:color w:val="auto"/>
        </w:rPr>
      </w:pPr>
      <w:r>
        <w:rPr>
          <w:rFonts w:ascii="Courier New" w:cs="Courier New" w:eastAsia="Courier New" w:hAnsi="Courier New"/>
          <w:sz w:val="15"/>
          <w:szCs w:val="15"/>
          <w:color w:val="auto"/>
        </w:rPr>
        <w:t>Bassett Furniture Industries, Incorporated was incorporated under the laws of the Commonwealth of Virginia in 1930. The executive offices are located in Bassett, Virginia.</w:t>
      </w:r>
    </w:p>
    <w:p>
      <w:pPr>
        <w:spacing w:after="0" w:line="174" w:lineRule="exact"/>
        <w:rPr>
          <w:sz w:val="20"/>
          <w:szCs w:val="20"/>
          <w:color w:val="auto"/>
        </w:rPr>
      </w:pPr>
    </w:p>
    <w:p>
      <w:pPr>
        <w:ind w:left="1060" w:right="3399"/>
        <w:spacing w:after="0" w:line="255" w:lineRule="auto"/>
        <w:rPr>
          <w:sz w:val="20"/>
          <w:szCs w:val="20"/>
          <w:color w:val="auto"/>
        </w:rPr>
      </w:pPr>
      <w:r>
        <w:rPr>
          <w:rFonts w:ascii="Courier New" w:cs="Courier New" w:eastAsia="Courier New" w:hAnsi="Courier New"/>
          <w:sz w:val="14"/>
          <w:szCs w:val="14"/>
          <w:color w:val="auto"/>
        </w:rPr>
        <w:t>In 1996, the Company recorded a one-time, pre-tax charge of approximately $2.7 million to recognize the effect on costs and expenses related to the consolidation of operations in the Motion Division, a write-down of certain inventories and adjustment in fixed asset carrying values. The charge amounted to an after-tax cost of $.12 per share. The consolidation of the operations in the Motion Division will have no material effect on net sales in the future and should improve operating margins in that Division.</w:t>
      </w:r>
    </w:p>
    <w:p>
      <w:pPr>
        <w:spacing w:after="0" w:line="166" w:lineRule="exact"/>
        <w:rPr>
          <w:sz w:val="20"/>
          <w:szCs w:val="20"/>
          <w:color w:val="auto"/>
        </w:rPr>
      </w:pPr>
    </w:p>
    <w:p>
      <w:pPr>
        <w:ind w:left="1060" w:right="3839"/>
        <w:spacing w:after="0" w:line="261" w:lineRule="auto"/>
        <w:rPr>
          <w:sz w:val="20"/>
          <w:szCs w:val="20"/>
          <w:color w:val="auto"/>
        </w:rPr>
      </w:pPr>
      <w:r>
        <w:rPr>
          <w:rFonts w:ascii="Courier New" w:cs="Courier New" w:eastAsia="Courier New" w:hAnsi="Courier New"/>
          <w:sz w:val="14"/>
          <w:szCs w:val="14"/>
          <w:color w:val="auto"/>
        </w:rPr>
        <w:t>There have been no material changes in the mode of conducting business in the fiscal year beginning December 1, 1995.</w:t>
      </w:r>
    </w:p>
    <w:p>
      <w:pPr>
        <w:spacing w:after="0" w:line="1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INDUSTRY SEGMENT</w:t>
      </w:r>
    </w:p>
    <w:p>
      <w:pPr>
        <w:spacing w:after="0" w:line="173" w:lineRule="exact"/>
        <w:rPr>
          <w:sz w:val="20"/>
          <w:szCs w:val="20"/>
          <w:color w:val="auto"/>
        </w:rPr>
      </w:pPr>
    </w:p>
    <w:p>
      <w:pPr>
        <w:ind w:left="1060" w:right="3579"/>
        <w:spacing w:after="0" w:line="236" w:lineRule="auto"/>
        <w:rPr>
          <w:sz w:val="20"/>
          <w:szCs w:val="20"/>
          <w:color w:val="auto"/>
        </w:rPr>
      </w:pPr>
      <w:r>
        <w:rPr>
          <w:rFonts w:ascii="Courier New" w:cs="Courier New" w:eastAsia="Courier New" w:hAnsi="Courier New"/>
          <w:sz w:val="15"/>
          <w:szCs w:val="15"/>
          <w:color w:val="auto"/>
        </w:rPr>
        <w:t>In accordance with the instructions for this item, Bassett Furniture Industries, Incorporated and its subsidiaries, all of which are wholly-owned (Company), is deemed to have been engaged in only one business segment, manufacture and sale of furniture, for the three years ended November 30, 1996.</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left="1060" w:right="3499"/>
        <w:spacing w:after="0" w:line="236" w:lineRule="auto"/>
        <w:rPr>
          <w:sz w:val="20"/>
          <w:szCs w:val="20"/>
          <w:color w:val="auto"/>
        </w:rPr>
      </w:pPr>
      <w:r>
        <w:rPr>
          <w:rFonts w:ascii="Courier New" w:cs="Courier New" w:eastAsia="Courier New" w:hAnsi="Courier New"/>
          <w:sz w:val="15"/>
          <w:szCs w:val="15"/>
          <w:color w:val="auto"/>
        </w:rPr>
        <w:t>The Company manufactures and sells a full line of furniture for the home: bedroom and dining suites and accent pieces; occasional tables, wall and entertainment units; home office systems and computer work stations; upholstered sofas, chairs and love seats (motion and stationary); recliners; and mattresses and box springs. The Company's products are distributed through a large number of retailers, principally in the United States. The retailers selling the Company's products include mass merchandisers, department stores, independent furniture stores, chain furniture stores, decorator showrooms, warehouse showrooms, specialty stores and rent-to-own stores.</w:t>
      </w:r>
    </w:p>
    <w:p>
      <w:pPr>
        <w:spacing w:after="0" w:line="180" w:lineRule="exact"/>
        <w:rPr>
          <w:sz w:val="20"/>
          <w:szCs w:val="20"/>
          <w:color w:val="auto"/>
        </w:rPr>
      </w:pPr>
    </w:p>
    <w:p>
      <w:pPr>
        <w:ind w:left="1060" w:right="3759"/>
        <w:spacing w:after="0" w:line="235" w:lineRule="auto"/>
        <w:rPr>
          <w:sz w:val="20"/>
          <w:szCs w:val="20"/>
          <w:color w:val="auto"/>
        </w:rPr>
      </w:pPr>
      <w:r>
        <w:rPr>
          <w:rFonts w:ascii="Courier New" w:cs="Courier New" w:eastAsia="Courier New" w:hAnsi="Courier New"/>
          <w:sz w:val="15"/>
          <w:szCs w:val="15"/>
          <w:color w:val="auto"/>
        </w:rPr>
        <w:t>Raw materials used by the Company are generally available from numerous sources and are obtained principally from domestic sources. The cost pressures on raw materials continued to be experienced in 1996.</w:t>
      </w:r>
    </w:p>
    <w:p>
      <w:pPr>
        <w:spacing w:after="0" w:line="175" w:lineRule="exact"/>
        <w:rPr>
          <w:sz w:val="20"/>
          <w:szCs w:val="20"/>
          <w:color w:val="auto"/>
        </w:rPr>
      </w:pPr>
    </w:p>
    <w:p>
      <w:pPr>
        <w:ind w:left="1060" w:right="3399"/>
        <w:spacing w:after="0" w:line="236" w:lineRule="auto"/>
        <w:rPr>
          <w:sz w:val="20"/>
          <w:szCs w:val="20"/>
          <w:color w:val="auto"/>
        </w:rPr>
      </w:pPr>
      <w:r>
        <w:rPr>
          <w:rFonts w:ascii="Courier New" w:cs="Courier New" w:eastAsia="Courier New" w:hAnsi="Courier New"/>
          <w:sz w:val="15"/>
          <w:szCs w:val="15"/>
          <w:color w:val="auto"/>
        </w:rPr>
        <w:t>The Company's trademark "Bassett" and the names of its marketing divisions and product collections are significant to the conduct of its business. This importance is due to consumer recognition of the names and identification with the Company's broad range of products. The Company owns certain patents and licenses that are important in the conduct of the Company's business.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The furniture industry is not considered to be a seasonal industry.</w:t>
      </w:r>
    </w:p>
    <w:p>
      <w:pPr>
        <w:spacing w:after="0" w:line="178" w:lineRule="exact"/>
        <w:rPr>
          <w:sz w:val="20"/>
          <w:szCs w:val="20"/>
          <w:color w:val="auto"/>
        </w:rPr>
      </w:pPr>
    </w:p>
    <w:p>
      <w:pPr>
        <w:ind w:left="1060" w:right="3399"/>
        <w:spacing w:after="0" w:line="235" w:lineRule="auto"/>
        <w:rPr>
          <w:sz w:val="20"/>
          <w:szCs w:val="20"/>
          <w:color w:val="auto"/>
        </w:rPr>
      </w:pPr>
      <w:r>
        <w:rPr>
          <w:rFonts w:ascii="Courier New" w:cs="Courier New" w:eastAsia="Courier New" w:hAnsi="Courier New"/>
          <w:sz w:val="15"/>
          <w:szCs w:val="15"/>
          <w:color w:val="auto"/>
        </w:rPr>
        <w:t>There are no special practices in the furniture industry, or applicable to the Company, that would have a significant effect on working capital items.</w:t>
      </w:r>
    </w:p>
    <w:p>
      <w:pPr>
        <w:spacing w:after="0" w:line="174" w:lineRule="exact"/>
        <w:rPr>
          <w:sz w:val="20"/>
          <w:szCs w:val="20"/>
          <w:color w:val="auto"/>
        </w:rPr>
      </w:pPr>
    </w:p>
    <w:p>
      <w:pPr>
        <w:jc w:val="both"/>
        <w:ind w:left="1060" w:right="3579"/>
        <w:spacing w:after="0" w:line="256" w:lineRule="auto"/>
        <w:rPr>
          <w:sz w:val="20"/>
          <w:szCs w:val="20"/>
          <w:color w:val="auto"/>
        </w:rPr>
      </w:pPr>
      <w:r>
        <w:rPr>
          <w:rFonts w:ascii="Courier New" w:cs="Courier New" w:eastAsia="Courier New" w:hAnsi="Courier New"/>
          <w:sz w:val="14"/>
          <w:szCs w:val="14"/>
          <w:color w:val="auto"/>
        </w:rPr>
        <w:t>The Company is not dependent upon a single customer, the loss of which would have a material adverse effect on the Company. Sales to one customer (J. C. Penney Company) amounted to approximately 15% of gross sales in 1996, 14% in 1995 and 13% in 1994.</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3 of 27</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Company's backlog of orders believed to be firm was</w:t>
      </w:r>
    </w:p>
    <w:p>
      <w:pPr>
        <w:spacing w:after="0" w:line="5" w:lineRule="exact"/>
        <w:rPr>
          <w:sz w:val="20"/>
          <w:szCs w:val="20"/>
          <w:color w:val="auto"/>
        </w:rPr>
      </w:pPr>
    </w:p>
    <w:p>
      <w:pPr>
        <w:jc w:val="both"/>
        <w:ind w:left="1060" w:right="3579"/>
        <w:spacing w:after="0" w:line="235" w:lineRule="auto"/>
        <w:rPr>
          <w:sz w:val="20"/>
          <w:szCs w:val="20"/>
          <w:color w:val="auto"/>
        </w:rPr>
      </w:pPr>
      <w:r>
        <w:rPr>
          <w:rFonts w:ascii="Courier New" w:cs="Courier New" w:eastAsia="Courier New" w:hAnsi="Courier New"/>
          <w:sz w:val="15"/>
          <w:szCs w:val="15"/>
          <w:color w:val="auto"/>
        </w:rPr>
        <w:t>$48,000,000 at November 30, 1996 and $56,000,000 at November 30, 1995. It is expected that the November 30, 1996 backlog will be filled within the 1997 fiscal year.</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None of the Company's business involves government contracts.</w:t>
      </w:r>
    </w:p>
    <w:p>
      <w:pPr>
        <w:spacing w:after="0" w:line="173" w:lineRule="exact"/>
        <w:rPr>
          <w:sz w:val="20"/>
          <w:szCs w:val="20"/>
          <w:color w:val="auto"/>
        </w:rPr>
      </w:pPr>
    </w:p>
    <w:p>
      <w:pPr>
        <w:ind w:left="1060" w:right="3399"/>
        <w:spacing w:after="0" w:line="255" w:lineRule="auto"/>
        <w:rPr>
          <w:sz w:val="20"/>
          <w:szCs w:val="20"/>
          <w:color w:val="auto"/>
        </w:rPr>
      </w:pPr>
      <w:r>
        <w:rPr>
          <w:rFonts w:ascii="Courier New" w:cs="Courier New" w:eastAsia="Courier New" w:hAnsi="Courier New"/>
          <w:sz w:val="14"/>
          <w:szCs w:val="14"/>
          <w:color w:val="auto"/>
        </w:rPr>
        <w:t>The furniture industry is very competitive as there are a large number of manufacturers both within the United States and offshore who compete in the marketplace on the basis of quality of the product, price, delivery and service. Based on annual sales revenue, the Company is one of the largest furniture manufacturers in the United States. The Company has been successful in this competitive environment because its products represent excellent values combining price and superior quality and styling; prompt delivery; and quality, courteous service. Competition from foreign manufacturers is not any more significant in the marketplace today than competition from domestic manufacturers.</w:t>
      </w:r>
    </w:p>
    <w:p>
      <w:pPr>
        <w:spacing w:after="0" w:line="165" w:lineRule="exact"/>
        <w:rPr>
          <w:sz w:val="20"/>
          <w:szCs w:val="20"/>
          <w:color w:val="auto"/>
        </w:rPr>
      </w:pPr>
    </w:p>
    <w:p>
      <w:pPr>
        <w:ind w:left="1060" w:right="3499"/>
        <w:spacing w:after="0" w:line="236" w:lineRule="auto"/>
        <w:rPr>
          <w:sz w:val="20"/>
          <w:szCs w:val="20"/>
          <w:color w:val="auto"/>
        </w:rPr>
      </w:pPr>
      <w:r>
        <w:rPr>
          <w:rFonts w:ascii="Courier New" w:cs="Courier New" w:eastAsia="Courier New" w:hAnsi="Courier New"/>
          <w:sz w:val="15"/>
          <w:szCs w:val="15"/>
          <w:color w:val="auto"/>
        </w:rPr>
        <w:t>The furniture industry is considered to be a "fashion" industry subject to constant change to meet the changing consumer preferences and tastes. As such, the Company is continuously involved in the development of new designs and products. Due to the nature of these efforts and the close relationship to the manufacturing operations, the costs thereof are considered normal operating costs and are not segregated.</w:t>
      </w:r>
    </w:p>
    <w:p>
      <w:pPr>
        <w:spacing w:after="0" w:line="176" w:lineRule="exact"/>
        <w:rPr>
          <w:sz w:val="20"/>
          <w:szCs w:val="20"/>
          <w:color w:val="auto"/>
        </w:rPr>
      </w:pPr>
    </w:p>
    <w:p>
      <w:pPr>
        <w:ind w:left="1060" w:right="3579"/>
        <w:spacing w:after="0" w:line="258" w:lineRule="auto"/>
        <w:rPr>
          <w:sz w:val="20"/>
          <w:szCs w:val="20"/>
          <w:color w:val="auto"/>
        </w:rPr>
      </w:pPr>
      <w:r>
        <w:rPr>
          <w:rFonts w:ascii="Courier New" w:cs="Courier New" w:eastAsia="Courier New" w:hAnsi="Courier New"/>
          <w:sz w:val="14"/>
          <w:szCs w:val="14"/>
          <w:color w:val="auto"/>
        </w:rPr>
        <w:t>The Company is not involved in "traditional" research and development activities. Neither are there any customer sponsored research and development activities involving the Company.</w:t>
      </w:r>
    </w:p>
    <w:p>
      <w:pPr>
        <w:spacing w:after="0" w:line="161" w:lineRule="exact"/>
        <w:rPr>
          <w:sz w:val="20"/>
          <w:szCs w:val="20"/>
          <w:color w:val="auto"/>
        </w:rPr>
      </w:pPr>
    </w:p>
    <w:p>
      <w:pPr>
        <w:ind w:left="1060" w:right="3499"/>
        <w:spacing w:after="0" w:line="236" w:lineRule="auto"/>
        <w:rPr>
          <w:sz w:val="20"/>
          <w:szCs w:val="20"/>
          <w:color w:val="auto"/>
        </w:rPr>
      </w:pPr>
      <w:r>
        <w:rPr>
          <w:rFonts w:ascii="Courier New" w:cs="Courier New" w:eastAsia="Courier New" w:hAnsi="Courier New"/>
          <w:sz w:val="15"/>
          <w:szCs w:val="15"/>
          <w:color w:val="auto"/>
        </w:rPr>
        <w:t>In management's view, the Company has complied with all federal, state and local standards in the area of safety, health and pollution and environmental controls. Compliance with these standards has not had a material adverse effect on past earnings, capital expenditures or competitive position.</w:t>
      </w:r>
    </w:p>
    <w:p>
      <w:pPr>
        <w:spacing w:after="0" w:line="174" w:lineRule="exact"/>
        <w:rPr>
          <w:sz w:val="20"/>
          <w:szCs w:val="20"/>
          <w:color w:val="auto"/>
        </w:rPr>
      </w:pPr>
    </w:p>
    <w:p>
      <w:pPr>
        <w:ind w:left="1060" w:right="3399"/>
        <w:spacing w:after="0" w:line="236" w:lineRule="auto"/>
        <w:rPr>
          <w:sz w:val="20"/>
          <w:szCs w:val="20"/>
          <w:color w:val="auto"/>
        </w:rPr>
      </w:pPr>
      <w:r>
        <w:rPr>
          <w:rFonts w:ascii="Courier New" w:cs="Courier New" w:eastAsia="Courier New" w:hAnsi="Courier New"/>
          <w:sz w:val="15"/>
          <w:szCs w:val="15"/>
          <w:color w:val="auto"/>
        </w:rPr>
        <w:t>The Company anticipates increased regulation on the furniture industry from federal and state agencies particularly in the areas of emission of fumes from the furniture finishing processes and emission of particulates into the atmosphere (saw dust and boiler ash). It is not possible at this time to estimate the impact of compliance with these new, more stringent standards on the Company's operations or costs.</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Company had approximately 6,900 employees at November 30, 1996.</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FOREIGN AND DOMESTIC OPERATIONS AND EXPORT SALES</w:t>
      </w:r>
    </w:p>
    <w:p>
      <w:pPr>
        <w:spacing w:after="0" w:line="173" w:lineRule="exact"/>
        <w:rPr>
          <w:sz w:val="20"/>
          <w:szCs w:val="20"/>
          <w:color w:val="auto"/>
        </w:rPr>
      </w:pPr>
    </w:p>
    <w:p>
      <w:pPr>
        <w:ind w:left="1060" w:right="3679"/>
        <w:spacing w:after="0" w:line="234" w:lineRule="auto"/>
        <w:rPr>
          <w:sz w:val="20"/>
          <w:szCs w:val="20"/>
          <w:color w:val="auto"/>
        </w:rPr>
      </w:pPr>
      <w:r>
        <w:rPr>
          <w:rFonts w:ascii="Courier New" w:cs="Courier New" w:eastAsia="Courier New" w:hAnsi="Courier New"/>
          <w:sz w:val="15"/>
          <w:szCs w:val="15"/>
          <w:color w:val="auto"/>
        </w:rPr>
        <w:t>The Company has no foreign operations, and its export sales are insignificant.</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Company owns the following operating facilities:</w:t>
      </w:r>
    </w:p>
    <w:p>
      <w:pPr>
        <w:spacing w:after="0" w:line="200" w:lineRule="exact"/>
        <w:rPr>
          <w:sz w:val="20"/>
          <w:szCs w:val="20"/>
          <w:color w:val="auto"/>
        </w:rPr>
      </w:pP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320" w:type="dxa"/>
            <w:vAlign w:val="bottom"/>
            <w:gridSpan w:val="2"/>
          </w:tcPr>
          <w:p>
            <w:pPr>
              <w:jc w:val="right"/>
              <w:ind w:right="1407"/>
              <w:spacing w:after="0"/>
              <w:rPr>
                <w:sz w:val="20"/>
                <w:szCs w:val="20"/>
                <w:color w:val="auto"/>
              </w:rPr>
            </w:pPr>
            <w:r>
              <w:rPr>
                <w:rFonts w:ascii="Courier New" w:cs="Courier New" w:eastAsia="Courier New" w:hAnsi="Courier New"/>
                <w:sz w:val="15"/>
                <w:szCs w:val="15"/>
                <w:color w:val="auto"/>
              </w:rPr>
              <w:t>Plant Name</w:t>
            </w:r>
          </w:p>
        </w:tc>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Location</w:t>
            </w:r>
          </w:p>
        </w:tc>
        <w:tc>
          <w:tcPr>
            <w:tcW w:w="3060" w:type="dxa"/>
            <w:vAlign w:val="bottom"/>
          </w:tcPr>
          <w:p>
            <w:pPr>
              <w:ind w:left="1040"/>
              <w:spacing w:after="0"/>
              <w:rPr>
                <w:sz w:val="20"/>
                <w:szCs w:val="20"/>
                <w:color w:val="auto"/>
              </w:rPr>
            </w:pPr>
            <w:r>
              <w:rPr>
                <w:rFonts w:ascii="Courier New" w:cs="Courier New" w:eastAsia="Courier New" w:hAnsi="Courier New"/>
                <w:sz w:val="15"/>
                <w:szCs w:val="15"/>
                <w:color w:val="auto"/>
              </w:rPr>
              <w:t>Construction</w:t>
            </w:r>
          </w:p>
        </w:tc>
      </w:tr>
      <w:tr>
        <w:trPr>
          <w:trHeight w:val="168"/>
        </w:trPr>
        <w:tc>
          <w:tcPr>
            <w:tcW w:w="332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J. D. Bassett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Manufacturing Company</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Bassett, VA (2 plants)</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Brick, frame and concrete</w:t>
            </w: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Bassett Superior Lines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w w:val="96"/>
              </w:rPr>
              <w:t>Brick, frame, concrete and steel</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Bassett Chair</w:t>
            </w:r>
          </w:p>
        </w:tc>
        <w:tc>
          <w:tcPr>
            <w:tcW w:w="21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Company</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w w:val="96"/>
              </w:rPr>
              <w:t>Brick, frame, concrete and steel</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Bassett Table</w:t>
            </w:r>
          </w:p>
        </w:tc>
        <w:tc>
          <w:tcPr>
            <w:tcW w:w="21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Company</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Brick and frame</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 M. Bassett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Furniture Company</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Martinsville, VA</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w w:val="96"/>
              </w:rPr>
              <w:t>Brick, frame, concrete and steel</w:t>
            </w: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Bassett Fiberboard</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Bassett Upholstery Division</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Newton, NC (4 plants)</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Brick, concrete and steel</w:t>
            </w:r>
          </w:p>
        </w:tc>
      </w:tr>
    </w:tbl>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tbl>
      <w:tblPr>
        <w:tblLayout w:type="fixed"/>
        <w:tblInd w:w="106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25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w w:val="99"/>
              </w:rPr>
              <w:t>Page 4 of 27</w:t>
            </w:r>
          </w:p>
        </w:tc>
        <w:tc>
          <w:tcPr>
            <w:tcW w:w="2840" w:type="dxa"/>
            <w:vAlign w:val="bottom"/>
          </w:tcPr>
          <w:p>
            <w:pPr>
              <w:spacing w:after="0"/>
              <w:rPr>
                <w:sz w:val="14"/>
                <w:szCs w:val="14"/>
                <w:color w:val="auto"/>
              </w:rPr>
            </w:pPr>
          </w:p>
        </w:tc>
      </w:tr>
      <w:tr>
        <w:trPr>
          <w:trHeight w:val="673"/>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Taylorsville, NC</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Dumas, AR</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Bassett Furniture Industries of North</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Statesville, NC</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Carolina, Inc.</w:t>
            </w:r>
          </w:p>
        </w:tc>
        <w:tc>
          <w:tcPr>
            <w:tcW w:w="25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Bassett of NC - Dublin</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Dublin, GA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Bassett of NC - Macon</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Macon, GA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Bassett Wood Products</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Dumas, AR</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Burkeville Veneer</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Burkeville, VA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and frame</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National/Mt. Airy</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Mt. Airy, NC</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Weiman Division</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Christiansburg, VA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Metal frame</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 B. Malone Corporation</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Lake Wales, FL</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frame</w:t>
            </w:r>
          </w:p>
        </w:tc>
      </w:tr>
      <w:tr>
        <w:trPr>
          <w:trHeight w:val="168"/>
        </w:trPr>
        <w:tc>
          <w:tcPr>
            <w:tcW w:w="3420" w:type="dxa"/>
            <w:vAlign w:val="bottom"/>
          </w:tcPr>
          <w:p>
            <w:pPr>
              <w:spacing w:after="0"/>
              <w:rPr>
                <w:sz w:val="14"/>
                <w:szCs w:val="14"/>
                <w:color w:val="auto"/>
              </w:rPr>
            </w:pP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 plants)</w:t>
            </w:r>
          </w:p>
        </w:tc>
        <w:tc>
          <w:tcPr>
            <w:tcW w:w="284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Pottstown, PA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Metal frame</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West Palm Beach, FL</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steel</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Walworth, WI</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steel</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Fredericksburg, VA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and frame</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Chehalis, WA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metal frame</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Los Angeles, CA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metal frame</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Los Angeles, CA</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336"/>
        </w:trPr>
        <w:tc>
          <w:tcPr>
            <w:tcW w:w="342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Tipton, MO</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Concrete block and steel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Impact Furniture</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Hickory, NC (1 plant</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3420" w:type="dxa"/>
            <w:vAlign w:val="bottom"/>
          </w:tcPr>
          <w:p>
            <w:pPr>
              <w:spacing w:after="0"/>
              <w:rPr>
                <w:sz w:val="14"/>
                <w:szCs w:val="14"/>
                <w:color w:val="auto"/>
              </w:rPr>
            </w:pP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warehouse)</w:t>
            </w:r>
          </w:p>
        </w:tc>
        <w:tc>
          <w:tcPr>
            <w:tcW w:w="284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Bassett Motion Division</w:t>
            </w:r>
          </w:p>
        </w:tc>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Booneville, MS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Metal frame</w:t>
            </w:r>
          </w:p>
        </w:tc>
      </w:tr>
      <w:tr>
        <w:trPr>
          <w:trHeight w:val="168"/>
        </w:trPr>
        <w:tc>
          <w:tcPr>
            <w:tcW w:w="3420" w:type="dxa"/>
            <w:vAlign w:val="bottom"/>
          </w:tcPr>
          <w:p>
            <w:pPr>
              <w:spacing w:after="0"/>
              <w:rPr>
                <w:sz w:val="14"/>
                <w:szCs w:val="14"/>
                <w:color w:val="auto"/>
              </w:rPr>
            </w:pP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 plants)</w:t>
            </w:r>
          </w:p>
        </w:tc>
        <w:tc>
          <w:tcPr>
            <w:tcW w:w="28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1060" w:right="3499"/>
        <w:spacing w:after="0" w:line="235" w:lineRule="auto"/>
        <w:rPr>
          <w:sz w:val="20"/>
          <w:szCs w:val="20"/>
          <w:color w:val="auto"/>
        </w:rPr>
      </w:pPr>
      <w:r>
        <w:rPr>
          <w:rFonts w:ascii="Courier New" w:cs="Courier New" w:eastAsia="Courier New" w:hAnsi="Courier New"/>
          <w:sz w:val="15"/>
          <w:szCs w:val="15"/>
          <w:color w:val="auto"/>
        </w:rPr>
        <w:t>The Company also owns its general office building in Bassett, Virginia (brick, concrete and steel), two warehouses in Bassett, Virginia (brick and concrete) and a showroom in High Point, North Carolina (brick, concrete and steel).</w:t>
      </w:r>
    </w:p>
    <w:p>
      <w:pPr>
        <w:spacing w:after="0" w:line="175" w:lineRule="exact"/>
        <w:rPr>
          <w:sz w:val="20"/>
          <w:szCs w:val="20"/>
          <w:color w:val="auto"/>
        </w:rPr>
      </w:pPr>
    </w:p>
    <w:p>
      <w:pPr>
        <w:ind w:left="1060" w:right="3399"/>
        <w:spacing w:after="0" w:line="235" w:lineRule="auto"/>
        <w:rPr>
          <w:sz w:val="20"/>
          <w:szCs w:val="20"/>
          <w:color w:val="auto"/>
        </w:rPr>
      </w:pPr>
      <w:r>
        <w:rPr>
          <w:rFonts w:ascii="Courier New" w:cs="Courier New" w:eastAsia="Courier New" w:hAnsi="Courier New"/>
          <w:sz w:val="15"/>
          <w:szCs w:val="15"/>
          <w:color w:val="auto"/>
        </w:rPr>
        <w:t>In general, these facilities are suitable and are considered to be adequate for the continuing operations involved. All facilities are in regular use.</w:t>
      </w:r>
    </w:p>
    <w:p>
      <w:pPr>
        <w:spacing w:after="0" w:line="33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5 of 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1060" w:right="357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STOCK AND RELATED STOCKHOLDER MATTERS</w:t>
      </w:r>
    </w:p>
    <w:p>
      <w:pPr>
        <w:spacing w:after="0" w:line="173" w:lineRule="exact"/>
        <w:rPr>
          <w:sz w:val="20"/>
          <w:szCs w:val="20"/>
          <w:color w:val="auto"/>
        </w:rPr>
      </w:pPr>
    </w:p>
    <w:p>
      <w:pPr>
        <w:ind w:left="1060" w:right="3579"/>
        <w:spacing w:after="0" w:line="256" w:lineRule="auto"/>
        <w:rPr>
          <w:sz w:val="20"/>
          <w:szCs w:val="20"/>
          <w:color w:val="auto"/>
        </w:rPr>
      </w:pPr>
      <w:r>
        <w:rPr>
          <w:rFonts w:ascii="Courier New" w:cs="Courier New" w:eastAsia="Courier New" w:hAnsi="Courier New"/>
          <w:sz w:val="14"/>
          <w:szCs w:val="14"/>
          <w:color w:val="auto"/>
        </w:rPr>
        <w:t>The information contained in the Annual Report under the caption "Other Business Data" - "Market and Dividend Information" with respect to number of stockholders, market prices and dividends paid is incorporated herein by reference thereto.</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1060" w:right="3759"/>
        <w:spacing w:after="0" w:line="235" w:lineRule="auto"/>
        <w:rPr>
          <w:sz w:val="20"/>
          <w:szCs w:val="20"/>
          <w:color w:val="auto"/>
        </w:rPr>
      </w:pPr>
      <w:r>
        <w:rPr>
          <w:rFonts w:ascii="Courier New" w:cs="Courier New" w:eastAsia="Courier New" w:hAnsi="Courier New"/>
          <w:sz w:val="15"/>
          <w:szCs w:val="15"/>
          <w:color w:val="auto"/>
        </w:rPr>
        <w:t>The information for the five years ended November 30, 1996, contained in the "Other Business Data" in the Annual Report is incorporated herein by reference thereto.</w:t>
      </w:r>
    </w:p>
    <w:p>
      <w:pPr>
        <w:spacing w:after="0" w:line="174" w:lineRule="exact"/>
        <w:rPr>
          <w:sz w:val="20"/>
          <w:szCs w:val="20"/>
          <w:color w:val="auto"/>
        </w:rPr>
      </w:pPr>
    </w:p>
    <w:p>
      <w:pPr>
        <w:ind w:left="1060" w:right="367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left="1060" w:right="3579"/>
        <w:spacing w:after="0" w:line="234" w:lineRule="auto"/>
        <w:rPr>
          <w:sz w:val="20"/>
          <w:szCs w:val="20"/>
          <w:color w:val="auto"/>
        </w:rPr>
      </w:pPr>
      <w:r>
        <w:rPr>
          <w:rFonts w:ascii="Courier New" w:cs="Courier New" w:eastAsia="Courier New" w:hAnsi="Courier New"/>
          <w:sz w:val="15"/>
          <w:szCs w:val="15"/>
          <w:color w:val="auto"/>
        </w:rPr>
        <w:t>The information contained in "Other Business Data" in the Annual Report is incorporated herein by reference thereto.</w:t>
      </w:r>
    </w:p>
    <w:p>
      <w:pPr>
        <w:spacing w:after="0" w:line="173" w:lineRule="exact"/>
        <w:rPr>
          <w:sz w:val="20"/>
          <w:szCs w:val="20"/>
          <w:color w:val="auto"/>
        </w:rPr>
      </w:pPr>
    </w:p>
    <w:p>
      <w:pPr>
        <w:ind w:left="1060" w:right="3399"/>
        <w:spacing w:after="0" w:line="236" w:lineRule="auto"/>
        <w:rPr>
          <w:sz w:val="20"/>
          <w:szCs w:val="20"/>
          <w:color w:val="auto"/>
        </w:rPr>
      </w:pPr>
      <w:r>
        <w:rPr>
          <w:rFonts w:ascii="Courier New" w:cs="Courier New" w:eastAsia="Courier New" w:hAnsi="Courier New"/>
          <w:sz w:val="15"/>
          <w:szCs w:val="15"/>
          <w:color w:val="auto"/>
        </w:rPr>
        <w:t>The change in the level of the Company's net sales has historically been principally due to the change in the volume of units sold, as contrasted to changes in unit prices. The Company's net sales have fluctuated in recent years owing to the discretionary spending habits of consumers and the consumer confidence level.</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left="1060" w:right="3399"/>
        <w:spacing w:after="0" w:line="236" w:lineRule="auto"/>
        <w:rPr>
          <w:sz w:val="20"/>
          <w:szCs w:val="20"/>
          <w:color w:val="auto"/>
        </w:rPr>
      </w:pPr>
      <w:r>
        <w:rPr>
          <w:rFonts w:ascii="Courier New" w:cs="Courier New" w:eastAsia="Courier New" w:hAnsi="Courier New"/>
          <w:sz w:val="15"/>
          <w:szCs w:val="15"/>
          <w:color w:val="auto"/>
        </w:rPr>
        <w:t>The following consolidated financial statements of the registrant and its subsidiaries, together with the independent auditors' report thereon of KPMG Peat Marwick LLP dated December 17, 1996, included in the annual report of the registrant to its stockholders for the year ended November 30, 1996 are incorporated herein by reference thereto:</w:t>
      </w:r>
    </w:p>
    <w:p>
      <w:pPr>
        <w:spacing w:after="0" w:line="168"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Balance Sheet--November 30, 1996 and 1995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Income--Years Ended November 30,</w:t>
      </w:r>
    </w:p>
    <w:p>
      <w:pPr>
        <w:ind w:left="1500"/>
        <w:spacing w:after="0" w:line="237" w:lineRule="auto"/>
        <w:rPr>
          <w:sz w:val="20"/>
          <w:szCs w:val="20"/>
          <w:color w:val="auto"/>
        </w:rPr>
      </w:pPr>
      <w:r>
        <w:rPr>
          <w:rFonts w:ascii="Courier New" w:cs="Courier New" w:eastAsia="Courier New" w:hAnsi="Courier New"/>
          <w:sz w:val="15"/>
          <w:szCs w:val="15"/>
          <w:color w:val="auto"/>
        </w:rPr>
        <w:t>1996, 1995 and 1994</w:t>
      </w:r>
    </w:p>
    <w:p>
      <w:pPr>
        <w:spacing w:after="0" w:line="173" w:lineRule="exact"/>
        <w:rPr>
          <w:sz w:val="20"/>
          <w:szCs w:val="20"/>
          <w:color w:val="auto"/>
        </w:rPr>
      </w:pPr>
    </w:p>
    <w:p>
      <w:pPr>
        <w:ind w:left="1500" w:right="3579"/>
        <w:spacing w:after="0" w:line="234" w:lineRule="auto"/>
        <w:rPr>
          <w:sz w:val="20"/>
          <w:szCs w:val="20"/>
          <w:color w:val="auto"/>
        </w:rPr>
      </w:pPr>
      <w:r>
        <w:rPr>
          <w:rFonts w:ascii="Courier New" w:cs="Courier New" w:eastAsia="Courier New" w:hAnsi="Courier New"/>
          <w:sz w:val="15"/>
          <w:szCs w:val="15"/>
          <w:color w:val="auto"/>
        </w:rPr>
        <w:t>Consolidated Statement of Stockholders' Equity--Years Ended November 30, 1996, 1995 and 1994</w:t>
      </w:r>
    </w:p>
    <w:p>
      <w:pPr>
        <w:spacing w:after="0" w:line="173" w:lineRule="exact"/>
        <w:rPr>
          <w:sz w:val="20"/>
          <w:szCs w:val="20"/>
          <w:color w:val="auto"/>
        </w:rPr>
      </w:pPr>
    </w:p>
    <w:p>
      <w:pPr>
        <w:ind w:left="1500" w:right="3319"/>
        <w:spacing w:after="0" w:line="234" w:lineRule="auto"/>
        <w:rPr>
          <w:sz w:val="20"/>
          <w:szCs w:val="20"/>
          <w:color w:val="auto"/>
        </w:rPr>
      </w:pPr>
      <w:r>
        <w:rPr>
          <w:rFonts w:ascii="Courier New" w:cs="Courier New" w:eastAsia="Courier New" w:hAnsi="Courier New"/>
          <w:sz w:val="15"/>
          <w:szCs w:val="15"/>
          <w:color w:val="auto"/>
        </w:rPr>
        <w:t>Consolidated Statement of Cash Flows--Years Ended November 30, 1996, 1995 and 1994</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left="1060" w:right="3399"/>
        <w:spacing w:after="0" w:line="235" w:lineRule="auto"/>
        <w:rPr>
          <w:sz w:val="20"/>
          <w:szCs w:val="20"/>
          <w:color w:val="auto"/>
        </w:rPr>
      </w:pPr>
      <w:r>
        <w:rPr>
          <w:rFonts w:ascii="Courier New" w:cs="Courier New" w:eastAsia="Courier New" w:hAnsi="Courier New"/>
          <w:sz w:val="15"/>
          <w:szCs w:val="15"/>
          <w:color w:val="auto"/>
        </w:rPr>
        <w:t>The information contained in "Other Business Data" for "Quarterly Results of Operations" in the Annual Report is incorporated herein by reference thereto.</w:t>
      </w:r>
    </w:p>
    <w:p>
      <w:pPr>
        <w:spacing w:after="0" w:line="174" w:lineRule="exact"/>
        <w:rPr>
          <w:sz w:val="20"/>
          <w:szCs w:val="20"/>
          <w:color w:val="auto"/>
        </w:rPr>
      </w:pPr>
    </w:p>
    <w:p>
      <w:pPr>
        <w:ind w:left="1060" w:right="367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6 of 27</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ind w:left="1060" w:right="331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EXECUTIVE OFFICERS, PROMOTERS AND CONTROL PERSONS OF THE REGISTRANT</w:t>
      </w:r>
    </w:p>
    <w:p>
      <w:pPr>
        <w:spacing w:after="0" w:line="173" w:lineRule="exact"/>
        <w:rPr>
          <w:sz w:val="20"/>
          <w:szCs w:val="20"/>
          <w:color w:val="auto"/>
        </w:rPr>
      </w:pPr>
    </w:p>
    <w:p>
      <w:pPr>
        <w:ind w:left="1060" w:right="3499"/>
        <w:spacing w:after="0" w:line="235" w:lineRule="auto"/>
        <w:rPr>
          <w:sz w:val="20"/>
          <w:szCs w:val="20"/>
          <w:color w:val="auto"/>
        </w:rPr>
      </w:pPr>
      <w:r>
        <w:rPr>
          <w:rFonts w:ascii="Courier New" w:cs="Courier New" w:eastAsia="Courier New" w:hAnsi="Courier New"/>
          <w:sz w:val="15"/>
          <w:szCs w:val="15"/>
          <w:color w:val="auto"/>
        </w:rPr>
        <w:t>The information contained on pages 2 through 6 of the Proxy Statement under the captions "Principal Stockholders and Holdings of Management" and "Election of Directors" is incorporated herein by reference thereto.</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left="1060" w:right="3759"/>
        <w:spacing w:after="0" w:line="256" w:lineRule="auto"/>
        <w:rPr>
          <w:sz w:val="20"/>
          <w:szCs w:val="20"/>
          <w:color w:val="auto"/>
        </w:rPr>
      </w:pPr>
      <w:r>
        <w:rPr>
          <w:rFonts w:ascii="Courier New" w:cs="Courier New" w:eastAsia="Courier New" w:hAnsi="Courier New"/>
          <w:sz w:val="14"/>
          <w:szCs w:val="14"/>
          <w:color w:val="auto"/>
        </w:rPr>
        <w:t>The information contained on pages 7 through 14 of the Proxy Statement under the captions "Organization, Compensation and Nominating Committee Report", "Stockholder Return Performance Graph", "Executive Compensation", and "Supplemental Retirement Income Plan" is incorporated herein by reference thereto.</w:t>
      </w:r>
    </w:p>
    <w:p>
      <w:pPr>
        <w:spacing w:after="0" w:line="163" w:lineRule="exact"/>
        <w:rPr>
          <w:sz w:val="20"/>
          <w:szCs w:val="20"/>
          <w:color w:val="auto"/>
        </w:rPr>
      </w:pPr>
    </w:p>
    <w:p>
      <w:pPr>
        <w:ind w:left="1060" w:right="471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left="1060" w:right="3499"/>
        <w:spacing w:after="0" w:line="258" w:lineRule="auto"/>
        <w:rPr>
          <w:sz w:val="20"/>
          <w:szCs w:val="20"/>
          <w:color w:val="auto"/>
        </w:rPr>
      </w:pPr>
      <w:r>
        <w:rPr>
          <w:rFonts w:ascii="Courier New" w:cs="Courier New" w:eastAsia="Courier New" w:hAnsi="Courier New"/>
          <w:sz w:val="14"/>
          <w:szCs w:val="14"/>
          <w:color w:val="auto"/>
        </w:rPr>
        <w:t>The information contained on pages 2 and 3 of the Proxy Statement under the heading "Principal Stockholders and Holdings of Management" is incorporated herein by reference thereto.</w:t>
      </w:r>
    </w:p>
    <w:p>
      <w:pPr>
        <w:spacing w:after="0" w:line="15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5"/>
          <w:szCs w:val="15"/>
          <w:color w:val="auto"/>
        </w:rPr>
        <w:t>The information contained on page 7 of the Proxy statement under the heading "Organization and Compensation Committee Interlocks and Insider Participation" is incorporated herein by reference thereto.</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 AND REPORTS ON FORM 8-K</w:t>
      </w:r>
    </w:p>
    <w:p>
      <w:pPr>
        <w:spacing w:after="0" w:line="173" w:lineRule="exact"/>
        <w:rPr>
          <w:sz w:val="20"/>
          <w:szCs w:val="20"/>
          <w:color w:val="auto"/>
        </w:rPr>
      </w:pPr>
    </w:p>
    <w:p>
      <w:pPr>
        <w:ind w:left="1840" w:right="3399" w:hanging="781"/>
        <w:spacing w:after="0" w:line="234" w:lineRule="auto"/>
        <w:tabs>
          <w:tab w:leader="none" w:pos="140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response to this portion of Item 14 is submitted as a separate section of this report.</w:t>
      </w:r>
    </w:p>
    <w:p>
      <w:pPr>
        <w:spacing w:after="0" w:line="173" w:lineRule="exact"/>
        <w:rPr>
          <w:rFonts w:ascii="Courier New" w:cs="Courier New" w:eastAsia="Courier New" w:hAnsi="Courier New"/>
          <w:sz w:val="15"/>
          <w:szCs w:val="15"/>
          <w:color w:val="auto"/>
        </w:rPr>
      </w:pPr>
    </w:p>
    <w:p>
      <w:pPr>
        <w:ind w:left="1840" w:right="3399" w:hanging="431"/>
        <w:spacing w:after="0" w:line="236" w:lineRule="auto"/>
        <w:tabs>
          <w:tab w:leader="none" w:pos="18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statement schedules for which provision is made in the applicable accounting regulations of the Securities and Exchange Commission are not required under the related instructions or are inapplicable and, therefore, have been omitted.</w:t>
      </w:r>
    </w:p>
    <w:p>
      <w:pPr>
        <w:spacing w:after="0" w:line="167" w:lineRule="exact"/>
        <w:rPr>
          <w:rFonts w:ascii="Courier New" w:cs="Courier New" w:eastAsia="Courier New" w:hAnsi="Courier New"/>
          <w:sz w:val="15"/>
          <w:szCs w:val="15"/>
          <w:color w:val="auto"/>
        </w:rPr>
      </w:pPr>
    </w:p>
    <w:p>
      <w:pPr>
        <w:ind w:left="1840" w:hanging="431"/>
        <w:spacing w:after="0"/>
        <w:tabs>
          <w:tab w:leader="none" w:pos="18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173" w:lineRule="exact"/>
        <w:rPr>
          <w:sz w:val="20"/>
          <w:szCs w:val="20"/>
          <w:color w:val="auto"/>
        </w:rPr>
      </w:pPr>
    </w:p>
    <w:p>
      <w:pPr>
        <w:ind w:left="2280" w:right="3399" w:hanging="434"/>
        <w:spacing w:after="0" w:line="235" w:lineRule="auto"/>
        <w:tabs>
          <w:tab w:leader="none" w:pos="2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as amended and By Laws are incorporated herein by reference to Form 10-Q for the fiscal quarter ended February 28, 1994.</w:t>
      </w:r>
    </w:p>
    <w:p>
      <w:pPr>
        <w:spacing w:after="0" w:line="174" w:lineRule="exact"/>
        <w:rPr>
          <w:sz w:val="20"/>
          <w:szCs w:val="20"/>
          <w:color w:val="auto"/>
        </w:rPr>
      </w:pPr>
    </w:p>
    <w:p>
      <w:pPr>
        <w:ind w:left="2280" w:right="3239" w:hanging="434"/>
        <w:spacing w:after="0" w:line="234" w:lineRule="auto"/>
        <w:tabs>
          <w:tab w:leader="none" w:pos="2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Annual Report to Stockholders for the year ended November 30, 1996.*</w:t>
      </w:r>
    </w:p>
    <w:p>
      <w:pPr>
        <w:spacing w:after="0" w:line="167" w:lineRule="exact"/>
        <w:rPr>
          <w:sz w:val="20"/>
          <w:szCs w:val="20"/>
          <w:color w:val="auto"/>
        </w:rPr>
      </w:pPr>
    </w:p>
    <w:p>
      <w:pPr>
        <w:ind w:left="2280" w:hanging="434"/>
        <w:spacing w:after="0"/>
        <w:tabs>
          <w:tab w:leader="none" w:pos="2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66" w:lineRule="exact"/>
        <w:rPr>
          <w:sz w:val="20"/>
          <w:szCs w:val="20"/>
          <w:color w:val="auto"/>
        </w:rPr>
      </w:pPr>
    </w:p>
    <w:p>
      <w:pPr>
        <w:ind w:left="2280" w:hanging="434"/>
        <w:spacing w:after="0"/>
        <w:tabs>
          <w:tab w:leader="none" w:pos="2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experts and counsel</w:t>
      </w:r>
    </w:p>
    <w:p>
      <w:pPr>
        <w:spacing w:after="0" w:line="166" w:lineRule="exact"/>
        <w:rPr>
          <w:sz w:val="20"/>
          <w:szCs w:val="20"/>
          <w:color w:val="auto"/>
        </w:rPr>
      </w:pPr>
    </w:p>
    <w:p>
      <w:pPr>
        <w:ind w:left="2280" w:hanging="434"/>
        <w:spacing w:after="0"/>
        <w:tabs>
          <w:tab w:leader="none" w:pos="2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filing only)</w:t>
      </w:r>
    </w:p>
    <w:p>
      <w:pPr>
        <w:spacing w:after="0" w:line="173" w:lineRule="exact"/>
        <w:rPr>
          <w:sz w:val="20"/>
          <w:szCs w:val="20"/>
          <w:color w:val="auto"/>
        </w:rPr>
      </w:pPr>
    </w:p>
    <w:p>
      <w:pPr>
        <w:ind w:left="1400" w:right="3399"/>
        <w:spacing w:after="0" w:line="235" w:lineRule="auto"/>
        <w:rPr>
          <w:sz w:val="20"/>
          <w:szCs w:val="20"/>
          <w:color w:val="auto"/>
        </w:rPr>
      </w:pPr>
      <w:r>
        <w:rPr>
          <w:rFonts w:ascii="Courier New" w:cs="Courier New" w:eastAsia="Courier New" w:hAnsi="Courier New"/>
          <w:sz w:val="15"/>
          <w:szCs w:val="15"/>
          <w:color w:val="auto"/>
        </w:rPr>
        <w:t>*With the exception of the information incorporated in this Form 10-K by reference thereto, the Annual Report shall not be deemed "filed" as a part of this Form 10-K.</w:t>
      </w:r>
    </w:p>
    <w:p>
      <w:pPr>
        <w:sectPr>
          <w:pgSz w:w="11900" w:h="16838" w:orient="portrait"/>
          <w:cols w:equalWidth="0" w:num="1">
            <w:col w:w="10239"/>
          </w:cols>
          <w:pgMar w:left="220" w:top="28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7 of 27</w:t>
      </w:r>
    </w:p>
    <w:p>
      <w:pPr>
        <w:spacing w:after="0" w:line="173" w:lineRule="exact"/>
        <w:rPr>
          <w:sz w:val="20"/>
          <w:szCs w:val="20"/>
          <w:color w:val="auto"/>
        </w:rPr>
      </w:pPr>
    </w:p>
    <w:p>
      <w:pPr>
        <w:ind w:left="1120" w:right="3399" w:hanging="341"/>
        <w:spacing w:after="0" w:line="234" w:lineRule="auto"/>
        <w:tabs>
          <w:tab w:leader="none" w:pos="11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registrant's 1996 fiscal year.</w:t>
      </w:r>
    </w:p>
    <w:p>
      <w:pPr>
        <w:spacing w:after="0" w:line="173" w:lineRule="exact"/>
        <w:rPr>
          <w:rFonts w:ascii="Courier New" w:cs="Courier New" w:eastAsia="Courier New" w:hAnsi="Courier New"/>
          <w:sz w:val="15"/>
          <w:szCs w:val="15"/>
          <w:color w:val="auto"/>
        </w:rPr>
      </w:pPr>
    </w:p>
    <w:p>
      <w:pPr>
        <w:ind w:left="1120" w:right="3319" w:hanging="341"/>
        <w:spacing w:after="0" w:line="234" w:lineRule="auto"/>
        <w:tabs>
          <w:tab w:leader="none" w:pos="11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response to this portion of Item 14. is submitted as a separate section of this report.</w:t>
      </w:r>
    </w:p>
    <w:p>
      <w:pPr>
        <w:spacing w:after="0" w:line="173" w:lineRule="exact"/>
        <w:rPr>
          <w:rFonts w:ascii="Courier New" w:cs="Courier New" w:eastAsia="Courier New" w:hAnsi="Courier New"/>
          <w:sz w:val="15"/>
          <w:szCs w:val="15"/>
          <w:color w:val="auto"/>
        </w:rPr>
      </w:pPr>
    </w:p>
    <w:p>
      <w:pPr>
        <w:ind w:left="1120" w:right="3499" w:hanging="341"/>
        <w:spacing w:after="0" w:line="236" w:lineRule="auto"/>
        <w:tabs>
          <w:tab w:leader="none" w:pos="11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All financial statement schedules for which provision is made in the applicable accounting regulations of the Securities and Exchange Commission are not required under the related instructions or are inapplicable and, therefore, have been omitted.</w:t>
      </w:r>
    </w:p>
    <w:p>
      <w:pPr>
        <w:sectPr>
          <w:pgSz w:w="11900" w:h="16838" w:orient="portrait"/>
          <w:cols w:equalWidth="0" w:num="1">
            <w:col w:w="9959"/>
          </w:cols>
          <w:pgMar w:left="500" w:top="28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8 of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ANNUAL REPORT ON FORM 10-K</w:t>
      </w:r>
    </w:p>
    <w:p>
      <w:pPr>
        <w:ind w:left="2260"/>
        <w:spacing w:after="0" w:line="237" w:lineRule="auto"/>
        <w:rPr>
          <w:sz w:val="20"/>
          <w:szCs w:val="20"/>
          <w:color w:val="auto"/>
        </w:rPr>
      </w:pPr>
      <w:r>
        <w:rPr>
          <w:rFonts w:ascii="Courier New" w:cs="Courier New" w:eastAsia="Courier New" w:hAnsi="Courier New"/>
          <w:sz w:val="15"/>
          <w:szCs w:val="15"/>
          <w:color w:val="auto"/>
        </w:rPr>
        <w:t>ITEM 14(a)(1) AND (c)</w:t>
      </w:r>
    </w:p>
    <w:p>
      <w:pPr>
        <w:spacing w:after="0" w:line="16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LIST OF FINANCIAL STATEMENTS</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CERTAIN EXHIBITS</w:t>
      </w:r>
    </w:p>
    <w:p>
      <w:pPr>
        <w:spacing w:after="0" w:line="16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YEAR ENDED NOVEMBER 30, 1996</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BASSETT, VIRGINIA</w:t>
      </w:r>
    </w:p>
    <w:p>
      <w:pPr>
        <w:sectPr>
          <w:pgSz w:w="11900" w:h="16838" w:orient="portrait"/>
          <w:cols w:equalWidth="0" w:num="1">
            <w:col w:w="9959"/>
          </w:cols>
          <w:pgMar w:left="50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9 of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14(a)(1)</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LIST OF FINANCIAL STATEMENTS AND FINANCIAL STATEMENT SCHEDULE</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of the registrant and its subsidiaries, included in the annual report of the registrant to its stockholders for the year ended November 30, 1996 are incorporated herein by reference: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Balance Sheet--November 30, 1996 and 1995</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Consolidated Statement of Income--Years Ended November 30, 1996, 1995 and 1994</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Consolidated Statement of Stockholders' Equity--Years Ended November 30, 1996, 1995 and 1994</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Consolidated Statement of Cash Flows--Years Ended November 30, 1996, 1995 and 1994</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Page 10 of 27</w:t>
      </w:r>
    </w:p>
    <w:p>
      <w:pPr>
        <w:spacing w:after="0" w:line="34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400" w:right="420" w:hanging="339"/>
        <w:spacing w:after="0" w:line="234" w:lineRule="auto"/>
        <w:tabs>
          <w:tab w:leader="none" w:pos="1380" w:val="left"/>
        </w:tabs>
        <w:rPr>
          <w:sz w:val="20"/>
          <w:szCs w:val="20"/>
          <w:color w:val="auto"/>
        </w:rPr>
      </w:pPr>
      <w:r>
        <w:rPr>
          <w:rFonts w:ascii="Courier New" w:cs="Courier New" w:eastAsia="Courier New" w:hAnsi="Courier New"/>
          <w:sz w:val="15"/>
          <w:szCs w:val="15"/>
          <w:color w:val="auto"/>
        </w:rPr>
        <w:t>By:</w:t>
        <w:tab/>
        <w:t>/s/ROBERT H. SPILMAN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5680" w:space="720"/>
            <w:col w:w="440" w:space="420"/>
            <w:col w:w="2979"/>
          </w:cols>
          <w:pgMar w:left="220" w:top="281" w:right="1440" w:bottom="1440" w:gutter="0" w:footer="0" w:header="0"/>
          <w:type w:val="continuous"/>
        </w:sectPr>
      </w:pPr>
    </w:p>
    <w:p>
      <w:pPr>
        <w:ind w:left="1400"/>
        <w:spacing w:after="0" w:line="237" w:lineRule="auto"/>
        <w:rPr>
          <w:sz w:val="20"/>
          <w:szCs w:val="20"/>
          <w:color w:val="auto"/>
        </w:rPr>
      </w:pPr>
      <w:r>
        <w:rPr>
          <w:rFonts w:ascii="Courier New" w:cs="Courier New" w:eastAsia="Courier New" w:hAnsi="Courier New"/>
          <w:sz w:val="15"/>
          <w:szCs w:val="15"/>
          <w:color w:val="auto"/>
        </w:rPr>
        <w:t>Robert H. Spilman</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39"/>
          </w:cols>
          <w:pgMar w:left="220" w:top="281" w:right="1440" w:bottom="1440" w:gutter="0" w:footer="0" w:header="0"/>
          <w:type w:val="continuous"/>
        </w:sectPr>
      </w:pP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/s/PETER W. BROWN</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Peter W. Brown</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/s/THOMAS E. CAPPS</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Thomas E. Capps</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/s/ALAN T. DICKSON</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Alan T. Dickson</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/s/PAUL FULTON</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Paul Fulton</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/s/WILLIAM H. GOODWIN, JR.</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William H. Goodwin, Jr.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/s/GLENN A. HUNSUCKER</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Glenn A. Hunsucker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President and Chief Operating Officer and</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By: /s/JAMES W. MCGLOTHLIN</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w w:val="96"/>
              </w:rPr>
              <w:t>February 19, 1997</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James W. McGlothlin</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7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Page 11 of 27</w:t>
      </w:r>
    </w:p>
    <w:p>
      <w:pPr>
        <w:spacing w:after="0" w:line="17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SIGNATURES, Continued</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5400" w:space="720"/>
            <w:col w:w="3839"/>
          </w:cols>
          <w:pgMar w:left="500" w:top="281"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Thomas W. Moss, Jr.</w:t>
      </w:r>
    </w:p>
    <w:p>
      <w:pPr>
        <w:ind w:left="11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6260" w:space="720"/>
            <w:col w:w="2979"/>
          </w:cols>
          <w:pgMar w:left="500" w:top="281" w:right="1440" w:bottom="1440" w:gutter="0" w:footer="0" w:header="0"/>
          <w:type w:val="continuous"/>
        </w:sectPr>
      </w:pPr>
    </w:p>
    <w:p>
      <w:pPr>
        <w:spacing w:after="0" w:line="13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 /s/ALBERT F. SLOAN</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5400" w:space="720"/>
            <w:col w:w="440" w:space="420"/>
            <w:col w:w="2979"/>
          </w:cols>
          <w:pgMar w:left="500" w:top="281"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Albert F. Sloan</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 /s/JOHN W. SNOW</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5400" w:space="720"/>
            <w:col w:w="440" w:space="420"/>
            <w:col w:w="2979"/>
          </w:cols>
          <w:pgMar w:left="500" w:top="281"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John W. Snow</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 /s/PHILIP E. BOOKER</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5400" w:space="720"/>
            <w:col w:w="440" w:space="420"/>
            <w:col w:w="2979"/>
          </w:cols>
          <w:pgMar w:left="500" w:top="281"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5"/>
          <w:szCs w:val="15"/>
          <w:color w:val="auto"/>
        </w:rPr>
        <w:t>Philip E. Booker</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Vice President and Controller</w:t>
      </w:r>
    </w:p>
    <w:p>
      <w:pPr>
        <w:sectPr>
          <w:pgSz w:w="11900" w:h="16838" w:orient="portrait"/>
          <w:cols w:equalWidth="0" w:num="1">
            <w:col w:w="9959"/>
          </w:cols>
          <w:pgMar w:left="500" w:top="28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Page 12 of 27</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900" w:space="720"/>
            <w:col w:w="2619"/>
          </w:cols>
          <w:pgMar w:left="220" w:top="281" w:right="1440" w:bottom="1440" w:gutter="0" w:footer="0" w:header="0"/>
          <w:type w:val="continuous"/>
        </w:sectPr>
      </w:pPr>
    </w:p>
    <w:p>
      <w:pPr>
        <w:ind w:left="1320" w:right="4279" w:hanging="786"/>
        <w:spacing w:after="0" w:line="235"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as amended and Bylaws - incorporated by reference to Form 10-Q for the fiscal quarter ended February 28, 1994</w:t>
      </w:r>
    </w:p>
    <w:p>
      <w:pPr>
        <w:spacing w:after="0" w:line="174" w:lineRule="exact"/>
        <w:rPr>
          <w:sz w:val="20"/>
          <w:szCs w:val="20"/>
          <w:color w:val="auto"/>
        </w:rPr>
      </w:pPr>
    </w:p>
    <w:p>
      <w:pPr>
        <w:ind w:left="1320" w:right="4459" w:hanging="873"/>
        <w:spacing w:after="0" w:line="261"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Bassett Furniture Industries, Inc. Annual Report to Stockholders for the year ended November 30, 1996</w:t>
      </w:r>
    </w:p>
    <w:p>
      <w:pPr>
        <w:spacing w:after="0" w:line="153" w:lineRule="exact"/>
        <w:rPr>
          <w:sz w:val="20"/>
          <w:szCs w:val="20"/>
          <w:color w:val="auto"/>
        </w:rPr>
      </w:pPr>
    </w:p>
    <w:p>
      <w:pPr>
        <w:ind w:left="1320" w:hanging="873"/>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registrant</w:t>
      </w:r>
    </w:p>
    <w:p>
      <w:pPr>
        <w:spacing w:after="0" w:line="166" w:lineRule="exact"/>
        <w:rPr>
          <w:rFonts w:ascii="Courier New" w:cs="Courier New" w:eastAsia="Courier New" w:hAnsi="Courier New"/>
          <w:sz w:val="15"/>
          <w:szCs w:val="15"/>
          <w:color w:val="auto"/>
        </w:rPr>
      </w:pPr>
    </w:p>
    <w:p>
      <w:pPr>
        <w:ind w:left="1320" w:hanging="873"/>
        <w:spacing w:after="0"/>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66" w:lineRule="exact"/>
        <w:rPr>
          <w:rFonts w:ascii="Courier New" w:cs="Courier New" w:eastAsia="Courier New" w:hAnsi="Courier New"/>
          <w:sz w:val="15"/>
          <w:szCs w:val="15"/>
          <w:color w:val="auto"/>
        </w:rPr>
      </w:pPr>
    </w:p>
    <w:p>
      <w:pPr>
        <w:ind w:left="1320" w:hanging="873"/>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filing only)</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13 of 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40" w:type="dxa"/>
            <w:vAlign w:val="bottom"/>
          </w:tcPr>
          <w:p>
            <w:pPr>
              <w:spacing w:after="0"/>
              <w:rPr>
                <w:sz w:val="14"/>
                <w:szCs w:val="14"/>
                <w:color w:val="auto"/>
              </w:rPr>
            </w:pPr>
          </w:p>
        </w:tc>
        <w:tc>
          <w:tcPr>
            <w:tcW w:w="25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NOVEMBER 30,</w:t>
            </w:r>
          </w:p>
        </w:tc>
      </w:tr>
      <w:tr>
        <w:trPr>
          <w:trHeight w:val="168"/>
        </w:trPr>
        <w:tc>
          <w:tcPr>
            <w:tcW w:w="644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$ 57,285,005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$ 51,331,119</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less allowances for doubtful</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accounts (1996- $1,355,000; 1995 - $1,470,000)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65,416,910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68,591,514</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Inventories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67,082,490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81,226,607</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Prepaid expenses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1,492,506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1,757,658</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Prepaid income taxes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844,737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Deferred income taxes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2,597,000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2,008,000</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194,718,648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204,914,898</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Buildings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74,596,633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73,478,686</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Machinery and equipment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139,556,776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133,933,234</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214,153,409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207,411,920</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Less allowances for depreciation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162,149,761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158,665,871</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52,003,648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48,746,049</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Land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4,375,016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4,378,297</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56,378,664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53,124,346</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Investment in securities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29,625,435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39,055,319</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Investment in affiliated companies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45,820,750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40,398,574</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Other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8,621,947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9,227,317</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84,068,132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88,681,210</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$335,165,444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$346,720,454</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Accounts payable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$ 20,541,014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$ 23,425,858</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Accrued compensation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3,716,206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4,778,966</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Other accrued liabilities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6,088,381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6,284,441</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Income taxes ....................................................</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902,476</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30,345,601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35,391,741</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Deferred liabilities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10,834,741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10,296,244</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Deferred income taxes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2,504,000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2,129,000</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13,338,741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12,425,244</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Common stock, par value $5 a share, 50,000,000 shares authorized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65,377,975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68,294,765</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Retained earnings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222,417,127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225,718,704</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Unrealized holding gains, net of tax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3,686,000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4,890,000</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291,481,102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298,903,469</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$335,165,444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$346,720,454</w:t>
            </w:r>
          </w:p>
        </w:tc>
      </w:tr>
      <w:tr>
        <w:trPr>
          <w:trHeight w:val="168"/>
        </w:trPr>
        <w:tc>
          <w:tcPr>
            <w:tcW w:w="64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239"/>
          </w:cols>
          <w:pgMar w:left="220" w:top="13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2</w:t>
      </w:r>
    </w:p>
    <w:p>
      <w:pPr>
        <w:ind w:left="6300"/>
        <w:spacing w:after="0" w:line="237" w:lineRule="auto"/>
        <w:rPr>
          <w:sz w:val="20"/>
          <w:szCs w:val="20"/>
          <w:color w:val="auto"/>
        </w:rPr>
      </w:pPr>
      <w:r>
        <w:rPr>
          <w:rFonts w:ascii="Courier New" w:cs="Courier New" w:eastAsia="Courier New" w:hAnsi="Courier New"/>
          <w:sz w:val="15"/>
          <w:szCs w:val="15"/>
          <w:color w:val="auto"/>
        </w:rPr>
        <w:t>14 of 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NOVEMBER 30,</w:t>
            </w:r>
          </w:p>
        </w:tc>
        <w:tc>
          <w:tcPr>
            <w:tcW w:w="11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16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6"/>
              </w:rPr>
              <w:t>NET SALES..................................................................</w:t>
            </w:r>
          </w:p>
        </w:tc>
        <w:tc>
          <w:tcPr>
            <w:tcW w:w="180" w:type="dxa"/>
            <w:vAlign w:val="bottom"/>
          </w:tcPr>
          <w:p>
            <w:pPr>
              <w:spacing w:after="0"/>
              <w:rPr>
                <w:sz w:val="24"/>
                <w:szCs w:val="24"/>
                <w:color w:val="auto"/>
              </w:rPr>
            </w:pP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$450,717,494</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$490,816,681</w:t>
            </w:r>
          </w:p>
        </w:tc>
        <w:tc>
          <w:tcPr>
            <w:tcW w:w="1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$510,560,858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379,258,894</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407,749,396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419,393,531</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SELLING, GENERAL AND ADMINISTRATIVE...................................</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64,151,836</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65,938,061</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66,044,399</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443,410,730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473,687,457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485,437,930</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7,306,764</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17,129,224</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25,122,928</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14,981,716</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12,999,562</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9,657,476</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Income before income taxes and cumulative effect of a change in accounting</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22,288,480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30,128,786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34,780,404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principle</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FEDERAL...............................................................</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3,140,000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6,455,000</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8,521,000</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STATE.................................................................</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268,000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879,000</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1,361,000</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DEFERRED..............................................................</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379,000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(78,000)</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3,787,000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7,226,000</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9,804,000</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56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8"/>
              </w:rPr>
              <w:t>Income before cumulative effect of a change in accounting principle</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18,501,480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22,902,786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24,976,404</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CUMULATIVE EFFECT OF A CHANGE IN ACCOUNTING PRINCIPLE......................</w:t>
            </w:r>
          </w:p>
        </w:tc>
        <w:tc>
          <w:tcPr>
            <w:tcW w:w="180" w:type="dxa"/>
            <w:vAlign w:val="bottom"/>
          </w:tcPr>
          <w:p>
            <w:pPr>
              <w:spacing w:after="0"/>
              <w:rPr>
                <w:sz w:val="14"/>
                <w:szCs w:val="14"/>
                <w:color w:val="auto"/>
              </w:rPr>
            </w:pPr>
          </w:p>
        </w:tc>
        <w:tc>
          <w:tcPr>
            <w:tcW w:w="114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6"/>
              </w:rPr>
              <w:t>-0-</w:t>
            </w:r>
          </w:p>
        </w:tc>
        <w:tc>
          <w:tcPr>
            <w:tcW w:w="880" w:type="dxa"/>
            <w:vAlign w:val="bottom"/>
          </w:tcPr>
          <w:p>
            <w:pPr>
              <w:spacing w:after="0"/>
              <w:rPr>
                <w:sz w:val="14"/>
                <w:szCs w:val="14"/>
                <w:color w:val="auto"/>
              </w:rPr>
            </w:pPr>
          </w:p>
        </w:tc>
        <w:tc>
          <w:tcPr>
            <w:tcW w:w="16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(510,200)</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$ 18,501,480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$ 22,902,786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$ 24,466,204</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Income before cumulative effect of a change in accounting principle</w:t>
            </w:r>
          </w:p>
        </w:tc>
        <w:tc>
          <w:tcPr>
            <w:tcW w:w="11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$1.39</w:t>
            </w:r>
          </w:p>
        </w:tc>
        <w:tc>
          <w:tcPr>
            <w:tcW w:w="880" w:type="dxa"/>
            <w:vAlign w:val="bottom"/>
          </w:tcPr>
          <w:p>
            <w:pPr>
              <w:spacing w:after="0"/>
              <w:rPr>
                <w:sz w:val="14"/>
                <w:szCs w:val="14"/>
                <w:color w:val="auto"/>
              </w:rPr>
            </w:pPr>
          </w:p>
        </w:tc>
        <w:tc>
          <w:tcPr>
            <w:tcW w:w="16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$1.63</w:t>
            </w:r>
          </w:p>
        </w:tc>
        <w:tc>
          <w:tcPr>
            <w:tcW w:w="11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6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180" w:type="dxa"/>
            <w:vAlign w:val="bottom"/>
          </w:tcPr>
          <w:p>
            <w:pPr>
              <w:spacing w:after="0"/>
              <w:rPr>
                <w:sz w:val="14"/>
                <w:szCs w:val="14"/>
                <w:color w:val="auto"/>
              </w:rPr>
            </w:pPr>
          </w:p>
        </w:tc>
        <w:tc>
          <w:tcPr>
            <w:tcW w:w="114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6"/>
              </w:rPr>
              <w:t>-0-</w:t>
            </w:r>
          </w:p>
        </w:tc>
        <w:tc>
          <w:tcPr>
            <w:tcW w:w="880" w:type="dxa"/>
            <w:vAlign w:val="bottom"/>
          </w:tcPr>
          <w:p>
            <w:pPr>
              <w:spacing w:after="0"/>
              <w:rPr>
                <w:sz w:val="14"/>
                <w:szCs w:val="14"/>
                <w:color w:val="auto"/>
              </w:rPr>
            </w:pPr>
          </w:p>
        </w:tc>
        <w:tc>
          <w:tcPr>
            <w:tcW w:w="16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-0-</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NET INCOME PER SHARE</w:t>
            </w:r>
          </w:p>
        </w:tc>
        <w:tc>
          <w:tcPr>
            <w:tcW w:w="180" w:type="dxa"/>
            <w:vAlign w:val="bottom"/>
          </w:tcPr>
          <w:p>
            <w:pPr>
              <w:spacing w:after="0"/>
              <w:rPr>
                <w:sz w:val="14"/>
                <w:szCs w:val="14"/>
                <w:color w:val="auto"/>
              </w:rPr>
            </w:pPr>
          </w:p>
        </w:tc>
        <w:tc>
          <w:tcPr>
            <w:tcW w:w="11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$1.39</w:t>
            </w:r>
          </w:p>
        </w:tc>
        <w:tc>
          <w:tcPr>
            <w:tcW w:w="880" w:type="dxa"/>
            <w:vAlign w:val="bottom"/>
          </w:tcPr>
          <w:p>
            <w:pPr>
              <w:spacing w:after="0"/>
              <w:rPr>
                <w:sz w:val="14"/>
                <w:szCs w:val="14"/>
                <w:color w:val="auto"/>
              </w:rPr>
            </w:pPr>
          </w:p>
        </w:tc>
        <w:tc>
          <w:tcPr>
            <w:tcW w:w="16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$1.63</w:t>
            </w:r>
          </w:p>
        </w:tc>
        <w:tc>
          <w:tcPr>
            <w:tcW w:w="11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73"/>
        </w:trPr>
        <w:tc>
          <w:tcPr>
            <w:tcW w:w="4820" w:type="dxa"/>
            <w:vAlign w:val="bottom"/>
          </w:tcPr>
          <w:p>
            <w:pPr>
              <w:spacing w:after="0"/>
              <w:rPr>
                <w:sz w:val="24"/>
                <w:szCs w:val="24"/>
                <w:color w:val="auto"/>
              </w:rPr>
            </w:pPr>
          </w:p>
        </w:tc>
        <w:tc>
          <w:tcPr>
            <w:tcW w:w="306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1"/>
              </w:rPr>
              <w:t>--------------------------</w:t>
            </w:r>
          </w:p>
        </w:tc>
        <w:tc>
          <w:tcPr>
            <w:tcW w:w="1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RETAINED</w:t>
            </w:r>
          </w:p>
        </w:tc>
        <w:tc>
          <w:tcPr>
            <w:tcW w:w="11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UNREALIZED</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HOLDING GAINS</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0"/>
              </w:rPr>
              <w:t>BALANCE, DECEMBER 1, 1993..................................</w:t>
            </w:r>
          </w:p>
        </w:tc>
        <w:tc>
          <w:tcPr>
            <w:tcW w:w="174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14,448,201</w:t>
            </w:r>
          </w:p>
        </w:tc>
        <w:tc>
          <w:tcPr>
            <w:tcW w:w="132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8"/>
              </w:rPr>
              <w:t>$72,241,005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$422,784</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$216,211,676</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 -0-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Net income............................................</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24,466,204</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Cash dividends........................................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(11,411,357)</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Purchase and retirement of Common Stock...............</w:t>
            </w:r>
          </w:p>
        </w:tc>
        <w:tc>
          <w:tcPr>
            <w:tcW w:w="17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(361,386)</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(1,806,930)</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(422,784)</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(7,316,706)</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Recognition of unrealized holding gains...............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2,809,000</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BALANCE, NOVEMBER 30, 1994.................................</w:t>
            </w: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14,086,815</w:t>
            </w:r>
          </w:p>
        </w:tc>
        <w:tc>
          <w:tcPr>
            <w:tcW w:w="1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70,434,075</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221,949,817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2,809,000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Net income............................................</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22,902,786</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Cash dividends........................................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(11,196,755)</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Purchase and retirement of Common Stock...............</w:t>
            </w:r>
          </w:p>
        </w:tc>
        <w:tc>
          <w:tcPr>
            <w:tcW w:w="17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(429,701)</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(2,148,505)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(39,538)</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(7,937,144)</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Issuance of Common Stock to non-employee directors</w:t>
            </w: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w w:val="97"/>
              </w:rPr>
              <w:t>....1,839</w:t>
            </w:r>
          </w:p>
        </w:tc>
        <w:tc>
          <w:tcPr>
            <w:tcW w:w="1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9,195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39,538</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Net change in unrealized holding gains................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2,081,000</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BALANCE, NOVEMBER 30, 1995.................................</w:t>
            </w: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13,658,953</w:t>
            </w:r>
          </w:p>
        </w:tc>
        <w:tc>
          <w:tcPr>
            <w:tcW w:w="1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68,294,765</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225,718,704</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4,890,000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Net income............................................</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18,501,480</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Cash dividends........................................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(10,625,730)</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Purchase and retirement of Common Stock...............</w:t>
            </w:r>
          </w:p>
        </w:tc>
        <w:tc>
          <w:tcPr>
            <w:tcW w:w="17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(584,343)</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(2,921,715)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(20,439)</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(11,177,327)</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Issuance of Common Stock to non-employee directors</w:t>
            </w: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w w:val="96"/>
              </w:rPr>
              <w:t>....985</w:t>
            </w:r>
          </w:p>
        </w:tc>
        <w:tc>
          <w:tcPr>
            <w:tcW w:w="1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4,925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20,439</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Net change in unrealized holding gains................</w:t>
            </w:r>
          </w:p>
        </w:tc>
        <w:tc>
          <w:tcPr>
            <w:tcW w:w="1740" w:type="dxa"/>
            <w:vAlign w:val="bottom"/>
          </w:tcPr>
          <w:p>
            <w:pPr>
              <w:jc w:val="right"/>
              <w:ind w:right="632"/>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(1,204,000)</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BALANCE, NOVEMBER 30, 1996.................................</w:t>
            </w: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13,075,595</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$65,377,975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$222,417,127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$3,686,000</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272"/>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1540"/>
          </w:cols>
          <w:pgMar w:left="220" w:top="281" w:right="139"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of 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NOVEMBER 30,</w:t>
            </w:r>
          </w:p>
        </w:tc>
        <w:tc>
          <w:tcPr>
            <w:tcW w:w="108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4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$18,501,480</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$22,902,786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$24,466,204</w:t>
            </w:r>
          </w:p>
        </w:tc>
      </w:tr>
      <w:tr>
        <w:trPr>
          <w:trHeight w:val="168"/>
        </w:trPr>
        <w:tc>
          <w:tcPr>
            <w:tcW w:w="69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6920" w:type="dxa"/>
            <w:vAlign w:val="bottom"/>
          </w:tcPr>
          <w:p>
            <w:pPr>
              <w:jc w:val="right"/>
              <w:ind w:right="290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6,311,537</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8,606,985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8,799,199</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 in unremitted income of affiliated companies................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(5,422,176)</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(4,986,109)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(4,463,683)</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Provision for losses on trade accounts receivable..................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240,672</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606,616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844,483</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gain from sales of investment securities ......................</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(6,720,325)</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(4,141,605)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(518,851)</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gain from sales of property, plant and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(29,137)</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(25,683)</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527,000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432,200</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Changes in deferred liabilities....................................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538,497</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766,460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917,206</w:t>
            </w:r>
          </w:p>
        </w:tc>
      </w:tr>
      <w:tr>
        <w:trPr>
          <w:trHeight w:val="168"/>
        </w:trPr>
        <w:tc>
          <w:tcPr>
            <w:tcW w:w="69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2,933,932</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2,738,620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2,184,068</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127,450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(31,192)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(362,506)</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Inventories and prepaid expenses................................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14,409,269</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(702,718)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(9,832,105)</w:t>
            </w:r>
          </w:p>
        </w:tc>
      </w:tr>
      <w:tr>
        <w:trPr>
          <w:trHeight w:val="168"/>
        </w:trPr>
        <w:tc>
          <w:tcPr>
            <w:tcW w:w="69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Accounts payable, accrued compensation and other accrued</w:t>
            </w: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(4,143,664)</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(512,289)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2,872,754</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taxes....................................................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(1,747,213)</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1,177,151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(1,624,711)</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25,527,322</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26,315,890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23,688,575</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(9,627,370)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(7,226,110)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(9,999,040)</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sales of property, plant and equipment..................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90,652</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49,500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121,011</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investment securities....................................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(6,587,762)</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(4,072,445)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(9,893,116)</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sales of investment securities..........................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20,792,971</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16,156,714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7,595,629</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Dividends from affiliated company.....................................</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1,089,505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1,089,505</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Additional investment in affiliated company...........................</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(1,100,000)</w:t>
            </w:r>
          </w:p>
        </w:tc>
        <w:tc>
          <w:tcPr>
            <w:tcW w:w="10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Change in investment in corporate owned life insurance................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737,756</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(920,260)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(2,598,314)</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(259,836)</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(3,423)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310,928</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5,146,411</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3,973,481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(13,373,397)</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25,364</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48,733</w:t>
            </w:r>
          </w:p>
        </w:tc>
        <w:tc>
          <w:tcPr>
            <w:tcW w:w="10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 of Common Stock..............................................</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(14,119,481)</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(10,125,187)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(9,546,420)</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Cash dividends........................................................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(10,625,730)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(11,196,755)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(11,411,357)</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(24,719,847)</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(21,273,209)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(20,957,777)</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CHANGE IN CASH AND CASH EQUIVALENTS........................................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5,953,886</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9,016,162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(10,642,599)</w:t>
            </w:r>
          </w:p>
        </w:tc>
      </w:tr>
      <w:tr>
        <w:trPr>
          <w:trHeight w:val="336"/>
        </w:trPr>
        <w:tc>
          <w:tcPr>
            <w:tcW w:w="6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CASH AND CASH EQUIVALENTS-beginning of year................................</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51,331,119</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42,314,957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52,957,556</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CASH AND CASH EQUIVALENTS-end of year......................................</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$57,285,005</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$51,331,119</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$42,314,957</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6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tax payments........................................................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$ 5,007,213</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$ 6,156,849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$11,506,711</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Interest payments..........................................................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$ 5,494,540</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$ 3,135,841</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648,923</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540"/>
          </w:cols>
          <w:pgMar w:left="220" w:top="281" w:right="1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 of 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3" w:lineRule="exact"/>
        <w:rPr>
          <w:sz w:val="20"/>
          <w:szCs w:val="20"/>
          <w:color w:val="auto"/>
        </w:rPr>
      </w:pPr>
    </w:p>
    <w:p>
      <w:pPr>
        <w:ind w:right="6119" w:firstLine="10"/>
        <w:spacing w:after="0" w:line="234" w:lineRule="auto"/>
        <w:tabs>
          <w:tab w:leader="none" w:pos="4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5" w:lineRule="exact"/>
        <w:rPr>
          <w:rFonts w:ascii="Courier New" w:cs="Courier New" w:eastAsia="Courier New" w:hAnsi="Courier New"/>
          <w:sz w:val="15"/>
          <w:szCs w:val="15"/>
          <w:color w:val="auto"/>
        </w:rPr>
      </w:pPr>
    </w:p>
    <w:p>
      <w:pPr>
        <w:jc w:val="both"/>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its subsidiaries, all of which are wholly-owned. All significant intercompany balances and transactions are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all temporary, highly liquid investments with a maturity of three months or less to be cash equivalents. The carrying amount approximates fair value because of the short maturity of these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Accounts Receivable</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Company has only one business segment, the manufacture and sale of household furniture. Substantially all of the Company's trade accounts receivable are due from retailers in this market. The Company performs on-going evaluations of its customers' credit worthiness and, generally, requires no collateral.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All inventories are valued at last-in, first-out (LIFO) cost which is not in excess of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Property, plant and equipment are stated at cost. Depreciation is computed over the estimated useful lives of the respective assets utilizing straight-line and accelerated methods.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Securities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classifies its investment in securities as available-for-sale, which is reported at fair value. Unrealized holding gains and losses, net of the related tax effect, on available-for-sale securities are excluded from income and are reported as a separate component of stockholders' equity. Realized gains and losses from securities classified as available-for-sale are included in income and are determined using the specific identification method for ascertaining the cost of securities sold.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Affiliated Companies</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equity method of accounting for investments in common stock is used for the Company's investment in affiliated companies. The carrying amounts approximate the Company's equity in their underlying net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Corporate Owned Life Insurance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investment in corporate owned life insurance policies is recorded net of policy loans and is included in other assets. The net life insurance expense, which includes premiums and interest on policy loans, net of increases in cash surrender values and death benefits received, is included in other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from sales is recognized when the goods are shipped to the customer. Sales to one customer, as a percent of gross sales, amounted to 15% in 1996, 14% in 1995 and 13% in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Deferred income taxes are determined based on the difference between the financial statement and income tax bases of assets and liabilities using enacted tax rates in effect for the year in which the differences are expected to reverse.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Earnings per share is calculated using the weighted average number of shares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required to adopt Statement of Financial Accounting Standards ("SFAS") No. 121, Accounting for the Impairment of Long-Lived Assets and Long-Lived Assets to be Disposed Of, and SFAS No. 123, Accounting for Stock Based Compensation, no later than its fiscal year ending November 30, 1997. The Company has determined that implementation of SFASNo. 121 will not have a material impact on the Company's consolidated financial statements. The Company expects to disclose the fair value of options granted in a footnote to its consolidated financial statements, as permitted by SFASNo. 123.</w:t>
      </w:r>
    </w:p>
    <w:p>
      <w:pPr>
        <w:spacing w:after="0" w:line="171"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2540" w:type="dxa"/>
            <w:vAlign w:val="bottom"/>
          </w:tcPr>
          <w:p>
            <w:pPr>
              <w:spacing w:after="0"/>
              <w:rPr>
                <w:sz w:val="14"/>
                <w:szCs w:val="14"/>
                <w:color w:val="auto"/>
              </w:rPr>
            </w:pPr>
          </w:p>
        </w:tc>
        <w:tc>
          <w:tcPr>
            <w:tcW w:w="3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540" w:type="dxa"/>
            <w:vAlign w:val="bottom"/>
          </w:tcPr>
          <w:p>
            <w:pPr>
              <w:spacing w:after="0"/>
              <w:rPr>
                <w:sz w:val="14"/>
                <w:szCs w:val="14"/>
                <w:color w:val="auto"/>
              </w:rPr>
            </w:pPr>
          </w:p>
        </w:tc>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$ 46.5</w:t>
            </w:r>
          </w:p>
        </w:tc>
      </w:tr>
    </w:tbl>
    <w:p>
      <w:pPr>
        <w:sectPr>
          <w:pgSz w:w="11900" w:h="16838" w:orient="portrait"/>
          <w:cols w:equalWidth="0" w:num="1">
            <w:col w:w="10239"/>
          </w:cols>
          <w:pgMar w:left="220" w:top="281"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w:t>
            </w:r>
          </w:p>
        </w:tc>
      </w:tr>
      <w:tr>
        <w:trPr>
          <w:trHeight w:val="168"/>
        </w:trPr>
        <w:tc>
          <w:tcPr>
            <w:tcW w:w="372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inventories on FIFO cost method</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94.9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adjustment</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372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$ 67.1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$ 81.2</w:t>
            </w:r>
          </w:p>
        </w:tc>
      </w:tr>
      <w:tr>
        <w:trPr>
          <w:trHeight w:val="168"/>
        </w:trPr>
        <w:tc>
          <w:tcPr>
            <w:tcW w:w="372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on investment in securities by major security type: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November 30, 1996</w:t>
            </w:r>
          </w:p>
        </w:tc>
        <w:tc>
          <w:tcPr>
            <w:tcW w:w="78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4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Gross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Gross</w:t>
            </w:r>
          </w:p>
        </w:tc>
        <w:tc>
          <w:tcPr>
            <w:tcW w:w="78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Unrealized</w:t>
            </w:r>
          </w:p>
        </w:tc>
        <w:tc>
          <w:tcPr>
            <w:tcW w:w="78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Holding</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Holding</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18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Gains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Losses</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1840" w:type="dxa"/>
            <w:vAlign w:val="bottom"/>
          </w:tcPr>
          <w:p>
            <w:pPr>
              <w:spacing w:after="0"/>
              <w:rPr>
                <w:sz w:val="14"/>
                <w:szCs w:val="14"/>
                <w:color w:val="auto"/>
              </w:rPr>
            </w:pP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$15.0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$0.6</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$20.4</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0.1</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1840" w:type="dxa"/>
            <w:vAlign w:val="bottom"/>
          </w:tcPr>
          <w:p>
            <w:pPr>
              <w:spacing w:after="0"/>
              <w:rPr>
                <w:sz w:val="14"/>
                <w:szCs w:val="14"/>
                <w:color w:val="auto"/>
              </w:rPr>
            </w:pP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840" w:type="dxa"/>
            <w:vAlign w:val="bottom"/>
          </w:tcPr>
          <w:p>
            <w:pPr>
              <w:spacing w:after="0"/>
              <w:rPr>
                <w:sz w:val="14"/>
                <w:szCs w:val="14"/>
                <w:color w:val="auto"/>
              </w:rPr>
            </w:pP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$23.7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$0.7</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1840" w:type="dxa"/>
            <w:vAlign w:val="bottom"/>
          </w:tcPr>
          <w:p>
            <w:pPr>
              <w:spacing w:after="0"/>
              <w:rPr>
                <w:sz w:val="14"/>
                <w:szCs w:val="14"/>
                <w:color w:val="auto"/>
              </w:rPr>
            </w:pP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1">
            <w:col w:w="10239"/>
          </w:cols>
          <w:pgMar w:left="220" w:top="13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17 of 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6"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SECURITIES -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November 30, 1995</w:t>
            </w:r>
          </w:p>
        </w:tc>
        <w:tc>
          <w:tcPr>
            <w:tcW w:w="8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4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Gross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Gross</w:t>
            </w:r>
          </w:p>
        </w:tc>
        <w:tc>
          <w:tcPr>
            <w:tcW w:w="8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Unrealized</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Unrealized</w:t>
            </w:r>
          </w:p>
        </w:tc>
        <w:tc>
          <w:tcPr>
            <w:tcW w:w="8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Holding</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18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Cost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Gains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Losses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18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18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the municipal securities are within five years.</w:t>
      </w:r>
    </w:p>
    <w:p>
      <w:pPr>
        <w:spacing w:after="0" w:line="166"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AFFILIATED COMPANIES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an equity interest in a company which leases exhibition space to furniture and accessory manufacturers and an equity interest in a manufacturer of particleboard for use principally in the furniture industry. The Company's share of income from operations and net income from these affiliates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64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w:t>
            </w:r>
          </w:p>
        </w:tc>
      </w:tr>
    </w:tbl>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E.</w:t>
        <w:tab/>
        <w:t>INCOME TAXES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Effective December 1, 1993, the Company adopted Statement of Financial Accounting Standards No. 109, Accounting for Income Taxes, and has reported the cumulative effect of the change in the method of accounting for income taxes in the financial statements for 1994, in the amount of $510,200. The principal cause of this adjustment was due to the basis difference of an acquisition made in prior years which was accounted for as a purchase transaction.</w:t>
      </w:r>
    </w:p>
    <w:p>
      <w:pPr>
        <w:spacing w:after="0" w:line="166" w:lineRule="exact"/>
        <w:rPr>
          <w:sz w:val="20"/>
          <w:szCs w:val="20"/>
          <w:color w:val="auto"/>
        </w:rPr>
      </w:pPr>
    </w:p>
    <w:p>
      <w:pPr>
        <w:jc w:val="both"/>
        <w:ind w:right="3319"/>
        <w:spacing w:after="0" w:line="234" w:lineRule="auto"/>
        <w:rPr>
          <w:sz w:val="20"/>
          <w:szCs w:val="20"/>
          <w:color w:val="auto"/>
        </w:rPr>
      </w:pPr>
      <w:r>
        <w:rPr>
          <w:rFonts w:ascii="Courier New" w:cs="Courier New" w:eastAsia="Courier New" w:hAnsi="Courier New"/>
          <w:sz w:val="15"/>
          <w:szCs w:val="15"/>
          <w:color w:val="auto"/>
        </w:rPr>
        <w:t>A reconciliation of the statutory federal income tax rate and the effective tax rate, as a percentage of pretax income,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16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35.0%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 exclusion</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interest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Unremitted affiliate income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federal benefit</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16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316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November 30, are as follows:(in thousands)</w:t>
      </w: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6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596</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Investment in securities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Retirement benefits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3,901</w:t>
            </w: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liabilities and reserves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1,809</w:t>
            </w:r>
          </w:p>
        </w:tc>
      </w:tr>
      <w:tr>
        <w:trPr>
          <w:trHeight w:val="168"/>
        </w:trPr>
        <w:tc>
          <w:tcPr>
            <w:tcW w:w="36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6,909</w:t>
            </w:r>
          </w:p>
        </w:tc>
      </w:tr>
      <w:tr>
        <w:trPr>
          <w:trHeight w:val="168"/>
        </w:trPr>
        <w:tc>
          <w:tcPr>
            <w:tcW w:w="3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6,909</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w:t>
            </w:r>
          </w:p>
        </w:tc>
      </w:tr>
    </w:tbl>
    <w:p>
      <w:pPr>
        <w:sectPr>
          <w:pgSz w:w="11900" w:h="16838" w:orient="portrait"/>
          <w:cols w:equalWidth="0" w:num="1">
            <w:col w:w="10239"/>
          </w:cols>
          <w:pgMar w:left="220" w:top="281" w:right="1440" w:bottom="0" w:gutter="0" w:footer="0" w:header="0"/>
        </w:sectPr>
      </w:pPr>
    </w:p>
    <w:bookmarkStart w:id="18" w:name="page19"/>
    <w:bookmarkEnd w:id="18"/>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Unremitted affiliate income</w:t>
            </w:r>
          </w:p>
        </w:tc>
        <w:tc>
          <w:tcPr>
            <w:tcW w:w="30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2,243</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Prepaid</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Holding</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gains</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7,030</w:t>
            </w:r>
          </w:p>
        </w:tc>
      </w:tr>
      <w:tr>
        <w:trPr>
          <w:trHeight w:val="168"/>
        </w:trPr>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deferred tax asset (liability)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(121)</w:t>
            </w:r>
          </w:p>
        </w:tc>
      </w:tr>
      <w:tr>
        <w:trPr>
          <w:trHeight w:val="168"/>
        </w:trPr>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Based upon the level of historical taxable income and projections for future taxable income over the periods which the deferred tax assets are deductible, management believes it is more likely than not the Company will realize the benefits of the deferred tax assets.</w:t>
      </w:r>
    </w:p>
    <w:p>
      <w:pPr>
        <w:spacing w:after="0" w:line="169"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qualified defined contribution plan (Employee Savings/Retirement Plan) which covers all employees, with over one year service, who elect to participate and have fulfilled the necessary service requirements. Employee contributions to the Plan are matched by the Company at the rate of 115% of the first 2% through 5% of the employee's contribution, based on seniority. The Plan incorporates provisions of Section 401(k) of the Internal Revenue Code. The expense for the Plan for 1996, 1995 and 1994, amounted to approximately $2,379,000, $2,395,000 and $2,444,000, respectively.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Supplemental Retirement Income Plan that covers certain senior executives and provides additional retirement and death benefits. Also, the Company has a Deferred Compensation Plan for certain senior executives which provides for voluntary deferral of compensation, otherwise payable. The unfunded future liability of the Company under these Plans is included in deferred liabilities.</w:t>
      </w:r>
    </w:p>
    <w:p>
      <w:pPr>
        <w:spacing w:after="0" w:line="168"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Under the 1993 Long Term Incentive Plan, the Company has reserved for issuance 450,000 shares of Common Stock. Options granted under the Plan may be for such terms and exercised at such times as determined at the time of grant by the Organization, Compensation and Nominating Committee of the Board of Directors. No options to purchase shares of Common Stock</w:t>
      </w:r>
    </w:p>
    <w:p>
      <w:pPr>
        <w:sectPr>
          <w:pgSz w:w="11900" w:h="16838" w:orient="portrait"/>
          <w:cols w:equalWidth="0" w:num="1">
            <w:col w:w="10239"/>
          </w:cols>
          <w:pgMar w:left="220" w:top="13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18 of 27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6"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were granted in 1996 or 1995. Options to purchase 68,650 shares of Common Stock were granted in 1994 at $26.25 per share, the fair market value at date of grant. No options were exercised in 1996, 1995 or 1994. Additionally, the Plan includes provisions for the granting of stock appreciation rights and certain stock awards. No stock appreciation rights or restricted stock awards were granted in 1996, 1995 or 1994.</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1993 Stock Plan for Non-Employee Directors, the Company has reserved for issuance 75,000 shares of Common Stock. Under terms of the Plan, each non-employee director will automatically be granted an option to purchase 500 shares of Common Stock on April 1 of each year. Options to purchase 4,500 shares of Common Stock were granted in 1996, 1995 and 1994 at $25.75, $26.50, and $27.75 per share, respectively, the fair market value at date of grant. No options were exercised in 1996, 1995 or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activity during 1994, 1995 and 1996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Number of</w:t>
            </w:r>
          </w:p>
        </w:tc>
        <w:tc>
          <w:tcPr>
            <w:tcW w:w="16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Option price</w:t>
            </w:r>
          </w:p>
        </w:tc>
      </w:tr>
      <w:tr>
        <w:trPr>
          <w:trHeight w:val="168"/>
        </w:trPr>
        <w:tc>
          <w:tcPr>
            <w:tcW w:w="302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share</w:t>
            </w:r>
          </w:p>
        </w:tc>
        <w:tc>
          <w:tcPr>
            <w:tcW w:w="44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December 1, 1993</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288,217</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$28.00 - $37.40</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1994</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73,150</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$27.75</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1994</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w:t>
            </w:r>
          </w:p>
        </w:tc>
        <w:tc>
          <w:tcPr>
            <w:tcW w:w="122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1994</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(16,150)</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spacing w:after="0"/>
              <w:rPr>
                <w:sz w:val="14"/>
                <w:szCs w:val="14"/>
                <w:color w:val="auto"/>
              </w:rPr>
            </w:pP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1994</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345,217</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1995</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4,500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w:t>
            </w: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1995</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w:t>
            </w:r>
          </w:p>
        </w:tc>
        <w:tc>
          <w:tcPr>
            <w:tcW w:w="122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1995</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(17,292)</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spacing w:after="0"/>
              <w:rPr>
                <w:sz w:val="14"/>
                <w:szCs w:val="14"/>
                <w:color w:val="auto"/>
              </w:rPr>
            </w:pP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1995</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332,425</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1996</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4,500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w:t>
            </w: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1996</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w:t>
            </w:r>
          </w:p>
        </w:tc>
        <w:tc>
          <w:tcPr>
            <w:tcW w:w="122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1996</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(15,300)</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spacing w:after="0"/>
              <w:rPr>
                <w:sz w:val="14"/>
                <w:szCs w:val="14"/>
                <w:color w:val="auto"/>
              </w:rPr>
            </w:pP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1996</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321,625</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$25.75 - $37.40</w:t>
            </w:r>
          </w:p>
        </w:tc>
      </w:tr>
      <w:tr>
        <w:trPr>
          <w:trHeight w:val="168"/>
        </w:trPr>
        <w:tc>
          <w:tcPr>
            <w:tcW w:w="3020" w:type="dxa"/>
            <w:vAlign w:val="bottom"/>
          </w:tcPr>
          <w:p>
            <w:pPr>
              <w:spacing w:after="0"/>
              <w:rPr>
                <w:sz w:val="14"/>
                <w:szCs w:val="14"/>
                <w:color w:val="auto"/>
              </w:rPr>
            </w:pP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Exercisable at November 30, 1996</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267,770</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$25.75 - $37.40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November 30, 1995</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251,923</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$37.40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November 30, 1994</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200,128</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$26.25 - $37.40</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H. OTHER INCOME, NET (in millions)</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73"/>
        </w:trPr>
        <w:tc>
          <w:tcPr>
            <w:tcW w:w="302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1994</w:t>
            </w:r>
          </w:p>
        </w:tc>
      </w:tr>
      <w:tr>
        <w:trPr>
          <w:trHeight w:val="168"/>
        </w:trPr>
        <w:tc>
          <w:tcPr>
            <w:tcW w:w="302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$ 1.5</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$ 2.2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(principally tax exempt)</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2.4</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unremitted income</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affiliated companies</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5.4</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from sales of investment</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6.7</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interest expense</w:t>
            </w: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(2.1)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1.1</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02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02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$15.0</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$9.7</w:t>
            </w:r>
          </w:p>
        </w:tc>
      </w:tr>
      <w:tr>
        <w:trPr>
          <w:trHeight w:val="168"/>
        </w:trPr>
        <w:tc>
          <w:tcPr>
            <w:tcW w:w="302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Interest expense on corporate owned life insurance policy loans was $6.4 million in 1996, $3.9 million in 1995 and $1.4 million in 1994.</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19 of 27</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Bassett Furniture Industries, Incorporated and subsidiaries as of November 30, 1996 and 1995, and the related consolidated statements of income, stockholders' equity and cash flows for each of the years in the three-year period ended November 30, 1996.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Bassett Furniture Industries, Incorporated and subsidiaries as of November 30, 1996 and 1995, and the results of their operations and their cash flows for each of the years in the three-year period ended November 30, 1996 in conformity with generally accepted accounting principles.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As discussed in note E, the Company adopted Statement of Financial Accounting Standards No. 109, Accounting for Income Taxes, in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December 17, 1996</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20 of 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4"/>
              </w:rPr>
              <w:t>1994</w:t>
            </w:r>
          </w:p>
        </w:tc>
        <w:tc>
          <w:tcPr>
            <w:tcW w:w="1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Sales.................................</w:t>
            </w:r>
          </w:p>
        </w:tc>
        <w:tc>
          <w:tcPr>
            <w:tcW w:w="1100" w:type="dxa"/>
            <w:vAlign w:val="bottom"/>
          </w:tcPr>
          <w:p>
            <w:pPr>
              <w:spacing w:after="0"/>
              <w:rPr>
                <w:sz w:val="24"/>
                <w:szCs w:val="2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$450,717,494</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$490,816,681</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$510,560,858</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$503,770,060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$473,401,341</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Cost of Sales.............................</w:t>
            </w:r>
          </w:p>
        </w:tc>
        <w:tc>
          <w:tcPr>
            <w:tcW w:w="110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379,258,894</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407,749,396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419,393,531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413,055,371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385,294,583</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22,288,480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30,128,786</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34,780,404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36,512,830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39,266,698</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Income Taxes..............................</w:t>
            </w:r>
          </w:p>
        </w:tc>
        <w:tc>
          <w:tcPr>
            <w:tcW w:w="110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3,787,000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7,226,000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9,804,000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10,644,000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11,774,000</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Income................................</w:t>
            </w:r>
          </w:p>
        </w:tc>
        <w:tc>
          <w:tcPr>
            <w:tcW w:w="110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18,501,480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22,902,786</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24,466,204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25,868,830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27,492,698</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Income Per Share......................</w:t>
            </w:r>
          </w:p>
        </w:tc>
        <w:tc>
          <w:tcPr>
            <w:tcW w:w="1100" w:type="dxa"/>
            <w:vAlign w:val="bottom"/>
          </w:tcPr>
          <w:p>
            <w:pPr>
              <w:spacing w:after="0"/>
              <w:rPr>
                <w:sz w:val="14"/>
                <w:szCs w:val="14"/>
                <w:color w:val="auto"/>
              </w:rPr>
            </w:pPr>
          </w:p>
        </w:tc>
        <w:tc>
          <w:tcPr>
            <w:tcW w:w="16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1.39</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1.63</w:t>
            </w:r>
          </w:p>
        </w:tc>
        <w:tc>
          <w:tcPr>
            <w:tcW w:w="16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4"/>
              </w:rPr>
              <w:t>1.71</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Cash Dividends Declared...................</w:t>
            </w:r>
          </w:p>
        </w:tc>
        <w:tc>
          <w:tcPr>
            <w:tcW w:w="110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10,625,730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11,196,755</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11,411,357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11,358,213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9,205,978</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Cash Dividends Per Share..................</w:t>
            </w:r>
          </w:p>
        </w:tc>
        <w:tc>
          <w:tcPr>
            <w:tcW w:w="1100" w:type="dxa"/>
            <w:vAlign w:val="bottom"/>
          </w:tcPr>
          <w:p>
            <w:pPr>
              <w:spacing w:after="0"/>
              <w:rPr>
                <w:sz w:val="14"/>
                <w:szCs w:val="14"/>
                <w:color w:val="auto"/>
              </w:rPr>
            </w:pPr>
          </w:p>
        </w:tc>
        <w:tc>
          <w:tcPr>
            <w:tcW w:w="16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.80</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Total Assets..............................</w:t>
            </w:r>
          </w:p>
        </w:tc>
        <w:tc>
          <w:tcPr>
            <w:tcW w:w="110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335,165,444</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346,720,454</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340,498,230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330,677,879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318,583,145</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Current Ratio.............................</w:t>
            </w:r>
          </w:p>
        </w:tc>
        <w:tc>
          <w:tcPr>
            <w:tcW w:w="110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6.42 to 1</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5.79 to 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5.67 to 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6.07 to 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 to 1</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Book Value Per Share......................</w:t>
            </w:r>
          </w:p>
        </w:tc>
        <w:tc>
          <w:tcPr>
            <w:tcW w:w="1100" w:type="dxa"/>
            <w:vAlign w:val="bottom"/>
          </w:tcPr>
          <w:p>
            <w:pPr>
              <w:spacing w:after="0"/>
              <w:rPr>
                <w:sz w:val="14"/>
                <w:szCs w:val="14"/>
                <w:color w:val="auto"/>
              </w:rPr>
            </w:pP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22.29</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21.88</w:t>
            </w:r>
          </w:p>
        </w:tc>
        <w:tc>
          <w:tcPr>
            <w:tcW w:w="1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20.96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18.99</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13,351,585</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14,052,794</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14,294,803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14,440,341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14,416,534</w:t>
            </w:r>
          </w:p>
        </w:tc>
      </w:tr>
      <w:tr>
        <w:trPr>
          <w:trHeight w:val="673"/>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99"/>
              </w:rPr>
              <w:t>QUARTERLY RESULTS OF OPERATIONS</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73"/>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FIRST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THIRD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Net Sales.................................................</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$111,951,020</w:t>
            </w:r>
          </w:p>
        </w:tc>
        <w:tc>
          <w:tcPr>
            <w:tcW w:w="162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$111,273,154</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8"/>
              </w:rPr>
              <w:t>$109,007,706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$118,485,614</w:t>
            </w:r>
          </w:p>
        </w:tc>
      </w:tr>
      <w:tr>
        <w:trPr>
          <w:trHeight w:val="168"/>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Gross Profit..............................................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17,767,900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17,715,068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17,782,282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18,193,350</w:t>
            </w:r>
          </w:p>
        </w:tc>
      </w:tr>
      <w:tr>
        <w:trPr>
          <w:trHeight w:val="168"/>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Net Income................................................</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4,713,961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4,992,209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4,825,731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3,969,579</w:t>
            </w:r>
          </w:p>
        </w:tc>
      </w:tr>
      <w:tr>
        <w:trPr>
          <w:trHeight w:val="168"/>
        </w:trPr>
        <w:tc>
          <w:tcPr>
            <w:tcW w:w="280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4"/>
              </w:rPr>
              <w:t>Per Share.............................................</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.35</w:t>
            </w:r>
          </w:p>
        </w:tc>
        <w:tc>
          <w:tcPr>
            <w:tcW w:w="1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.37</w:t>
            </w:r>
          </w:p>
        </w:tc>
        <w:tc>
          <w:tcPr>
            <w:tcW w:w="15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.36</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.31</w:t>
            </w:r>
          </w:p>
        </w:tc>
      </w:tr>
      <w:tr>
        <w:trPr>
          <w:trHeight w:val="1177"/>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FIRST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THIRD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Net Sales.................................................</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$123,550,551</w:t>
            </w:r>
          </w:p>
        </w:tc>
        <w:tc>
          <w:tcPr>
            <w:tcW w:w="162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$119,018,005</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8"/>
              </w:rPr>
              <w:t>$119,183,765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$129,064,360</w:t>
            </w:r>
          </w:p>
        </w:tc>
      </w:tr>
      <w:tr>
        <w:trPr>
          <w:trHeight w:val="168"/>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Gross Profit..............................................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20,621,989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19,321,610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20,711,678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22,412,008</w:t>
            </w:r>
          </w:p>
        </w:tc>
      </w:tr>
      <w:tr>
        <w:trPr>
          <w:trHeight w:val="168"/>
        </w:trPr>
        <w:tc>
          <w:tcPr>
            <w:tcW w:w="2800" w:type="dxa"/>
            <w:vAlign w:val="bottom"/>
            <w:gridSpan w:val="2"/>
          </w:tcPr>
          <w:p>
            <w:pPr>
              <w:spacing w:after="0"/>
              <w:rPr>
                <w:sz w:val="20"/>
                <w:szCs w:val="20"/>
                <w:color w:val="auto"/>
              </w:rPr>
            </w:pPr>
            <w:r>
              <w:rPr>
                <w:rFonts w:ascii="Courier New" w:cs="Courier New" w:eastAsia="Courier New" w:hAnsi="Courier New"/>
                <w:sz w:val="11"/>
                <w:szCs w:val="11"/>
                <w:color w:val="auto"/>
                <w:w w:val="72"/>
              </w:rPr>
              <w:t>Net Income................................................</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4,896,346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4,976,750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5,781,291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7,248,399</w:t>
            </w:r>
          </w:p>
        </w:tc>
      </w:tr>
      <w:tr>
        <w:trPr>
          <w:trHeight w:val="168"/>
        </w:trPr>
        <w:tc>
          <w:tcPr>
            <w:tcW w:w="280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4"/>
              </w:rPr>
              <w:t>Per Share.............................................</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.35</w:t>
            </w:r>
          </w:p>
        </w:tc>
        <w:tc>
          <w:tcPr>
            <w:tcW w:w="1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.35</w:t>
            </w:r>
          </w:p>
        </w:tc>
        <w:tc>
          <w:tcPr>
            <w:tcW w:w="15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.41</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.52</w:t>
            </w:r>
          </w:p>
        </w:tc>
      </w:tr>
      <w:tr>
        <w:trPr>
          <w:trHeight w:val="841"/>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 AND DIVIDEND INFORMATION</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Company's Common Stock trades on The Nasdaq Stock Market under the symbol</w:t>
            </w: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"BSET."The Company had approximately 2,100 registered stockholders at November</w:t>
            </w: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30, 1996. The range of high and low market prices and dividends declared for the</w:t>
            </w: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last two fiscal years are listed below:</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MARKET PRICES OF COMMON STOCK</w:t>
            </w:r>
          </w:p>
        </w:tc>
        <w:tc>
          <w:tcPr>
            <w:tcW w:w="1540" w:type="dxa"/>
            <w:vAlign w:val="bottom"/>
          </w:tcPr>
          <w:p>
            <w:pPr>
              <w:spacing w:after="0"/>
              <w:rPr>
                <w:sz w:val="24"/>
                <w:szCs w:val="24"/>
                <w:color w:val="auto"/>
              </w:rPr>
            </w:pPr>
          </w:p>
        </w:tc>
        <w:tc>
          <w:tcPr>
            <w:tcW w:w="3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DIVIDENDS DECLARED</w:t>
            </w:r>
          </w:p>
        </w:tc>
        <w:tc>
          <w:tcPr>
            <w:tcW w:w="122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6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ind w:left="1140"/>
              <w:spacing w:after="0"/>
              <w:rPr>
                <w:sz w:val="20"/>
                <w:szCs w:val="20"/>
                <w:color w:val="auto"/>
              </w:rPr>
            </w:pPr>
            <w:r>
              <w:rPr>
                <w:rFonts w:ascii="Courier New" w:cs="Courier New" w:eastAsia="Courier New" w:hAnsi="Courier New"/>
                <w:sz w:val="15"/>
                <w:szCs w:val="15"/>
                <w:color w:val="auto"/>
              </w:rPr>
              <w:t>QUARTER</w:t>
            </w:r>
          </w:p>
        </w:tc>
        <w:tc>
          <w:tcPr>
            <w:tcW w:w="600" w:type="dxa"/>
            <w:vAlign w:val="bottom"/>
          </w:tcPr>
          <w:p>
            <w:pPr>
              <w:spacing w:after="0"/>
              <w:rPr>
                <w:sz w:val="24"/>
                <w:szCs w:val="2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1996</w:t>
            </w:r>
          </w:p>
        </w:tc>
        <w:tc>
          <w:tcPr>
            <w:tcW w:w="1660" w:type="dxa"/>
            <w:vAlign w:val="bottom"/>
          </w:tcPr>
          <w:p>
            <w:pPr>
              <w:spacing w:after="0"/>
              <w:rPr>
                <w:sz w:val="24"/>
                <w:szCs w:val="24"/>
                <w:color w:val="auto"/>
              </w:rPr>
            </w:pPr>
          </w:p>
        </w:tc>
        <w:tc>
          <w:tcPr>
            <w:tcW w:w="15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spacing w:after="0"/>
              <w:rPr>
                <w:sz w:val="24"/>
                <w:szCs w:val="24"/>
                <w:color w:val="auto"/>
              </w:rPr>
            </w:pPr>
          </w:p>
        </w:tc>
      </w:tr>
      <w:tr>
        <w:trPr>
          <w:trHeight w:val="168"/>
        </w:trPr>
        <w:tc>
          <w:tcPr>
            <w:tcW w:w="22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3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336"/>
        </w:trPr>
        <w:tc>
          <w:tcPr>
            <w:tcW w:w="220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Courier New" w:cs="Courier New" w:eastAsia="Courier New" w:hAnsi="Courier New"/>
                <w:sz w:val="15"/>
                <w:szCs w:val="15"/>
                <w:color w:val="auto"/>
              </w:rPr>
              <w:t>High</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Low</w:t>
            </w:r>
          </w:p>
        </w:tc>
        <w:tc>
          <w:tcPr>
            <w:tcW w:w="1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High</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Low</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05"/>
        </w:trPr>
        <w:tc>
          <w:tcPr>
            <w:tcW w:w="2200" w:type="dxa"/>
            <w:vAlign w:val="bottom"/>
          </w:tcPr>
          <w:p>
            <w:pPr>
              <w:ind w:left="1060"/>
              <w:spacing w:after="0"/>
              <w:rPr>
                <w:sz w:val="20"/>
                <w:szCs w:val="20"/>
                <w:color w:val="auto"/>
              </w:rPr>
            </w:pPr>
            <w:r>
              <w:rPr>
                <w:rFonts w:ascii="Courier New" w:cs="Courier New" w:eastAsia="Courier New" w:hAnsi="Courier New"/>
                <w:sz w:val="15"/>
                <w:szCs w:val="15"/>
                <w:color w:val="auto"/>
              </w:rPr>
              <w:t>First</w:t>
            </w:r>
          </w:p>
        </w:tc>
        <w:tc>
          <w:tcPr>
            <w:tcW w:w="600" w:type="dxa"/>
            <w:vAlign w:val="bottom"/>
          </w:tcPr>
          <w:p>
            <w:pPr>
              <w:jc w:val="right"/>
              <w:ind w:right="12"/>
              <w:spacing w:after="0"/>
              <w:rPr>
                <w:sz w:val="20"/>
                <w:szCs w:val="20"/>
                <w:color w:val="auto"/>
              </w:rPr>
            </w:pPr>
            <w:r>
              <w:rPr>
                <w:rFonts w:ascii="Courier New" w:cs="Courier New" w:eastAsia="Courier New" w:hAnsi="Courier New"/>
                <w:sz w:val="15"/>
                <w:szCs w:val="15"/>
                <w:color w:val="auto"/>
                <w:w w:val="92"/>
              </w:rPr>
              <w:t>$25.75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$22.38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$30.25</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$27.25</w:t>
            </w:r>
          </w:p>
        </w:tc>
        <w:tc>
          <w:tcPr>
            <w:tcW w:w="1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spacing w:after="0"/>
              <w:rPr>
                <w:sz w:val="24"/>
                <w:szCs w:val="24"/>
                <w:color w:val="auto"/>
              </w:rPr>
            </w:pPr>
          </w:p>
        </w:tc>
      </w:tr>
      <w:tr>
        <w:trPr>
          <w:trHeight w:val="168"/>
        </w:trPr>
        <w:tc>
          <w:tcPr>
            <w:tcW w:w="2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Second</w:t>
            </w:r>
          </w:p>
        </w:tc>
        <w:tc>
          <w:tcPr>
            <w:tcW w:w="6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26.38</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29.25</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25.50</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spacing w:after="0"/>
              <w:rPr>
                <w:sz w:val="14"/>
                <w:szCs w:val="14"/>
                <w:color w:val="auto"/>
              </w:rPr>
            </w:pPr>
          </w:p>
        </w:tc>
      </w:tr>
      <w:tr>
        <w:trPr>
          <w:trHeight w:val="168"/>
        </w:trPr>
        <w:tc>
          <w:tcPr>
            <w:tcW w:w="2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Third</w:t>
            </w:r>
          </w:p>
        </w:tc>
        <w:tc>
          <w:tcPr>
            <w:tcW w:w="6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27.00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29.25</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24.00</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spacing w:after="0"/>
              <w:rPr>
                <w:sz w:val="14"/>
                <w:szCs w:val="14"/>
                <w:color w:val="auto"/>
              </w:rPr>
            </w:pPr>
          </w:p>
        </w:tc>
      </w:tr>
      <w:tr>
        <w:trPr>
          <w:trHeight w:val="168"/>
        </w:trPr>
        <w:tc>
          <w:tcPr>
            <w:tcW w:w="2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Fourth</w:t>
            </w:r>
          </w:p>
        </w:tc>
        <w:tc>
          <w:tcPr>
            <w:tcW w:w="6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24.88</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22.13</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25.75</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20.13</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spacing w:after="0"/>
              <w:rPr>
                <w:sz w:val="14"/>
                <w:szCs w:val="14"/>
                <w:color w:val="auto"/>
              </w:rPr>
            </w:pPr>
          </w:p>
        </w:tc>
      </w:tr>
    </w:tbl>
    <w:p>
      <w:pPr>
        <w:sectPr>
          <w:pgSz w:w="11900" w:h="16838" w:orient="portrait"/>
          <w:cols w:equalWidth="0" w:num="1">
            <w:col w:w="11460"/>
          </w:cols>
          <w:pgMar w:left="220" w:top="281" w:right="21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of 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1996 compared to prior years: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280" w:type="dxa"/>
            <w:vAlign w:val="bottom"/>
          </w:tcPr>
          <w:p>
            <w:pPr>
              <w:spacing w:after="0"/>
              <w:rPr>
                <w:sz w:val="14"/>
                <w:szCs w:val="14"/>
                <w:color w:val="auto"/>
              </w:rPr>
            </w:pPr>
          </w:p>
        </w:tc>
        <w:tc>
          <w:tcPr>
            <w:tcW w:w="11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 (in millions)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$510.6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change from prior year</w:t>
            </w:r>
          </w:p>
        </w:tc>
        <w:tc>
          <w:tcPr>
            <w:tcW w:w="11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(8.2)%</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most significant decline in net sales during the past two years was in the Upholstery Division (stationary and motion) and the Impact Division which together accounted for a total reduction of $46 million.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in the Bedding Division in 1996 were flat compared to 1995 while all other Divisions were down. Comparing 1995 to 1994, the increase in net sales in the Bedding Division in 1995 was offset by decreases in the Motion, National/Mt. Airy and Impact Divisions, with all other Divisions reporting no significant change. The majority of the increase from 1993 to 1994 came from the Table Division with all other Divisions reporting no significant change.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the fourth quarter of 1996, a one-time pre-tax charge of $2,675,000 was recorded to recognize the effect on costs and expenses related to the consolidation of the operations in the Motion Division, a write-down of certain inventories and adjustments in fixed asset carrying values.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Excluding the effects of the abovementioned one-time charge, cost of sales increased approximately 50 basis points in 1996 over 1995. This follows an increase of approximately 90 basis points in 1995 over 1994. There was no significant change between 1993 and 1994. The decline in margins in the past two years has occurred in the material cost component, as shown below by a comparison of the cost components comprising cost of sales as a percentage of net sales: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940" w:type="dxa"/>
            <w:vAlign w:val="bottom"/>
          </w:tcPr>
          <w:p>
            <w:pPr>
              <w:spacing w:after="0"/>
              <w:rPr>
                <w:sz w:val="14"/>
                <w:szCs w:val="14"/>
                <w:color w:val="auto"/>
              </w:rPr>
            </w:pP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50.14%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48.79%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Labor</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Overhead</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w:t>
            </w:r>
          </w:p>
        </w:tc>
      </w:tr>
      <w:tr>
        <w:trPr>
          <w:trHeight w:val="168"/>
        </w:trPr>
        <w:tc>
          <w:tcPr>
            <w:tcW w:w="1940" w:type="dxa"/>
            <w:vAlign w:val="bottom"/>
          </w:tcPr>
          <w:p>
            <w:pPr>
              <w:spacing w:after="0"/>
              <w:rPr>
                <w:sz w:val="14"/>
                <w:szCs w:val="14"/>
                <w:color w:val="auto"/>
              </w:rPr>
            </w:pP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83.55%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82.14%</w:t>
            </w:r>
          </w:p>
        </w:tc>
      </w:tr>
    </w:tbl>
    <w:p>
      <w:pPr>
        <w:spacing w:after="0" w:line="341"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The increase in the overhead component percentage in the last two years is a result of decreased sales volume. Total overhead dollar costs decreased $3.7 million in 1996 from 1995, and $2.1 million in 1995 from 1994.</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increase in SG&amp;A expenses as a percentage of net sales since 1993 is chiefly the result of the decline in net sales. Total dollars, including variable costs (primarily sales commissions), declined in 1996 and 1995 compared to prior years. The fixed cost elements of the category decreased slightly in 1996 compared to 1995. These fixed costs increased in 1995 from 1994 mainly in marketing and merchandising costs related to the Bassett Direct Plus and Bassett Gallery Programs.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Note H in the Notes to Consolidated Financial Statements discloses the components of other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effective tax rate for 1996 was 17.0%, down from 24.0% and 28.2% in 1995 and 1994, respectively. Note E in the Notes to Consolidated Financial Statements contains complete disclosure of the Company's income tax status.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Cash provided by operating activities has remained level in the last three years ($25.5 million in 1996, $26.3 million in 1995 and $23.7 million in 1994).</w:t>
      </w:r>
    </w:p>
    <w:p>
      <w:pPr>
        <w:spacing w:after="0" w:line="16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Traditionally, the Company has purchased (rather than leased) its capital equipment requirements. During 1996, $9.6 million was expended for new equipment and facilities. A comparison of purchases of property, plant and equipment and depreciation charges is shown below:</w:t>
      </w:r>
    </w:p>
    <w:p>
      <w:pPr>
        <w:sectPr>
          <w:pgSz w:w="11900" w:h="16838" w:orient="portrait"/>
          <w:cols w:equalWidth="0" w:num="1">
            <w:col w:w="10239"/>
          </w:cols>
          <w:pgMar w:left="220" w:top="281" w:right="144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Purchases of</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property, plant and</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equipment (in millions)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charges (in millions)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continued to repurchase its Common Stock in 1996, purchasing 584,343 shares at an average cost of $24.16 or a total expenditure of $14.1 million. This follows the repurchase of 791,087 shares in 1995 and 1994 for a total expenditure of $19.7 million.</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current ratio was 6.42 to 1 and 5.79 to 1 at November 30, 1996 and 1995, respectively. Working capital was $164 million and $170 million at November 30, 1996 and 1995, respectively.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cash requirements.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There were no material commitments for capital expenditures at November 30, 1996. Capital expenditures made in the future for normal expansion are anticipated to be made from funds generated by operating activities.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has never used the debt or equity markets as sources of funds or capital.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ectPr>
          <w:pgSz w:w="11900" w:h="16838" w:orient="portrait"/>
          <w:cols w:equalWidth="0" w:num="1">
            <w:col w:w="10239"/>
          </w:cols>
          <w:pgMar w:left="220" w:top="471"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10"/>
        <w:spacing w:after="0"/>
        <w:rPr>
          <w:sz w:val="20"/>
          <w:szCs w:val="20"/>
          <w:color w:val="auto"/>
        </w:rPr>
      </w:pPr>
      <w:r>
        <w:rPr>
          <w:rFonts w:ascii="Courier New" w:cs="Courier New" w:eastAsia="Courier New" w:hAnsi="Courier New"/>
          <w:sz w:val="15"/>
          <w:szCs w:val="15"/>
          <w:color w:val="auto"/>
        </w:rPr>
        <w:t>EXHIBIT 21 - LIST OF SUBSIDIARIES</w:t>
      </w:r>
    </w:p>
    <w:p>
      <w:pPr>
        <w:spacing w:after="0" w:line="341" w:lineRule="exact"/>
        <w:rPr>
          <w:sz w:val="20"/>
          <w:szCs w:val="20"/>
          <w:color w:val="auto"/>
        </w:rPr>
      </w:pPr>
    </w:p>
    <w:p>
      <w:pPr>
        <w:ind w:left="430" w:right="3939" w:hanging="430"/>
        <w:spacing w:after="0" w:line="234" w:lineRule="auto"/>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of North Carolina Inc. (North Carolina corporation)</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 Malone Corporation (Delaware corporation)</w:t>
      </w:r>
    </w:p>
    <w:p>
      <w:pPr>
        <w:sectPr>
          <w:pgSz w:w="11900" w:h="16838" w:orient="portrait"/>
          <w:cols w:equalWidth="0" w:num="1">
            <w:col w:w="10229"/>
          </w:cols>
          <w:pgMar w:left="230" w:top="135"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[KPMG PEAT MARWICK LLP LETTERHEAD]</w:t>
      </w:r>
    </w:p>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EXHIBIT 23 - CONSENT OF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33-52405 and 33-52407) on Form S-8 of Bassett Furniture Industries, Incorporated and subsidiaries of our report dated December 17, 1996, relating to the consolidated balance sheets of Bassett Furniture Industries, Incorporated and subsidiaries as of November 30, 1996 and 1995 and the related consolidated statements of income, stockholders' equity and cash flows for each of the years in the three-year period ended November 30, 1996 which report is incorporated by reference in the November 30, 1996 annual report on the Form 10-K of Bassett Furniture Industries, Incorporated and subsidiaries.</w:t>
      </w:r>
    </w:p>
    <w:p>
      <w:pPr>
        <w:spacing w:after="0" w:line="16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As discussed in note E to the consolidated financial statements, the Company adopted the provisions of the Financial Accounting Standards Board Statement No. 109, "Accounting for Income Taxes," in 1994.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February 21, 1997</w:t>
      </w:r>
    </w:p>
    <w:p>
      <w:pPr>
        <w:sectPr>
          <w:pgSz w:w="11900" w:h="16838" w:orient="portrait"/>
          <w:cols w:equalWidth="0" w:num="1">
            <w:col w:w="10239"/>
          </w:cols>
          <w:pgMar w:left="220" w:top="13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NOV-30-1996</w:t>
      </w:r>
    </w:p>
    <w:p>
      <w:pPr>
        <w:ind w:left="2440"/>
        <w:spacing w:after="0" w:line="238" w:lineRule="auto"/>
        <w:rPr>
          <w:sz w:val="20"/>
          <w:szCs w:val="20"/>
          <w:color w:val="auto"/>
        </w:rPr>
      </w:pPr>
      <w:r>
        <w:rPr>
          <w:rFonts w:ascii="Courier New" w:cs="Courier New" w:eastAsia="Courier New" w:hAnsi="Courier New"/>
          <w:sz w:val="15"/>
          <w:szCs w:val="15"/>
          <w:color w:val="auto"/>
        </w:rPr>
        <w:t>DEC-01-1995</w:t>
      </w:r>
    </w:p>
    <w:p>
      <w:pPr>
        <w:ind w:left="2620"/>
        <w:spacing w:after="0" w:line="237" w:lineRule="auto"/>
        <w:rPr>
          <w:sz w:val="20"/>
          <w:szCs w:val="20"/>
          <w:color w:val="auto"/>
        </w:rPr>
      </w:pPr>
      <w:r>
        <w:rPr>
          <w:rFonts w:ascii="Courier New" w:cs="Courier New" w:eastAsia="Courier New" w:hAnsi="Courier New"/>
          <w:sz w:val="15"/>
          <w:szCs w:val="15"/>
          <w:color w:val="auto"/>
        </w:rPr>
        <w:t>NOV-30-1996</w:t>
      </w:r>
    </w:p>
    <w:p>
      <w:pPr>
        <w:ind w:left="3580"/>
        <w:spacing w:after="0" w:line="238" w:lineRule="auto"/>
        <w:rPr>
          <w:sz w:val="20"/>
          <w:szCs w:val="20"/>
          <w:color w:val="auto"/>
        </w:rPr>
      </w:pPr>
      <w:r>
        <w:rPr>
          <w:rFonts w:ascii="Courier New" w:cs="Courier New" w:eastAsia="Courier New" w:hAnsi="Courier New"/>
          <w:sz w:val="15"/>
          <w:szCs w:val="15"/>
          <w:color w:val="auto"/>
        </w:rPr>
        <w:t>57,285</w:t>
      </w:r>
    </w:p>
    <w:p>
      <w:pPr>
        <w:ind w:left="3060"/>
        <w:spacing w:after="0" w:line="237" w:lineRule="auto"/>
        <w:rPr>
          <w:sz w:val="20"/>
          <w:szCs w:val="20"/>
          <w:color w:val="auto"/>
        </w:rPr>
      </w:pPr>
      <w:r>
        <w:rPr>
          <w:rFonts w:ascii="Courier New" w:cs="Courier New" w:eastAsia="Courier New" w:hAnsi="Courier New"/>
          <w:sz w:val="15"/>
          <w:szCs w:val="15"/>
          <w:color w:val="auto"/>
        </w:rPr>
        <w:t>29,625</w:t>
      </w:r>
    </w:p>
    <w:p>
      <w:pPr>
        <w:ind w:left="2980"/>
        <w:spacing w:after="0" w:line="238" w:lineRule="auto"/>
        <w:rPr>
          <w:sz w:val="20"/>
          <w:szCs w:val="20"/>
          <w:color w:val="auto"/>
        </w:rPr>
      </w:pPr>
      <w:r>
        <w:rPr>
          <w:rFonts w:ascii="Courier New" w:cs="Courier New" w:eastAsia="Courier New" w:hAnsi="Courier New"/>
          <w:sz w:val="15"/>
          <w:szCs w:val="15"/>
          <w:color w:val="auto"/>
        </w:rPr>
        <w:t>66,772</w:t>
      </w:r>
    </w:p>
    <w:p>
      <w:pPr>
        <w:ind w:left="3140"/>
        <w:spacing w:after="0" w:line="237" w:lineRule="auto"/>
        <w:rPr>
          <w:sz w:val="20"/>
          <w:szCs w:val="20"/>
          <w:color w:val="auto"/>
        </w:rPr>
      </w:pPr>
      <w:r>
        <w:rPr>
          <w:rFonts w:ascii="Courier New" w:cs="Courier New" w:eastAsia="Courier New" w:hAnsi="Courier New"/>
          <w:sz w:val="15"/>
          <w:szCs w:val="15"/>
          <w:color w:val="auto"/>
        </w:rPr>
        <w:t>1,355</w:t>
      </w:r>
    </w:p>
    <w:p>
      <w:pPr>
        <w:ind w:left="3140"/>
        <w:spacing w:after="0" w:line="238" w:lineRule="auto"/>
        <w:rPr>
          <w:sz w:val="20"/>
          <w:szCs w:val="20"/>
          <w:color w:val="auto"/>
        </w:rPr>
      </w:pPr>
      <w:r>
        <w:rPr>
          <w:rFonts w:ascii="Courier New" w:cs="Courier New" w:eastAsia="Courier New" w:hAnsi="Courier New"/>
          <w:sz w:val="15"/>
          <w:szCs w:val="15"/>
          <w:color w:val="auto"/>
        </w:rPr>
        <w:t>67,082</w:t>
      </w:r>
    </w:p>
    <w:p>
      <w:pPr>
        <w:ind w:left="2620"/>
        <w:spacing w:after="0" w:line="238" w:lineRule="auto"/>
        <w:rPr>
          <w:sz w:val="20"/>
          <w:szCs w:val="20"/>
          <w:color w:val="auto"/>
        </w:rPr>
      </w:pPr>
      <w:r>
        <w:rPr>
          <w:rFonts w:ascii="Courier New" w:cs="Courier New" w:eastAsia="Courier New" w:hAnsi="Courier New"/>
          <w:sz w:val="15"/>
          <w:szCs w:val="15"/>
          <w:color w:val="auto"/>
        </w:rPr>
        <w:t>194,719</w:t>
      </w:r>
    </w:p>
    <w:p>
      <w:pPr>
        <w:ind w:left="3500"/>
        <w:spacing w:after="0" w:line="237" w:lineRule="auto"/>
        <w:rPr>
          <w:sz w:val="20"/>
          <w:szCs w:val="20"/>
          <w:color w:val="auto"/>
        </w:rPr>
      </w:pPr>
      <w:r>
        <w:rPr>
          <w:rFonts w:ascii="Courier New" w:cs="Courier New" w:eastAsia="Courier New" w:hAnsi="Courier New"/>
          <w:sz w:val="15"/>
          <w:szCs w:val="15"/>
          <w:color w:val="auto"/>
        </w:rPr>
        <w:t>218,528</w:t>
      </w:r>
    </w:p>
    <w:p>
      <w:pPr>
        <w:ind w:left="2800"/>
        <w:spacing w:after="0" w:line="238" w:lineRule="auto"/>
        <w:rPr>
          <w:sz w:val="20"/>
          <w:szCs w:val="20"/>
          <w:color w:val="auto"/>
        </w:rPr>
      </w:pPr>
      <w:r>
        <w:rPr>
          <w:rFonts w:ascii="Courier New" w:cs="Courier New" w:eastAsia="Courier New" w:hAnsi="Courier New"/>
          <w:sz w:val="15"/>
          <w:szCs w:val="15"/>
          <w:color w:val="auto"/>
        </w:rPr>
        <w:t>162,150</w:t>
      </w:r>
    </w:p>
    <w:p>
      <w:pPr>
        <w:ind w:left="2800"/>
        <w:spacing w:after="0" w:line="237" w:lineRule="auto"/>
        <w:rPr>
          <w:sz w:val="20"/>
          <w:szCs w:val="20"/>
          <w:color w:val="auto"/>
        </w:rPr>
      </w:pPr>
      <w:r>
        <w:rPr>
          <w:rFonts w:ascii="Courier New" w:cs="Courier New" w:eastAsia="Courier New" w:hAnsi="Courier New"/>
          <w:sz w:val="15"/>
          <w:szCs w:val="15"/>
          <w:color w:val="auto"/>
        </w:rPr>
        <w:t>335,165</w:t>
      </w:r>
    </w:p>
    <w:p>
      <w:pPr>
        <w:ind w:left="2280"/>
        <w:spacing w:after="0" w:line="238" w:lineRule="auto"/>
        <w:rPr>
          <w:sz w:val="20"/>
          <w:szCs w:val="20"/>
          <w:color w:val="auto"/>
        </w:rPr>
      </w:pPr>
      <w:r>
        <w:rPr>
          <w:rFonts w:ascii="Courier New" w:cs="Courier New" w:eastAsia="Courier New" w:hAnsi="Courier New"/>
          <w:sz w:val="15"/>
          <w:szCs w:val="15"/>
          <w:color w:val="auto"/>
        </w:rPr>
        <w:t>30,345</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65,378</w:t>
      </w:r>
    </w:p>
    <w:p>
      <w:pPr>
        <w:ind w:left="3140"/>
        <w:spacing w:after="0" w:line="238" w:lineRule="auto"/>
        <w:rPr>
          <w:sz w:val="20"/>
          <w:szCs w:val="20"/>
          <w:color w:val="auto"/>
        </w:rPr>
      </w:pPr>
      <w:r>
        <w:rPr>
          <w:rFonts w:ascii="Courier New" w:cs="Courier New" w:eastAsia="Courier New" w:hAnsi="Courier New"/>
          <w:sz w:val="15"/>
          <w:szCs w:val="15"/>
          <w:color w:val="auto"/>
        </w:rPr>
        <w:t>226,103</w:t>
      </w:r>
    </w:p>
    <w:p>
      <w:pPr>
        <w:ind w:left="1580"/>
        <w:spacing w:after="0" w:line="237" w:lineRule="auto"/>
        <w:rPr>
          <w:sz w:val="20"/>
          <w:szCs w:val="20"/>
          <w:color w:val="auto"/>
        </w:rPr>
      </w:pPr>
      <w:r>
        <w:rPr>
          <w:rFonts w:ascii="Courier New" w:cs="Courier New" w:eastAsia="Courier New" w:hAnsi="Courier New"/>
          <w:sz w:val="15"/>
          <w:szCs w:val="15"/>
          <w:color w:val="auto"/>
        </w:rPr>
        <w:t>335,165</w:t>
      </w:r>
    </w:p>
    <w:p>
      <w:pPr>
        <w:ind w:left="3400"/>
        <w:spacing w:after="0" w:line="238" w:lineRule="auto"/>
        <w:rPr>
          <w:sz w:val="20"/>
          <w:szCs w:val="20"/>
          <w:color w:val="auto"/>
        </w:rPr>
      </w:pPr>
      <w:r>
        <w:rPr>
          <w:rFonts w:ascii="Courier New" w:cs="Courier New" w:eastAsia="Courier New" w:hAnsi="Courier New"/>
          <w:sz w:val="15"/>
          <w:szCs w:val="15"/>
          <w:color w:val="auto"/>
        </w:rPr>
        <w:t>450,717</w:t>
      </w:r>
    </w:p>
    <w:p>
      <w:pPr>
        <w:ind w:left="2620"/>
        <w:spacing w:after="0" w:line="237" w:lineRule="auto"/>
        <w:rPr>
          <w:sz w:val="20"/>
          <w:szCs w:val="20"/>
          <w:color w:val="auto"/>
        </w:rPr>
      </w:pPr>
      <w:r>
        <w:rPr>
          <w:rFonts w:ascii="Courier New" w:cs="Courier New" w:eastAsia="Courier New" w:hAnsi="Courier New"/>
          <w:sz w:val="15"/>
          <w:szCs w:val="15"/>
          <w:color w:val="auto"/>
        </w:rPr>
        <w:t>465,699</w:t>
      </w:r>
    </w:p>
    <w:p>
      <w:pPr>
        <w:jc w:val="right"/>
        <w:ind w:right="5939"/>
        <w:spacing w:after="0" w:line="238" w:lineRule="auto"/>
        <w:rPr>
          <w:sz w:val="20"/>
          <w:szCs w:val="20"/>
          <w:color w:val="auto"/>
        </w:rPr>
      </w:pPr>
      <w:r>
        <w:rPr>
          <w:rFonts w:ascii="Courier New" w:cs="Courier New" w:eastAsia="Courier New" w:hAnsi="Courier New"/>
          <w:sz w:val="15"/>
          <w:szCs w:val="15"/>
          <w:color w:val="auto"/>
        </w:rPr>
        <w:t>379,259</w:t>
      </w:r>
    </w:p>
    <w:p>
      <w:pPr>
        <w:ind w:left="2880"/>
        <w:spacing w:after="0" w:line="238" w:lineRule="auto"/>
        <w:rPr>
          <w:sz w:val="20"/>
          <w:szCs w:val="20"/>
          <w:color w:val="auto"/>
        </w:rPr>
      </w:pPr>
      <w:r>
        <w:rPr>
          <w:rFonts w:ascii="Courier New" w:cs="Courier New" w:eastAsia="Courier New" w:hAnsi="Courier New"/>
          <w:sz w:val="15"/>
          <w:szCs w:val="15"/>
          <w:color w:val="auto"/>
        </w:rPr>
        <w:t>443,411</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241</w:t>
      </w:r>
    </w:p>
    <w:p>
      <w:pPr>
        <w:ind w:left="2620"/>
        <w:spacing w:after="0" w:line="237" w:lineRule="auto"/>
        <w:rPr>
          <w:sz w:val="20"/>
          <w:szCs w:val="20"/>
          <w:color w:val="auto"/>
        </w:rPr>
      </w:pPr>
      <w:r>
        <w:rPr>
          <w:rFonts w:ascii="Courier New" w:cs="Courier New" w:eastAsia="Courier New" w:hAnsi="Courier New"/>
          <w:sz w:val="15"/>
          <w:szCs w:val="15"/>
          <w:color w:val="auto"/>
        </w:rPr>
        <w:t>6,400</w:t>
      </w:r>
    </w:p>
    <w:p>
      <w:pPr>
        <w:ind w:left="2800"/>
        <w:spacing w:after="0" w:line="238" w:lineRule="auto"/>
        <w:rPr>
          <w:sz w:val="20"/>
          <w:szCs w:val="20"/>
          <w:color w:val="auto"/>
        </w:rPr>
      </w:pPr>
      <w:r>
        <w:rPr>
          <w:rFonts w:ascii="Courier New" w:cs="Courier New" w:eastAsia="Courier New" w:hAnsi="Courier New"/>
          <w:sz w:val="15"/>
          <w:szCs w:val="15"/>
          <w:color w:val="auto"/>
        </w:rPr>
        <w:t>22,288</w:t>
      </w:r>
    </w:p>
    <w:p>
      <w:pPr>
        <w:ind w:left="3140"/>
        <w:spacing w:after="0" w:line="237" w:lineRule="auto"/>
        <w:rPr>
          <w:sz w:val="20"/>
          <w:szCs w:val="20"/>
          <w:color w:val="auto"/>
        </w:rPr>
      </w:pPr>
      <w:r>
        <w:rPr>
          <w:rFonts w:ascii="Courier New" w:cs="Courier New" w:eastAsia="Courier New" w:hAnsi="Courier New"/>
          <w:sz w:val="15"/>
          <w:szCs w:val="15"/>
          <w:color w:val="auto"/>
        </w:rPr>
        <w:t>3,787</w:t>
      </w:r>
    </w:p>
    <w:p>
      <w:pPr>
        <w:ind w:left="2440"/>
        <w:spacing w:after="0" w:line="238" w:lineRule="auto"/>
        <w:rPr>
          <w:sz w:val="20"/>
          <w:szCs w:val="20"/>
          <w:color w:val="auto"/>
        </w:rPr>
      </w:pPr>
      <w:r>
        <w:rPr>
          <w:rFonts w:ascii="Courier New" w:cs="Courier New" w:eastAsia="Courier New" w:hAnsi="Courier New"/>
          <w:sz w:val="15"/>
          <w:szCs w:val="15"/>
          <w:color w:val="auto"/>
        </w:rPr>
        <w:t>18,501</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jc w:val="center"/>
        <w:ind w:right="3499"/>
        <w:spacing w:after="0" w:line="237" w:lineRule="auto"/>
        <w:rPr>
          <w:sz w:val="20"/>
          <w:szCs w:val="20"/>
          <w:color w:val="auto"/>
        </w:rPr>
      </w:pPr>
      <w:r>
        <w:rPr>
          <w:rFonts w:ascii="Courier New" w:cs="Courier New" w:eastAsia="Courier New" w:hAnsi="Courier New"/>
          <w:sz w:val="15"/>
          <w:szCs w:val="15"/>
          <w:color w:val="auto"/>
        </w:rPr>
        <w:t>18,501</w:t>
      </w:r>
    </w:p>
    <w:p>
      <w:pPr>
        <w:jc w:val="center"/>
        <w:ind w:right="3499"/>
        <w:spacing w:after="0" w:line="238" w:lineRule="auto"/>
        <w:rPr>
          <w:sz w:val="20"/>
          <w:szCs w:val="20"/>
          <w:color w:val="auto"/>
        </w:rPr>
      </w:pPr>
      <w:r>
        <w:rPr>
          <w:rFonts w:ascii="Courier New" w:cs="Courier New" w:eastAsia="Courier New" w:hAnsi="Courier New"/>
          <w:sz w:val="15"/>
          <w:szCs w:val="15"/>
          <w:color w:val="auto"/>
        </w:rPr>
        <w:t>1.39</w:t>
      </w:r>
    </w:p>
    <w:p>
      <w:pPr>
        <w:jc w:val="center"/>
        <w:ind w:right="3239"/>
        <w:spacing w:after="0" w:line="237" w:lineRule="auto"/>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1"/>
    </w:lvl>
    <w:lvl w:ilvl="1">
      <w:lvlJc w:val="left"/>
      <w:lvlText w:val="(%2)"/>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3"/>
    </w:lvl>
  </w:abstractNum>
  <w:abstractNum w:abstractNumId="5">
    <w:nsid w:val="7FDCC233"/>
    <w:multiLevelType w:val="hybridMultilevel"/>
    <w:lvl w:ilvl="0">
      <w:lvlJc w:val="left"/>
      <w:lvlText w:val="%1."/>
      <w:numFmt w:val="decimal"/>
      <w:start w:val="21"/>
    </w:lvl>
  </w:abstractNum>
  <w:abstractNum w:abstractNumId="6">
    <w:nsid w:val="1BEFD79F"/>
    <w:multiLevelType w:val="hybridMultilevel"/>
    <w:lvl w:ilvl="0">
      <w:lvlJc w:val="left"/>
      <w:lvlText w:val="%1."/>
      <w:numFmt w:val="decimal"/>
      <w:start w:val="23"/>
    </w:lvl>
  </w:abstractNum>
  <w:abstractNum w:abstractNumId="7">
    <w:nsid w:val="41A7C4C9"/>
    <w:multiLevelType w:val="hybridMultilevel"/>
    <w:lvl w:ilvl="0">
      <w:lvlJc w:val="left"/>
      <w:lvlText w:val="%1."/>
      <w:numFmt w:val="decimal"/>
      <w:start w:val="27"/>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3"/>
      <w:numFmt w:val="bullet"/>
      <w:start w:val="1"/>
    </w:lvl>
  </w:abstractNum>
  <w:abstractNum w:abstractNumId="10">
    <w:nsid w:val="25E45D32"/>
    <w:multiLevelType w:val="hybridMultilevel"/>
    <w:lvl w:ilvl="0">
      <w:lvlJc w:val="left"/>
      <w:lvlText w:val="%1"/>
      <w:numFmt w:val="decimal"/>
      <w:start w:val="13"/>
    </w:lvl>
  </w:abstractNum>
  <w:abstractNum w:abstractNumId="11">
    <w:nsid w:val="519B500D"/>
    <w:multiLevelType w:val="hybridMultilevel"/>
    <w:lvl w:ilvl="0">
      <w:lvlJc w:val="left"/>
      <w:lvlText w:val="%1"/>
      <w:numFmt w:val="decimal"/>
      <w:start w:val="21"/>
    </w:lvl>
  </w:abstractNum>
  <w:abstractNum w:abstractNumId="12">
    <w:nsid w:val="431BD7B7"/>
    <w:multiLevelType w:val="hybridMultilevel"/>
    <w:lvl w:ilvl="0">
      <w:lvlJc w:val="left"/>
      <w:lvlText w:val="%1"/>
      <w:numFmt w:val="decimal"/>
      <w:start w:val="23"/>
    </w:lvl>
  </w:abstractNum>
  <w:abstractNum w:abstractNumId="13">
    <w:nsid w:val="3F2DBA31"/>
    <w:multiLevelType w:val="hybridMultilevel"/>
    <w:lvl w:ilvl="0">
      <w:lvlJc w:val="left"/>
      <w:lvlText w:val="%1"/>
      <w:numFmt w:val="decimal"/>
      <w:start w:val="27"/>
    </w:lvl>
  </w:abstractNum>
  <w:abstractNum w:abstractNumId="14">
    <w:nsid w:val="7C83E458"/>
    <w:multiLevelType w:val="hybridMultilevel"/>
    <w:lvl w:ilvl="0">
      <w:lvlJc w:val="left"/>
      <w:lvlText w:val="%1."/>
      <w:numFmt w:val="upperLetter"/>
      <w:start w:val="1"/>
    </w:lvl>
  </w:abstractNum>
  <w:abstractNum w:abstractNumId="15">
    <w:nsid w:val="257130A3"/>
    <w:multiLevelType w:val="hybridMultilevel"/>
    <w:lvl w:ilvl="0">
      <w:lvlJc w:val="left"/>
      <w:lvlText w:val="%1."/>
      <w:numFmt w:val="upperLetter"/>
      <w:start w:val="2"/>
    </w:lvl>
  </w:abstractNum>
  <w:abstractNum w:abstractNumId="16">
    <w:nsid w:val="62BBD95A"/>
    <w:multiLevelType w:val="hybridMultilevel"/>
    <w:lvl w:ilvl="0">
      <w:lvlJc w:val="left"/>
      <w:lvlText w:val="%1."/>
      <w:numFmt w:val="upperLetter"/>
      <w:start w:val="3"/>
    </w:lvl>
  </w:abstractNum>
  <w:abstractNum w:abstractNumId="17">
    <w:nsid w:val="436C6125"/>
    <w:multiLevelType w:val="hybridMultilevel"/>
    <w:lvl w:ilvl="0">
      <w:lvlJc w:val="left"/>
      <w:lvlText w:val="%1."/>
      <w:numFmt w:val="upperLetter"/>
      <w:start w:val="3"/>
    </w:lvl>
  </w:abstractNum>
  <w:abstractNum w:abstractNumId="18">
    <w:nsid w:val="628C895D"/>
    <w:multiLevelType w:val="hybridMultilevel"/>
    <w:lvl w:ilvl="0">
      <w:lvlJc w:val="left"/>
      <w:lvlText w:val="%1."/>
      <w:numFmt w:val="upperLetter"/>
      <w:start w:val="4"/>
    </w:lvl>
  </w:abstractNum>
  <w:abstractNum w:abstractNumId="19">
    <w:nsid w:val="333AB105"/>
    <w:multiLevelType w:val="hybridMultilevel"/>
    <w:lvl w:ilvl="0">
      <w:lvlJc w:val="left"/>
      <w:lvlText w:val="%1."/>
      <w:numFmt w:val="upperLetter"/>
      <w:start w:val="6"/>
    </w:lvl>
  </w:abstractNum>
  <w:abstractNum w:abstractNumId="20">
    <w:nsid w:val="721DA317"/>
    <w:multiLevelType w:val="hybridMultilevel"/>
    <w:lvl w:ilvl="0">
      <w:lvlJc w:val="left"/>
      <w:lvlText w:val="%1."/>
      <w:numFmt w:val="upperLetter"/>
      <w:start w:val="7"/>
    </w:lvl>
  </w:abstractNum>
  <w:abstractNum w:abstractNumId="21">
    <w:nsid w:val="2443A858"/>
    <w:multiLevelType w:val="hybridMultilevel"/>
    <w:lvl w:ilvl="0">
      <w:lvlJc w:val="left"/>
      <w:lvlText w:val="%1."/>
      <w:numFmt w:val="upperLetter"/>
      <w:start w:val="7"/>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2019-12-20T04:34:22Z</dcterms:created>
  <dcterms:modified xsi:type="dcterms:W3CDTF">2019-12-20T04:34:22Z</dcterms:modified>
</cp:coreProperties>
</file>