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19"/>
        <w:spacing w:after="0"/>
        <w:rPr>
          <w:sz w:val="20"/>
          <w:szCs w:val="20"/>
          <w:color w:val="auto"/>
        </w:rPr>
      </w:pPr>
      <w:r>
        <w:rPr>
          <w:rFonts w:ascii="Arial" w:cs="Arial" w:eastAsia="Arial" w:hAnsi="Arial"/>
          <w:sz w:val="22"/>
          <w:szCs w:val="22"/>
          <w:b w:val="1"/>
          <w:bCs w:val="1"/>
          <w:color w:val="auto"/>
        </w:rPr>
        <w:drawing>
          <wp:anchor simplePos="0" relativeHeight="251657728" behindDoc="1" locked="0" layoutInCell="0" allowOverlap="1">
            <wp:simplePos x="0" y="0"/>
            <wp:positionH relativeFrom="page">
              <wp:posOffset>208280</wp:posOffset>
            </wp:positionH>
            <wp:positionV relativeFrom="page">
              <wp:posOffset>328930</wp:posOffset>
            </wp:positionV>
            <wp:extent cx="7132320" cy="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page">
              <wp:posOffset>208280</wp:posOffset>
            </wp:positionH>
            <wp:positionV relativeFrom="page">
              <wp:posOffset>389255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t>UNITED STATES</w:t>
      </w:r>
    </w:p>
    <w:p>
      <w:pPr>
        <w:spacing w:after="0" w:line="9" w:lineRule="exact"/>
        <w:rPr>
          <w:sz w:val="24"/>
          <w:szCs w:val="24"/>
          <w:color w:val="auto"/>
        </w:rPr>
      </w:pPr>
    </w:p>
    <w:p>
      <w:pPr>
        <w:jc w:val="center"/>
        <w:ind w:right="-319"/>
        <w:spacing w:after="0"/>
        <w:rPr>
          <w:sz w:val="20"/>
          <w:szCs w:val="20"/>
          <w:color w:val="auto"/>
        </w:rPr>
      </w:pPr>
      <w:r>
        <w:rPr>
          <w:rFonts w:ascii="Arial" w:cs="Arial" w:eastAsia="Arial" w:hAnsi="Arial"/>
          <w:sz w:val="22"/>
          <w:szCs w:val="22"/>
          <w:b w:val="1"/>
          <w:bCs w:val="1"/>
          <w:color w:val="auto"/>
        </w:rPr>
        <w:t>SECURITIES AND EXCHANGE COMMISSION</w:t>
      </w:r>
    </w:p>
    <w:p>
      <w:pPr>
        <w:jc w:val="center"/>
        <w:ind w:right="-319"/>
        <w:spacing w:after="0"/>
        <w:rPr>
          <w:sz w:val="20"/>
          <w:szCs w:val="20"/>
          <w:color w:val="auto"/>
        </w:rPr>
      </w:pPr>
      <w:r>
        <w:rPr>
          <w:rFonts w:ascii="Arial" w:cs="Arial" w:eastAsia="Arial" w:hAnsi="Arial"/>
          <w:sz w:val="18"/>
          <w:szCs w:val="18"/>
          <w:b w:val="1"/>
          <w:bCs w:val="1"/>
          <w:color w:val="auto"/>
        </w:rPr>
        <w:t>WASHINGTON, D.C. 20549</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00" w:lineRule="exact"/>
        <w:rPr>
          <w:sz w:val="24"/>
          <w:szCs w:val="24"/>
          <w:color w:val="auto"/>
        </w:rPr>
      </w:pPr>
    </w:p>
    <w:p>
      <w:pPr>
        <w:spacing w:after="0" w:line="313" w:lineRule="exact"/>
        <w:rPr>
          <w:sz w:val="24"/>
          <w:szCs w:val="24"/>
          <w:color w:val="auto"/>
        </w:rPr>
      </w:pPr>
    </w:p>
    <w:p>
      <w:pPr>
        <w:jc w:val="center"/>
        <w:ind w:right="-159"/>
        <w:spacing w:after="0"/>
        <w:rPr>
          <w:sz w:val="20"/>
          <w:szCs w:val="20"/>
          <w:color w:val="auto"/>
        </w:rPr>
      </w:pPr>
      <w:r>
        <w:rPr>
          <w:rFonts w:ascii="Arial" w:cs="Arial" w:eastAsia="Arial" w:hAnsi="Arial"/>
          <w:sz w:val="22"/>
          <w:szCs w:val="22"/>
          <w:b w:val="1"/>
          <w:bCs w:val="1"/>
          <w:color w:val="auto"/>
        </w:rPr>
        <w:t>FORM 8-K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182245</wp:posOffset>
            </wp:positionV>
            <wp:extent cx="1783080" cy="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200" w:lineRule="exact"/>
        <w:rPr>
          <w:sz w:val="24"/>
          <w:szCs w:val="24"/>
          <w:color w:val="auto"/>
        </w:rPr>
      </w:pPr>
    </w:p>
    <w:p>
      <w:pPr>
        <w:spacing w:after="0" w:line="333" w:lineRule="exact"/>
        <w:rPr>
          <w:sz w:val="24"/>
          <w:szCs w:val="24"/>
          <w:color w:val="auto"/>
        </w:rPr>
      </w:pPr>
    </w:p>
    <w:p>
      <w:pPr>
        <w:jc w:val="center"/>
        <w:ind w:right="-319"/>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ind w:right="-319"/>
        <w:spacing w:after="0"/>
        <w:rPr>
          <w:sz w:val="20"/>
          <w:szCs w:val="20"/>
          <w:color w:val="auto"/>
        </w:rPr>
      </w:pPr>
      <w:r>
        <w:rPr>
          <w:rFonts w:ascii="Arial" w:cs="Arial" w:eastAsia="Arial" w:hAnsi="Arial"/>
          <w:sz w:val="18"/>
          <w:szCs w:val="18"/>
          <w:b w:val="1"/>
          <w:bCs w:val="1"/>
          <w:color w:val="auto"/>
        </w:rPr>
        <w:t>PURSUANT TO SECTION 13 OR 15(d) OF THE</w:t>
      </w:r>
    </w:p>
    <w:p>
      <w:pPr>
        <w:spacing w:after="0" w:line="27" w:lineRule="exact"/>
        <w:rPr>
          <w:sz w:val="24"/>
          <w:szCs w:val="24"/>
          <w:color w:val="auto"/>
        </w:rPr>
      </w:pPr>
    </w:p>
    <w:p>
      <w:pPr>
        <w:jc w:val="center"/>
        <w:ind w:right="-319"/>
        <w:spacing w:after="0"/>
        <w:rPr>
          <w:sz w:val="20"/>
          <w:szCs w:val="20"/>
          <w:color w:val="auto"/>
        </w:rPr>
      </w:pPr>
      <w:r>
        <w:rPr>
          <w:rFonts w:ascii="Arial" w:cs="Arial" w:eastAsia="Arial" w:hAnsi="Arial"/>
          <w:sz w:val="18"/>
          <w:szCs w:val="18"/>
          <w:b w:val="1"/>
          <w:bCs w:val="1"/>
          <w:color w:val="auto"/>
        </w:rPr>
        <w:t>SECURITIES EXCHANGE ACT OF 1934</w:t>
      </w:r>
    </w:p>
    <w:p>
      <w:pPr>
        <w:spacing w:after="0" w:line="207" w:lineRule="exact"/>
        <w:rPr>
          <w:sz w:val="24"/>
          <w:szCs w:val="24"/>
          <w:color w:val="auto"/>
        </w:rPr>
      </w:pPr>
    </w:p>
    <w:p>
      <w:pPr>
        <w:jc w:val="center"/>
        <w:ind w:right="-319"/>
        <w:spacing w:after="0"/>
        <w:rPr>
          <w:sz w:val="20"/>
          <w:szCs w:val="20"/>
          <w:color w:val="auto"/>
        </w:rPr>
      </w:pPr>
      <w:r>
        <w:rPr>
          <w:rFonts w:ascii="Arial" w:cs="Arial" w:eastAsia="Arial" w:hAnsi="Arial"/>
          <w:sz w:val="18"/>
          <w:szCs w:val="18"/>
          <w:b w:val="1"/>
          <w:bCs w:val="1"/>
          <w:color w:val="auto"/>
        </w:rPr>
        <w:t>Date of Report (Date of earliest event reported) August 17, 2021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188595</wp:posOffset>
            </wp:positionV>
            <wp:extent cx="178308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200" w:lineRule="exact"/>
        <w:rPr>
          <w:sz w:val="24"/>
          <w:szCs w:val="24"/>
          <w:color w:val="auto"/>
        </w:rPr>
      </w:pPr>
    </w:p>
    <w:p>
      <w:pPr>
        <w:spacing w:after="0" w:line="333" w:lineRule="exact"/>
        <w:rPr>
          <w:sz w:val="24"/>
          <w:szCs w:val="24"/>
          <w:color w:val="auto"/>
        </w:rPr>
      </w:pPr>
    </w:p>
    <w:p>
      <w:pPr>
        <w:jc w:val="center"/>
        <w:ind w:right="-319"/>
        <w:spacing w:after="0"/>
        <w:rPr>
          <w:sz w:val="20"/>
          <w:szCs w:val="20"/>
          <w:color w:val="auto"/>
        </w:rPr>
      </w:pPr>
      <w:r>
        <w:rPr>
          <w:rFonts w:ascii="Arial" w:cs="Arial" w:eastAsia="Arial" w:hAnsi="Arial"/>
          <w:sz w:val="21"/>
          <w:szCs w:val="21"/>
          <w:b w:val="1"/>
          <w:bCs w:val="1"/>
          <w:color w:val="auto"/>
        </w:rPr>
        <w:t>BASSETT FURNITURE INDUSTRIES, INCORPORATED</w:t>
      </w:r>
    </w:p>
    <w:p>
      <w:pPr>
        <w:spacing w:after="0" w:line="31" w:lineRule="exact"/>
        <w:rPr>
          <w:sz w:val="24"/>
          <w:szCs w:val="24"/>
          <w:color w:val="auto"/>
        </w:rPr>
      </w:pPr>
    </w:p>
    <w:p>
      <w:pPr>
        <w:jc w:val="center"/>
        <w:ind w:right="-319"/>
        <w:spacing w:after="0"/>
        <w:rPr>
          <w:sz w:val="20"/>
          <w:szCs w:val="20"/>
          <w:color w:val="auto"/>
        </w:rPr>
      </w:pPr>
      <w:r>
        <w:rPr>
          <w:rFonts w:ascii="Arial" w:cs="Arial" w:eastAsia="Arial" w:hAnsi="Arial"/>
          <w:sz w:val="18"/>
          <w:szCs w:val="18"/>
          <w:b w:val="1"/>
          <w:bCs w:val="1"/>
          <w:color w:val="auto"/>
        </w:rPr>
        <w:t>(Exact name of registrant as specified in its charter)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2679700</wp:posOffset>
            </wp:positionH>
            <wp:positionV relativeFrom="paragraph">
              <wp:posOffset>175895</wp:posOffset>
            </wp:positionV>
            <wp:extent cx="178308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ectPr>
          <w:pgSz w:w="11900" w:h="16838" w:orient="portrait"/>
          <w:cols w:equalWidth="0" w:num="1">
            <w:col w:w="11080"/>
          </w:cols>
          <w:pgMar w:left="320" w:top="868" w:right="499" w:bottom="1440" w:gutter="0" w:footer="0" w:header="0"/>
        </w:sectPr>
      </w:pPr>
    </w:p>
    <w:p>
      <w:pPr>
        <w:spacing w:after="0" w:line="200" w:lineRule="exact"/>
        <w:rPr>
          <w:sz w:val="24"/>
          <w:szCs w:val="24"/>
          <w:color w:val="auto"/>
        </w:rPr>
      </w:pPr>
    </w:p>
    <w:p>
      <w:pPr>
        <w:spacing w:after="0" w:line="343" w:lineRule="exact"/>
        <w:rPr>
          <w:sz w:val="24"/>
          <w:szCs w:val="24"/>
          <w:color w:val="auto"/>
        </w:rPr>
      </w:pPr>
    </w:p>
    <w:p>
      <w:pPr>
        <w:ind w:left="1540"/>
        <w:spacing w:after="0"/>
        <w:rPr>
          <w:sz w:val="20"/>
          <w:szCs w:val="20"/>
          <w:color w:val="auto"/>
        </w:rPr>
      </w:pPr>
      <w:r>
        <w:rPr>
          <w:rFonts w:ascii="Arial" w:cs="Arial" w:eastAsia="Arial" w:hAnsi="Arial"/>
          <w:sz w:val="18"/>
          <w:szCs w:val="18"/>
          <w:b w:val="1"/>
          <w:bCs w:val="1"/>
          <w:color w:val="auto"/>
        </w:rPr>
        <w:t>Virginia</w:t>
      </w:r>
    </w:p>
    <w:p>
      <w:pPr>
        <w:spacing w:after="0" w:line="27" w:lineRule="exact"/>
        <w:rPr>
          <w:sz w:val="24"/>
          <w:szCs w:val="24"/>
          <w:color w:val="auto"/>
        </w:rPr>
      </w:pPr>
    </w:p>
    <w:p>
      <w:pPr>
        <w:ind w:left="740"/>
        <w:spacing w:after="0"/>
        <w:rPr>
          <w:sz w:val="20"/>
          <w:szCs w:val="20"/>
          <w:color w:val="auto"/>
        </w:rPr>
      </w:pPr>
      <w:r>
        <w:rPr>
          <w:rFonts w:ascii="Arial" w:cs="Arial" w:eastAsia="Arial" w:hAnsi="Arial"/>
          <w:sz w:val="16"/>
          <w:szCs w:val="16"/>
          <w:b w:val="1"/>
          <w:bCs w:val="1"/>
          <w:color w:val="auto"/>
        </w:rPr>
        <w:t>(State or other jurisdiction of</w:t>
      </w:r>
    </w:p>
    <w:p>
      <w:pPr>
        <w:spacing w:after="0" w:line="32" w:lineRule="exact"/>
        <w:rPr>
          <w:sz w:val="24"/>
          <w:szCs w:val="24"/>
          <w:color w:val="auto"/>
        </w:rPr>
      </w:pPr>
    </w:p>
    <w:p>
      <w:pPr>
        <w:ind w:left="680"/>
        <w:spacing w:after="0"/>
        <w:rPr>
          <w:sz w:val="20"/>
          <w:szCs w:val="20"/>
          <w:color w:val="auto"/>
        </w:rPr>
      </w:pPr>
      <w:r>
        <w:rPr>
          <w:rFonts w:ascii="Arial" w:cs="Arial" w:eastAsia="Arial" w:hAnsi="Arial"/>
          <w:sz w:val="16"/>
          <w:szCs w:val="16"/>
          <w:b w:val="1"/>
          <w:bCs w:val="1"/>
          <w:color w:val="auto"/>
        </w:rPr>
        <w:t>incorporation or organization)</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23" w:lineRule="exact"/>
        <w:rPr>
          <w:sz w:val="24"/>
          <w:szCs w:val="24"/>
          <w:color w:val="auto"/>
        </w:rPr>
      </w:pPr>
    </w:p>
    <w:p>
      <w:pPr>
        <w:jc w:val="center"/>
        <w:ind w:right="1480"/>
        <w:spacing w:after="0"/>
        <w:rPr>
          <w:sz w:val="20"/>
          <w:szCs w:val="20"/>
          <w:color w:val="auto"/>
        </w:rPr>
      </w:pPr>
      <w:r>
        <w:rPr>
          <w:rFonts w:ascii="Arial" w:cs="Arial" w:eastAsia="Arial" w:hAnsi="Arial"/>
          <w:sz w:val="18"/>
          <w:szCs w:val="18"/>
          <w:b w:val="1"/>
          <w:bCs w:val="1"/>
          <w:color w:val="auto"/>
        </w:rPr>
        <w:t>000-00209</w:t>
      </w:r>
    </w:p>
    <w:p>
      <w:pPr>
        <w:spacing w:after="0" w:line="27" w:lineRule="exact"/>
        <w:rPr>
          <w:sz w:val="24"/>
          <w:szCs w:val="24"/>
          <w:color w:val="auto"/>
        </w:rPr>
      </w:pPr>
    </w:p>
    <w:p>
      <w:pPr>
        <w:jc w:val="center"/>
        <w:ind w:right="1480"/>
        <w:spacing w:after="0"/>
        <w:rPr>
          <w:sz w:val="20"/>
          <w:szCs w:val="20"/>
          <w:color w:val="auto"/>
        </w:rPr>
      </w:pPr>
      <w:r>
        <w:rPr>
          <w:rFonts w:ascii="Arial" w:cs="Arial" w:eastAsia="Arial" w:hAnsi="Arial"/>
          <w:sz w:val="16"/>
          <w:szCs w:val="16"/>
          <w:b w:val="1"/>
          <w:bCs w:val="1"/>
          <w:color w:val="auto"/>
        </w:rPr>
        <w:t>(Commission File No.)</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323" w:lineRule="exact"/>
        <w:rPr>
          <w:sz w:val="24"/>
          <w:szCs w:val="24"/>
          <w:color w:val="auto"/>
        </w:rPr>
      </w:pPr>
    </w:p>
    <w:p>
      <w:pPr>
        <w:jc w:val="center"/>
        <w:ind w:right="940"/>
        <w:spacing w:after="0"/>
        <w:rPr>
          <w:sz w:val="20"/>
          <w:szCs w:val="20"/>
          <w:color w:val="auto"/>
        </w:rPr>
      </w:pPr>
      <w:r>
        <w:rPr>
          <w:rFonts w:ascii="Arial" w:cs="Arial" w:eastAsia="Arial" w:hAnsi="Arial"/>
          <w:sz w:val="18"/>
          <w:szCs w:val="18"/>
          <w:b w:val="1"/>
          <w:bCs w:val="1"/>
          <w:color w:val="auto"/>
        </w:rPr>
        <w:t>54-0135270</w:t>
      </w:r>
    </w:p>
    <w:p>
      <w:pPr>
        <w:spacing w:after="0" w:line="27" w:lineRule="exact"/>
        <w:rPr>
          <w:sz w:val="24"/>
          <w:szCs w:val="24"/>
          <w:color w:val="auto"/>
        </w:rPr>
      </w:pPr>
    </w:p>
    <w:p>
      <w:pPr>
        <w:jc w:val="center"/>
        <w:ind w:right="940"/>
        <w:spacing w:after="0"/>
        <w:rPr>
          <w:sz w:val="20"/>
          <w:szCs w:val="20"/>
          <w:color w:val="auto"/>
        </w:rPr>
      </w:pPr>
      <w:r>
        <w:rPr>
          <w:rFonts w:ascii="Arial" w:cs="Arial" w:eastAsia="Arial" w:hAnsi="Arial"/>
          <w:sz w:val="18"/>
          <w:szCs w:val="18"/>
          <w:b w:val="1"/>
          <w:bCs w:val="1"/>
          <w:color w:val="auto"/>
        </w:rPr>
        <w:t>(I.R.S. Employer</w:t>
      </w:r>
    </w:p>
    <w:p>
      <w:pPr>
        <w:spacing w:after="0" w:line="9" w:lineRule="exact"/>
        <w:rPr>
          <w:sz w:val="24"/>
          <w:szCs w:val="24"/>
          <w:color w:val="auto"/>
        </w:rPr>
      </w:pPr>
    </w:p>
    <w:p>
      <w:pPr>
        <w:jc w:val="center"/>
        <w:ind w:right="940"/>
        <w:spacing w:after="0"/>
        <w:rPr>
          <w:sz w:val="20"/>
          <w:szCs w:val="20"/>
          <w:color w:val="auto"/>
        </w:rPr>
      </w:pPr>
      <w:r>
        <w:rPr>
          <w:rFonts w:ascii="Arial" w:cs="Arial" w:eastAsia="Arial" w:hAnsi="Arial"/>
          <w:sz w:val="16"/>
          <w:szCs w:val="16"/>
          <w:b w:val="1"/>
          <w:bCs w:val="1"/>
          <w:color w:val="auto"/>
        </w:rPr>
        <w:t>Identification No.)</w:t>
      </w:r>
    </w:p>
    <w:p>
      <w:pPr>
        <w:spacing w:after="0" w:line="200" w:lineRule="exact"/>
        <w:rPr>
          <w:sz w:val="24"/>
          <w:szCs w:val="24"/>
          <w:color w:val="auto"/>
        </w:rPr>
      </w:pPr>
    </w:p>
    <w:p>
      <w:pPr>
        <w:sectPr>
          <w:pgSz w:w="11900" w:h="16838" w:orient="portrait"/>
          <w:cols w:equalWidth="0" w:num="3">
            <w:col w:w="4120" w:space="720"/>
            <w:col w:w="3180" w:space="720"/>
            <w:col w:w="2340"/>
          </w:cols>
          <w:pgMar w:left="320" w:top="868" w:right="499" w:bottom="1440" w:gutter="0" w:footer="0" w:header="0"/>
          <w:type w:val="continuous"/>
        </w:sectPr>
      </w:pPr>
    </w:p>
    <w:p>
      <w:pPr>
        <w:spacing w:after="0" w:line="30" w:lineRule="exact"/>
        <w:rPr>
          <w:sz w:val="24"/>
          <w:szCs w:val="24"/>
          <w:color w:val="auto"/>
        </w:rPr>
      </w:pPr>
    </w:p>
    <w:p>
      <w:pPr>
        <w:jc w:val="center"/>
        <w:ind w:left="20"/>
        <w:spacing w:after="0"/>
        <w:rPr>
          <w:sz w:val="20"/>
          <w:szCs w:val="20"/>
          <w:color w:val="auto"/>
        </w:rPr>
      </w:pPr>
      <w:r>
        <w:rPr>
          <w:rFonts w:ascii="Arial" w:cs="Arial" w:eastAsia="Arial" w:hAnsi="Arial"/>
          <w:sz w:val="18"/>
          <w:szCs w:val="18"/>
          <w:b w:val="1"/>
          <w:bCs w:val="1"/>
          <w:color w:val="auto"/>
        </w:rPr>
        <w:t>3525 Fairystone Park Highway</w:t>
      </w:r>
    </w:p>
    <w:p>
      <w:pPr>
        <w:spacing w:after="0" w:line="27" w:lineRule="exact"/>
        <w:rPr>
          <w:sz w:val="24"/>
          <w:szCs w:val="24"/>
          <w:color w:val="auto"/>
        </w:rPr>
      </w:pPr>
    </w:p>
    <w:p>
      <w:pPr>
        <w:jc w:val="center"/>
        <w:ind w:left="20"/>
        <w:spacing w:after="0"/>
        <w:rPr>
          <w:sz w:val="20"/>
          <w:szCs w:val="20"/>
          <w:color w:val="auto"/>
        </w:rPr>
      </w:pPr>
      <w:r>
        <w:rPr>
          <w:rFonts w:ascii="Arial" w:cs="Arial" w:eastAsia="Arial" w:hAnsi="Arial"/>
          <w:sz w:val="18"/>
          <w:szCs w:val="18"/>
          <w:b w:val="1"/>
          <w:bCs w:val="1"/>
          <w:color w:val="auto"/>
        </w:rPr>
        <w:t>Bassett, Virginia</w:t>
      </w:r>
    </w:p>
    <w:p>
      <w:pPr>
        <w:spacing w:after="0" w:line="9" w:lineRule="exact"/>
        <w:rPr>
          <w:sz w:val="24"/>
          <w:szCs w:val="24"/>
          <w:color w:val="auto"/>
        </w:rPr>
      </w:pPr>
    </w:p>
    <w:p>
      <w:pPr>
        <w:jc w:val="center"/>
        <w:ind w:left="20"/>
        <w:spacing w:after="0"/>
        <w:rPr>
          <w:sz w:val="20"/>
          <w:szCs w:val="20"/>
          <w:color w:val="auto"/>
        </w:rPr>
      </w:pPr>
      <w:r>
        <w:rPr>
          <w:rFonts w:ascii="Arial" w:cs="Arial" w:eastAsia="Arial" w:hAnsi="Arial"/>
          <w:sz w:val="15"/>
          <w:szCs w:val="15"/>
          <w:b w:val="1"/>
          <w:bCs w:val="1"/>
          <w:color w:val="auto"/>
        </w:rPr>
        <w:t>(Address of principal executive offices)</w:t>
      </w:r>
    </w:p>
    <w:p>
      <w:pPr>
        <w:spacing w:after="0" w:line="20" w:lineRule="exact"/>
        <w:rPr>
          <w:sz w:val="24"/>
          <w:szCs w:val="24"/>
          <w:color w:val="auto"/>
        </w:rPr>
      </w:pPr>
      <w:r>
        <w:rPr>
          <w:sz w:val="24"/>
          <w:szCs w:val="24"/>
          <w:color w:val="auto"/>
        </w:rPr>
        <w:br w:type="column"/>
      </w:r>
    </w:p>
    <w:p>
      <w:pPr>
        <w:spacing w:after="0" w:line="226" w:lineRule="exact"/>
        <w:rPr>
          <w:sz w:val="24"/>
          <w:szCs w:val="24"/>
          <w:color w:val="auto"/>
        </w:rPr>
      </w:pPr>
    </w:p>
    <w:p>
      <w:pPr>
        <w:jc w:val="center"/>
        <w:ind w:right="2800"/>
        <w:spacing w:after="0"/>
        <w:rPr>
          <w:sz w:val="20"/>
          <w:szCs w:val="20"/>
          <w:color w:val="auto"/>
        </w:rPr>
      </w:pPr>
      <w:r>
        <w:rPr>
          <w:rFonts w:ascii="Arial" w:cs="Arial" w:eastAsia="Arial" w:hAnsi="Arial"/>
          <w:sz w:val="18"/>
          <w:szCs w:val="18"/>
          <w:b w:val="1"/>
          <w:bCs w:val="1"/>
          <w:color w:val="auto"/>
        </w:rPr>
        <w:t>24055</w:t>
      </w:r>
    </w:p>
    <w:p>
      <w:pPr>
        <w:spacing w:after="0" w:line="27" w:lineRule="exact"/>
        <w:rPr>
          <w:sz w:val="24"/>
          <w:szCs w:val="24"/>
          <w:color w:val="auto"/>
        </w:rPr>
      </w:pPr>
    </w:p>
    <w:p>
      <w:pPr>
        <w:jc w:val="center"/>
        <w:ind w:right="2800"/>
        <w:spacing w:after="0"/>
        <w:rPr>
          <w:sz w:val="20"/>
          <w:szCs w:val="20"/>
          <w:color w:val="auto"/>
        </w:rPr>
      </w:pPr>
      <w:r>
        <w:rPr>
          <w:rFonts w:ascii="Arial" w:cs="Arial" w:eastAsia="Arial" w:hAnsi="Arial"/>
          <w:sz w:val="16"/>
          <w:szCs w:val="16"/>
          <w:b w:val="1"/>
          <w:bCs w:val="1"/>
          <w:color w:val="auto"/>
        </w:rPr>
        <w:t>(Zip Code)</w:t>
      </w:r>
    </w:p>
    <w:p>
      <w:pPr>
        <w:spacing w:after="0" w:line="200" w:lineRule="exact"/>
        <w:rPr>
          <w:sz w:val="24"/>
          <w:szCs w:val="24"/>
          <w:color w:val="auto"/>
        </w:rPr>
      </w:pPr>
    </w:p>
    <w:p>
      <w:pPr>
        <w:sectPr>
          <w:pgSz w:w="11900" w:h="16838" w:orient="portrait"/>
          <w:cols w:equalWidth="0" w:num="2">
            <w:col w:w="6740" w:space="720"/>
            <w:col w:w="3620"/>
          </w:cols>
          <w:pgMar w:left="320" w:top="868" w:right="499" w:bottom="1440" w:gutter="0" w:footer="0" w:header="0"/>
          <w:type w:val="continuous"/>
        </w:sectPr>
      </w:pPr>
    </w:p>
    <w:p>
      <w:pPr>
        <w:spacing w:after="0" w:line="30" w:lineRule="exact"/>
        <w:rPr>
          <w:sz w:val="24"/>
          <w:szCs w:val="24"/>
          <w:color w:val="auto"/>
        </w:rPr>
      </w:pPr>
    </w:p>
    <w:p>
      <w:pPr>
        <w:jc w:val="center"/>
        <w:ind w:right="-319"/>
        <w:spacing w:after="0"/>
        <w:rPr>
          <w:sz w:val="20"/>
          <w:szCs w:val="20"/>
          <w:color w:val="auto"/>
        </w:rPr>
      </w:pPr>
      <w:r>
        <w:rPr>
          <w:rFonts w:ascii="Arial" w:cs="Arial" w:eastAsia="Arial" w:hAnsi="Arial"/>
          <w:sz w:val="18"/>
          <w:szCs w:val="18"/>
          <w:b w:val="1"/>
          <w:bCs w:val="1"/>
          <w:color w:val="auto"/>
        </w:rPr>
        <w:t>Registrant</w:t>
      </w:r>
      <w:r>
        <w:rPr>
          <w:rFonts w:ascii="Arial" w:cs="Arial" w:eastAsia="Arial" w:hAnsi="Arial"/>
          <w:sz w:val="18"/>
          <w:szCs w:val="18"/>
          <w:color w:val="auto"/>
        </w:rPr>
        <w:t>’</w:t>
      </w:r>
      <w:r>
        <w:rPr>
          <w:rFonts w:ascii="Arial" w:cs="Arial" w:eastAsia="Arial" w:hAnsi="Arial"/>
          <w:sz w:val="18"/>
          <w:szCs w:val="18"/>
          <w:b w:val="1"/>
          <w:bCs w:val="1"/>
          <w:color w:val="auto"/>
        </w:rPr>
        <w:t>s telephone number, including area code (276) 629-6000</w:t>
      </w:r>
    </w:p>
    <w:p>
      <w:pPr>
        <w:spacing w:after="0" w:line="225" w:lineRule="exact"/>
        <w:rPr>
          <w:sz w:val="24"/>
          <w:szCs w:val="24"/>
          <w:color w:val="auto"/>
        </w:rPr>
      </w:pPr>
    </w:p>
    <w:p>
      <w:pPr>
        <w:jc w:val="center"/>
        <w:ind w:right="-319"/>
        <w:spacing w:after="0"/>
        <w:rPr>
          <w:sz w:val="20"/>
          <w:szCs w:val="20"/>
          <w:color w:val="auto"/>
        </w:rPr>
      </w:pPr>
      <w:r>
        <w:rPr>
          <w:rFonts w:ascii="Arial" w:cs="Arial" w:eastAsia="Arial" w:hAnsi="Arial"/>
          <w:sz w:val="18"/>
          <w:szCs w:val="18"/>
          <w:b w:val="1"/>
          <w:bCs w:val="1"/>
          <w:color w:val="auto"/>
        </w:rPr>
        <w:t>(Former name or former address, if changed since last report)</w:t>
      </w:r>
    </w:p>
    <w:p>
      <w:pPr>
        <w:spacing w:after="0" w:line="229" w:lineRule="exact"/>
        <w:rPr>
          <w:sz w:val="24"/>
          <w:szCs w:val="24"/>
          <w:color w:val="auto"/>
        </w:rPr>
      </w:pPr>
    </w:p>
    <w:p>
      <w:pPr>
        <w:ind w:right="520"/>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the registrant under any of the following provisions (see General Instruction A.2 below):</w:t>
      </w:r>
    </w:p>
    <w:p>
      <w:pPr>
        <w:spacing w:after="0" w:line="170" w:lineRule="exact"/>
        <w:rPr>
          <w:sz w:val="24"/>
          <w:szCs w:val="24"/>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340" w:hanging="332"/>
        <w:spacing w:after="0"/>
        <w:tabs>
          <w:tab w:leader="none" w:pos="34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700" w:firstLine="8"/>
        <w:spacing w:after="0" w:line="500" w:lineRule="auto"/>
        <w:tabs>
          <w:tab w:leader="none" w:pos="324"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w:t>
      </w:r>
    </w:p>
    <w:p>
      <w:pPr>
        <w:spacing w:after="0" w:line="2" w:lineRule="exact"/>
        <w:rPr>
          <w:sz w:val="24"/>
          <w:szCs w:val="24"/>
          <w:color w:val="auto"/>
        </w:rPr>
      </w:pPr>
    </w:p>
    <w:tbl>
      <w:tblPr>
        <w:tblLayout w:type="fixed"/>
        <w:tblInd w:w="760" w:type="dxa"/>
        <w:tblCellMar>
          <w:top w:w="0" w:type="dxa"/>
          <w:left w:w="0" w:type="dxa"/>
          <w:bottom w:w="0" w:type="dxa"/>
          <w:right w:w="0" w:type="dxa"/>
        </w:tblCellMar>
      </w:tblPr>
      <w:tr>
        <w:trPr>
          <w:trHeight w:val="230"/>
        </w:trPr>
        <w:tc>
          <w:tcPr>
            <w:tcW w:w="31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300" w:type="dxa"/>
            <w:vAlign w:val="bottom"/>
          </w:tcPr>
          <w:p>
            <w:pPr>
              <w:spacing w:after="0"/>
              <w:rPr>
                <w:sz w:val="20"/>
                <w:szCs w:val="20"/>
                <w:color w:val="auto"/>
              </w:rPr>
            </w:pPr>
          </w:p>
        </w:tc>
        <w:tc>
          <w:tcPr>
            <w:tcW w:w="304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3"/>
              </w:rPr>
              <w:t>Trading Symbol</w:t>
            </w:r>
          </w:p>
        </w:tc>
        <w:tc>
          <w:tcPr>
            <w:tcW w:w="280" w:type="dxa"/>
            <w:vAlign w:val="bottom"/>
          </w:tcPr>
          <w:p>
            <w:pPr>
              <w:spacing w:after="0"/>
              <w:rPr>
                <w:sz w:val="20"/>
                <w:szCs w:val="20"/>
                <w:color w:val="auto"/>
              </w:rPr>
            </w:pPr>
          </w:p>
        </w:tc>
        <w:tc>
          <w:tcPr>
            <w:tcW w:w="31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90"/>
              </w:rPr>
              <w:t>Name of exchange on which registered</w:t>
            </w:r>
          </w:p>
        </w:tc>
      </w:tr>
      <w:tr>
        <w:trPr>
          <w:trHeight w:val="224"/>
        </w:trPr>
        <w:tc>
          <w:tcPr>
            <w:tcW w:w="3140" w:type="dxa"/>
            <w:vAlign w:val="bottom"/>
          </w:tcPr>
          <w:p>
            <w:pPr>
              <w:jc w:val="center"/>
              <w:spacing w:after="0"/>
              <w:rPr>
                <w:sz w:val="20"/>
                <w:szCs w:val="20"/>
                <w:color w:val="auto"/>
              </w:rPr>
            </w:pPr>
            <w:r>
              <w:rPr>
                <w:rFonts w:ascii="Arial" w:cs="Arial" w:eastAsia="Arial" w:hAnsi="Arial"/>
                <w:sz w:val="18"/>
                <w:szCs w:val="18"/>
                <w:color w:val="auto"/>
                <w:w w:val="90"/>
              </w:rPr>
              <w:t>Common Stock ($5.00 par value)</w:t>
            </w:r>
          </w:p>
        </w:tc>
        <w:tc>
          <w:tcPr>
            <w:tcW w:w="300" w:type="dxa"/>
            <w:vAlign w:val="bottom"/>
          </w:tcPr>
          <w:p>
            <w:pPr>
              <w:spacing w:after="0"/>
              <w:rPr>
                <w:sz w:val="19"/>
                <w:szCs w:val="19"/>
                <w:color w:val="auto"/>
              </w:rPr>
            </w:pPr>
          </w:p>
        </w:tc>
        <w:tc>
          <w:tcPr>
            <w:tcW w:w="3040" w:type="dxa"/>
            <w:vAlign w:val="bottom"/>
          </w:tcPr>
          <w:p>
            <w:pPr>
              <w:jc w:val="center"/>
              <w:spacing w:after="0"/>
              <w:rPr>
                <w:sz w:val="20"/>
                <w:szCs w:val="20"/>
                <w:color w:val="auto"/>
              </w:rPr>
            </w:pPr>
            <w:r>
              <w:rPr>
                <w:rFonts w:ascii="Arial" w:cs="Arial" w:eastAsia="Arial" w:hAnsi="Arial"/>
                <w:sz w:val="18"/>
                <w:szCs w:val="18"/>
                <w:color w:val="auto"/>
                <w:w w:val="93"/>
              </w:rPr>
              <w:t>BSET</w:t>
            </w:r>
          </w:p>
        </w:tc>
        <w:tc>
          <w:tcPr>
            <w:tcW w:w="280" w:type="dxa"/>
            <w:vAlign w:val="bottom"/>
          </w:tcPr>
          <w:p>
            <w:pPr>
              <w:spacing w:after="0"/>
              <w:rPr>
                <w:sz w:val="19"/>
                <w:szCs w:val="19"/>
                <w:color w:val="auto"/>
              </w:rPr>
            </w:pPr>
          </w:p>
        </w:tc>
        <w:tc>
          <w:tcPr>
            <w:tcW w:w="3160" w:type="dxa"/>
            <w:vAlign w:val="bottom"/>
          </w:tcPr>
          <w:p>
            <w:pPr>
              <w:jc w:val="center"/>
              <w:spacing w:after="0"/>
              <w:rPr>
                <w:sz w:val="20"/>
                <w:szCs w:val="20"/>
                <w:color w:val="auto"/>
              </w:rPr>
            </w:pPr>
            <w:r>
              <w:rPr>
                <w:rFonts w:ascii="Arial" w:cs="Arial" w:eastAsia="Arial" w:hAnsi="Arial"/>
                <w:sz w:val="18"/>
                <w:szCs w:val="18"/>
                <w:color w:val="auto"/>
                <w:w w:val="97"/>
              </w:rPr>
              <w:t>NASDAQ</w:t>
            </w:r>
          </w:p>
        </w:tc>
      </w:tr>
    </w:tbl>
    <w:p>
      <w:pPr>
        <w:spacing w:after="0" w:line="187" w:lineRule="exact"/>
        <w:rPr>
          <w:sz w:val="24"/>
          <w:szCs w:val="24"/>
          <w:color w:val="auto"/>
        </w:rPr>
      </w:pPr>
    </w:p>
    <w:p>
      <w:pPr>
        <w:ind w:right="1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or Rule 12b-2 of the Securities Exchange Act of 1934.</w:t>
      </w:r>
    </w:p>
    <w:p>
      <w:pPr>
        <w:spacing w:after="0" w:line="138"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Emerging growth company </w:t>
      </w:r>
      <w:r>
        <w:rPr>
          <w:rFonts w:ascii="MS PGothic" w:cs="MS PGothic" w:eastAsia="MS PGothic" w:hAnsi="MS PGothic"/>
          <w:sz w:val="18"/>
          <w:szCs w:val="18"/>
          <w:color w:val="auto"/>
        </w:rPr>
        <w:t>☐</w:t>
      </w:r>
    </w:p>
    <w:p>
      <w:pPr>
        <w:spacing w:after="0" w:line="258" w:lineRule="exact"/>
        <w:rPr>
          <w:sz w:val="24"/>
          <w:szCs w:val="24"/>
          <w:color w:val="auto"/>
        </w:rPr>
      </w:pPr>
    </w:p>
    <w:p>
      <w:pPr>
        <w:spacing w:after="0" w:line="233"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159385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201930</wp:posOffset>
            </wp:positionV>
            <wp:extent cx="7132320" cy="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2540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622300</wp:posOffset>
            </wp:positionV>
            <wp:extent cx="7132320" cy="171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080"/>
          </w:cols>
          <w:pgMar w:left="320" w:top="868" w:right="499" w:bottom="1440" w:gutter="0" w:footer="0" w:header="0"/>
          <w:type w:val="continuous"/>
        </w:sectPr>
      </w:pPr>
    </w:p>
    <w:bookmarkStart w:id="1" w:name="page2"/>
    <w:bookmarkEnd w:id="1"/>
    <w:p>
      <w:pPr>
        <w:spacing w:after="0"/>
        <w:tabs>
          <w:tab w:leader="none" w:pos="880" w:val="left"/>
        </w:tabs>
        <w:rPr>
          <w:sz w:val="20"/>
          <w:szCs w:val="20"/>
          <w:color w:val="auto"/>
        </w:rPr>
      </w:pPr>
      <w:r>
        <w:rPr>
          <w:rFonts w:ascii="Arial" w:cs="Arial" w:eastAsia="Arial" w:hAnsi="Arial"/>
          <w:sz w:val="18"/>
          <w:szCs w:val="18"/>
          <w:b w:val="1"/>
          <w:bCs w:val="1"/>
          <w:color w:val="auto"/>
        </w:rPr>
        <w:t>Item 8.01</w:t>
      </w:r>
      <w:r>
        <w:rPr>
          <w:sz w:val="20"/>
          <w:szCs w:val="20"/>
          <w:color w:val="auto"/>
        </w:rPr>
        <w:tab/>
      </w:r>
      <w:r>
        <w:rPr>
          <w:rFonts w:ascii="Arial" w:cs="Arial" w:eastAsia="Arial" w:hAnsi="Arial"/>
          <w:sz w:val="16"/>
          <w:szCs w:val="16"/>
          <w:b w:val="1"/>
          <w:bCs w:val="1"/>
          <w:color w:val="auto"/>
        </w:rPr>
        <w:t>Other Events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On August 17, 2021 Bassett Furniture Industries issued a news release announcing its participation in the Sidoti Microcap Conference as well as discussing orders and shipments for July 2021. A copy of the news release is attached to the report as Exhibit 99.</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(d) Exhibits</w:t>
      </w:r>
    </w:p>
    <w:p>
      <w:pPr>
        <w:spacing w:after="0" w:line="225" w:lineRule="exact"/>
        <w:rPr>
          <w:sz w:val="20"/>
          <w:szCs w:val="20"/>
          <w:color w:val="auto"/>
        </w:rPr>
      </w:pPr>
    </w:p>
    <w:p>
      <w:pPr>
        <w:ind w:left="660" w:hanging="652"/>
        <w:spacing w:after="0"/>
        <w:tabs>
          <w:tab w:leader="none" w:pos="660" w:val="left"/>
        </w:tabs>
        <w:numPr>
          <w:ilvl w:val="0"/>
          <w:numId w:val="2"/>
        </w:numPr>
        <w:rPr>
          <w:rFonts w:ascii="Arial" w:cs="Arial" w:eastAsia="Arial" w:hAnsi="Arial"/>
          <w:sz w:val="18"/>
          <w:szCs w:val="18"/>
          <w:u w:val="single" w:color="auto"/>
          <w:color w:val="0000EE"/>
        </w:rPr>
      </w:pPr>
      <w:hyperlink w:anchor="page4">
        <w:r>
          <w:rPr>
            <w:rFonts w:ascii="Arial" w:cs="Arial" w:eastAsia="Arial" w:hAnsi="Arial"/>
            <w:sz w:val="18"/>
            <w:szCs w:val="18"/>
            <w:u w:val="single" w:color="auto"/>
            <w:color w:val="0000EE"/>
          </w:rPr>
          <w:t>News release issued by Bassett Furniture Industries, Inc. on August 17, 2021</w:t>
        </w:r>
      </w:hyperlink>
    </w:p>
    <w:p>
      <w:pPr>
        <w:spacing w:after="0" w:line="225" w:lineRule="exact"/>
        <w:rPr>
          <w:rFonts w:ascii="Arial" w:cs="Arial" w:eastAsia="Arial" w:hAnsi="Arial"/>
          <w:sz w:val="18"/>
          <w:szCs w:val="18"/>
          <w:u w:val="single" w:color="auto"/>
          <w:color w:val="0000EE"/>
        </w:rPr>
      </w:pPr>
    </w:p>
    <w:p>
      <w:pPr>
        <w:ind w:left="660" w:hanging="652"/>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374650</wp:posOffset>
            </wp:positionV>
            <wp:extent cx="713232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580" w:right="339" w:bottom="1440" w:gutter="0" w:footer="0" w:header="0"/>
        </w:sectPr>
      </w:pPr>
    </w:p>
    <w:bookmarkStart w:id="2" w:name="page3"/>
    <w:bookmarkEnd w:id="2"/>
    <w:p>
      <w:pPr>
        <w:ind w:left="5240"/>
        <w:spacing w:after="0"/>
        <w:rPr>
          <w:sz w:val="20"/>
          <w:szCs w:val="20"/>
          <w:color w:val="auto"/>
        </w:rPr>
      </w:pPr>
      <w:r>
        <w:rPr>
          <w:rFonts w:ascii="Arial" w:cs="Arial" w:eastAsia="Arial" w:hAnsi="Arial"/>
          <w:sz w:val="18"/>
          <w:szCs w:val="18"/>
          <w:color w:val="auto"/>
        </w:rPr>
        <w:t>Signatures</w:t>
      </w:r>
    </w:p>
    <w:p>
      <w:pPr>
        <w:spacing w:after="0" w:line="225" w:lineRule="exact"/>
        <w:rPr>
          <w:sz w:val="20"/>
          <w:szCs w:val="20"/>
          <w:color w:val="auto"/>
        </w:rPr>
      </w:pPr>
    </w:p>
    <w:p>
      <w:pPr>
        <w:ind w:firstLine="162"/>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70" w:lineRule="exact"/>
        <w:rPr>
          <w:sz w:val="20"/>
          <w:szCs w:val="20"/>
          <w:color w:val="auto"/>
        </w:rPr>
      </w:pPr>
    </w:p>
    <w:p>
      <w:pPr>
        <w:spacing w:after="0"/>
        <w:tabs>
          <w:tab w:leader="none" w:pos="4480" w:val="left"/>
          <w:tab w:leader="none" w:pos="5240" w:val="left"/>
        </w:tabs>
        <w:rPr>
          <w:sz w:val="20"/>
          <w:szCs w:val="20"/>
          <w:color w:val="auto"/>
        </w:rPr>
      </w:pPr>
      <w:r>
        <w:rPr>
          <w:rFonts w:ascii="Arial" w:cs="Arial" w:eastAsia="Arial" w:hAnsi="Arial"/>
          <w:sz w:val="18"/>
          <w:szCs w:val="18"/>
          <w:color w:val="auto"/>
        </w:rPr>
        <w:t>August 17, 2021</w:t>
      </w:r>
      <w:r>
        <w:rPr>
          <w:sz w:val="20"/>
          <w:szCs w:val="20"/>
          <w:color w:val="auto"/>
        </w:rPr>
        <w:tab/>
      </w:r>
      <w:r>
        <w:rPr>
          <w:rFonts w:ascii="Arial" w:cs="Arial" w:eastAsia="Arial" w:hAnsi="Arial"/>
          <w:sz w:val="18"/>
          <w:szCs w:val="18"/>
          <w:color w:val="auto"/>
        </w:rPr>
        <w:t>By:</w:t>
      </w:r>
      <w:r>
        <w:rPr>
          <w:sz w:val="20"/>
          <w:szCs w:val="20"/>
          <w:color w:val="auto"/>
        </w:rPr>
        <w:tab/>
      </w:r>
      <w:r>
        <w:rPr>
          <w:rFonts w:ascii="Arial" w:cs="Arial" w:eastAsia="Arial" w:hAnsi="Arial"/>
          <w:sz w:val="16"/>
          <w:szCs w:val="16"/>
          <w:color w:val="auto"/>
        </w:rPr>
        <w:t>/s/ J. Michael Daniel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2859405</wp:posOffset>
            </wp:positionH>
            <wp:positionV relativeFrom="paragraph">
              <wp:posOffset>14605</wp:posOffset>
            </wp:positionV>
            <wp:extent cx="427736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4277360" cy="8255"/>
                    </a:xfrm>
                    <a:prstGeom prst="rect">
                      <a:avLst/>
                    </a:prstGeom>
                    <a:noFill/>
                  </pic:spPr>
                </pic:pic>
              </a:graphicData>
            </a:graphic>
          </wp:anchor>
        </w:drawing>
      </w:r>
    </w:p>
    <w:p>
      <w:pPr>
        <w:spacing w:after="0" w:line="3"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J. Michael Daniel</w:t>
      </w:r>
    </w:p>
    <w:p>
      <w:pPr>
        <w:spacing w:after="0" w:line="23" w:lineRule="exact"/>
        <w:rPr>
          <w:sz w:val="20"/>
          <w:szCs w:val="20"/>
          <w:color w:val="auto"/>
        </w:rPr>
      </w:pPr>
    </w:p>
    <w:p>
      <w:pPr>
        <w:ind w:left="4500"/>
        <w:spacing w:after="0"/>
        <w:rPr>
          <w:sz w:val="20"/>
          <w:szCs w:val="20"/>
          <w:color w:val="auto"/>
        </w:rPr>
      </w:pPr>
      <w:r>
        <w:rPr>
          <w:rFonts w:ascii="Arial" w:cs="Arial" w:eastAsia="Arial" w:hAnsi="Arial"/>
          <w:sz w:val="18"/>
          <w:szCs w:val="18"/>
          <w:color w:val="auto"/>
        </w:rPr>
        <w:t>Title: Senior Vice President – Chief Financial &amp; Administrative Officer</w:t>
      </w:r>
    </w:p>
    <w:p>
      <w:pPr>
        <w:sectPr>
          <w:pgSz w:w="11900" w:h="16838" w:orient="portrait"/>
          <w:cols w:equalWidth="0" w:num="1">
            <w:col w:w="10440"/>
          </w:cols>
          <w:pgMar w:left="320" w:top="584" w:right="1139" w:bottom="1440" w:gutter="0" w:footer="0" w:header="0"/>
        </w:sectPr>
      </w:pPr>
    </w:p>
    <w:bookmarkStart w:id="3" w:name="page4"/>
    <w:bookmarkEnd w:id="3"/>
    <w:p>
      <w:pPr>
        <w:spacing w:after="0"/>
        <w:rPr>
          <w:sz w:val="20"/>
          <w:szCs w:val="20"/>
          <w:color w:val="auto"/>
        </w:rPr>
      </w:pPr>
      <w:r>
        <w:rPr>
          <w:rFonts w:ascii="Arial" w:cs="Arial" w:eastAsia="Arial" w:hAnsi="Arial"/>
          <w:sz w:val="18"/>
          <w:szCs w:val="18"/>
          <w:color w:val="auto"/>
        </w:rPr>
        <w:t>Exhibit 99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560" w:type="dxa"/>
            <w:vAlign w:val="bottom"/>
          </w:tcPr>
          <w:p>
            <w:pPr>
              <w:spacing w:after="0"/>
              <w:rPr>
                <w:sz w:val="20"/>
                <w:szCs w:val="20"/>
                <w:color w:val="auto"/>
              </w:rPr>
            </w:pPr>
            <w:r>
              <w:rPr>
                <w:rFonts w:ascii="Arial" w:cs="Arial" w:eastAsia="Arial" w:hAnsi="Arial"/>
                <w:sz w:val="18"/>
                <w:szCs w:val="18"/>
                <w:color w:val="auto"/>
              </w:rPr>
              <w:t>Bassett Furniture Industries, Inc.</w:t>
            </w:r>
          </w:p>
        </w:tc>
        <w:tc>
          <w:tcPr>
            <w:tcW w:w="5000" w:type="dxa"/>
            <w:vAlign w:val="bottom"/>
          </w:tcPr>
          <w:p>
            <w:pPr>
              <w:ind w:left="2200"/>
              <w:spacing w:after="0"/>
              <w:rPr>
                <w:sz w:val="20"/>
                <w:szCs w:val="20"/>
                <w:color w:val="auto"/>
              </w:rPr>
            </w:pPr>
            <w:r>
              <w:rPr>
                <w:rFonts w:ascii="Arial" w:cs="Arial" w:eastAsia="Arial" w:hAnsi="Arial"/>
                <w:sz w:val="18"/>
                <w:szCs w:val="18"/>
                <w:b w:val="1"/>
                <w:bCs w:val="1"/>
                <w:color w:val="auto"/>
              </w:rPr>
              <w:t>J. Michael Daniel, Senior Vice</w:t>
            </w:r>
          </w:p>
        </w:tc>
        <w:tc>
          <w:tcPr>
            <w:tcW w:w="0" w:type="dxa"/>
            <w:vAlign w:val="bottom"/>
          </w:tcPr>
          <w:p>
            <w:pPr>
              <w:spacing w:after="0"/>
              <w:rPr>
                <w:sz w:val="1"/>
                <w:szCs w:val="1"/>
                <w:color w:val="auto"/>
              </w:rPr>
            </w:pPr>
          </w:p>
        </w:tc>
      </w:tr>
      <w:tr>
        <w:trPr>
          <w:trHeight w:val="216"/>
        </w:trPr>
        <w:tc>
          <w:tcPr>
            <w:tcW w:w="4560" w:type="dxa"/>
            <w:vAlign w:val="bottom"/>
          </w:tcPr>
          <w:p>
            <w:pPr>
              <w:spacing w:after="0"/>
              <w:rPr>
                <w:sz w:val="20"/>
                <w:szCs w:val="20"/>
                <w:color w:val="auto"/>
              </w:rPr>
            </w:pPr>
            <w:r>
              <w:rPr>
                <w:rFonts w:ascii="Arial" w:cs="Arial" w:eastAsia="Arial" w:hAnsi="Arial"/>
                <w:sz w:val="18"/>
                <w:szCs w:val="18"/>
                <w:color w:val="auto"/>
              </w:rPr>
              <w:t>P.O. Box 626</w:t>
            </w:r>
          </w:p>
        </w:tc>
        <w:tc>
          <w:tcPr>
            <w:tcW w:w="5000" w:type="dxa"/>
            <w:vAlign w:val="bottom"/>
          </w:tcPr>
          <w:p>
            <w:pPr>
              <w:ind w:left="2200"/>
              <w:spacing w:after="0"/>
              <w:rPr>
                <w:sz w:val="20"/>
                <w:szCs w:val="20"/>
                <w:color w:val="auto"/>
              </w:rPr>
            </w:pPr>
            <w:r>
              <w:rPr>
                <w:rFonts w:ascii="Arial" w:cs="Arial" w:eastAsia="Arial" w:hAnsi="Arial"/>
                <w:sz w:val="18"/>
                <w:szCs w:val="18"/>
                <w:b w:val="1"/>
                <w:bCs w:val="1"/>
                <w:color w:val="auto"/>
              </w:rPr>
              <w:t>President and Chief Financial</w:t>
            </w:r>
          </w:p>
        </w:tc>
        <w:tc>
          <w:tcPr>
            <w:tcW w:w="0" w:type="dxa"/>
            <w:vAlign w:val="bottom"/>
          </w:tcPr>
          <w:p>
            <w:pPr>
              <w:spacing w:after="0"/>
              <w:rPr>
                <w:sz w:val="1"/>
                <w:szCs w:val="1"/>
                <w:color w:val="auto"/>
              </w:rPr>
            </w:pPr>
          </w:p>
        </w:tc>
      </w:tr>
      <w:tr>
        <w:trPr>
          <w:trHeight w:val="220"/>
        </w:trPr>
        <w:tc>
          <w:tcPr>
            <w:tcW w:w="4560" w:type="dxa"/>
            <w:vAlign w:val="bottom"/>
          </w:tcPr>
          <w:p>
            <w:pPr>
              <w:spacing w:after="0"/>
              <w:rPr>
                <w:sz w:val="20"/>
                <w:szCs w:val="20"/>
                <w:color w:val="auto"/>
              </w:rPr>
            </w:pPr>
            <w:r>
              <w:rPr>
                <w:rFonts w:ascii="Arial" w:cs="Arial" w:eastAsia="Arial" w:hAnsi="Arial"/>
                <w:sz w:val="18"/>
                <w:szCs w:val="18"/>
                <w:color w:val="auto"/>
              </w:rPr>
              <w:t>Bassett, VA 24055</w:t>
            </w:r>
          </w:p>
        </w:tc>
        <w:tc>
          <w:tcPr>
            <w:tcW w:w="5000" w:type="dxa"/>
            <w:vAlign w:val="bottom"/>
          </w:tcPr>
          <w:p>
            <w:pPr>
              <w:ind w:left="2200"/>
              <w:spacing w:after="0"/>
              <w:rPr>
                <w:sz w:val="20"/>
                <w:szCs w:val="20"/>
                <w:color w:val="auto"/>
              </w:rPr>
            </w:pPr>
            <w:r>
              <w:rPr>
                <w:rFonts w:ascii="Arial" w:cs="Arial" w:eastAsia="Arial" w:hAnsi="Arial"/>
                <w:sz w:val="18"/>
                <w:szCs w:val="18"/>
                <w:b w:val="1"/>
                <w:bCs w:val="1"/>
                <w:color w:val="auto"/>
              </w:rPr>
              <w:t>Officer</w:t>
            </w:r>
          </w:p>
        </w:tc>
        <w:tc>
          <w:tcPr>
            <w:tcW w:w="0" w:type="dxa"/>
            <w:vAlign w:val="bottom"/>
          </w:tcPr>
          <w:p>
            <w:pPr>
              <w:spacing w:after="0"/>
              <w:rPr>
                <w:sz w:val="1"/>
                <w:szCs w:val="1"/>
                <w:color w:val="auto"/>
              </w:rPr>
            </w:pPr>
          </w:p>
        </w:tc>
      </w:tr>
      <w:tr>
        <w:trPr>
          <w:trHeight w:val="230"/>
        </w:trPr>
        <w:tc>
          <w:tcPr>
            <w:tcW w:w="4560" w:type="dxa"/>
            <w:vAlign w:val="bottom"/>
          </w:tcPr>
          <w:p>
            <w:pPr>
              <w:spacing w:after="0"/>
              <w:rPr>
                <w:sz w:val="20"/>
                <w:szCs w:val="20"/>
                <w:color w:val="auto"/>
              </w:rPr>
            </w:pPr>
          </w:p>
        </w:tc>
        <w:tc>
          <w:tcPr>
            <w:tcW w:w="5000" w:type="dxa"/>
            <w:vAlign w:val="bottom"/>
          </w:tcPr>
          <w:p>
            <w:pPr>
              <w:ind w:left="2200"/>
              <w:spacing w:after="0"/>
              <w:rPr>
                <w:sz w:val="20"/>
                <w:szCs w:val="20"/>
                <w:color w:val="auto"/>
              </w:rPr>
            </w:pPr>
            <w:r>
              <w:rPr>
                <w:rFonts w:ascii="Arial" w:cs="Arial" w:eastAsia="Arial" w:hAnsi="Arial"/>
                <w:sz w:val="18"/>
                <w:szCs w:val="18"/>
                <w:color w:val="auto"/>
              </w:rPr>
              <w:t>(276) 629-6614 - Investors</w:t>
            </w:r>
          </w:p>
        </w:tc>
        <w:tc>
          <w:tcPr>
            <w:tcW w:w="0" w:type="dxa"/>
            <w:vAlign w:val="bottom"/>
          </w:tcPr>
          <w:p>
            <w:pPr>
              <w:spacing w:after="0"/>
              <w:rPr>
                <w:sz w:val="1"/>
                <w:szCs w:val="1"/>
                <w:color w:val="auto"/>
              </w:rPr>
            </w:pPr>
          </w:p>
        </w:tc>
      </w:tr>
      <w:tr>
        <w:trPr>
          <w:trHeight w:val="414"/>
        </w:trPr>
        <w:tc>
          <w:tcPr>
            <w:tcW w:w="4560" w:type="dxa"/>
            <w:vAlign w:val="bottom"/>
          </w:tcPr>
          <w:p>
            <w:pPr>
              <w:spacing w:after="0"/>
              <w:rPr>
                <w:sz w:val="24"/>
                <w:szCs w:val="24"/>
                <w:color w:val="auto"/>
              </w:rPr>
            </w:pPr>
          </w:p>
        </w:tc>
        <w:tc>
          <w:tcPr>
            <w:tcW w:w="5000" w:type="dxa"/>
            <w:vAlign w:val="bottom"/>
          </w:tcPr>
          <w:p>
            <w:pPr>
              <w:ind w:left="2200"/>
              <w:spacing w:after="0"/>
              <w:rPr>
                <w:sz w:val="20"/>
                <w:szCs w:val="20"/>
                <w:color w:val="auto"/>
              </w:rPr>
            </w:pPr>
            <w:r>
              <w:rPr>
                <w:rFonts w:ascii="Arial" w:cs="Arial" w:eastAsia="Arial" w:hAnsi="Arial"/>
                <w:sz w:val="18"/>
                <w:szCs w:val="18"/>
                <w:b w:val="1"/>
                <w:bCs w:val="1"/>
                <w:color w:val="auto"/>
                <w:w w:val="90"/>
              </w:rPr>
              <w:t>Peter D. Morrison, Vice President of</w:t>
            </w:r>
          </w:p>
        </w:tc>
        <w:tc>
          <w:tcPr>
            <w:tcW w:w="0" w:type="dxa"/>
            <w:vAlign w:val="bottom"/>
          </w:tcPr>
          <w:p>
            <w:pPr>
              <w:spacing w:after="0"/>
              <w:rPr>
                <w:sz w:val="1"/>
                <w:szCs w:val="1"/>
                <w:color w:val="auto"/>
              </w:rPr>
            </w:pPr>
          </w:p>
        </w:tc>
      </w:tr>
      <w:tr>
        <w:trPr>
          <w:trHeight w:val="220"/>
        </w:trPr>
        <w:tc>
          <w:tcPr>
            <w:tcW w:w="4560" w:type="dxa"/>
            <w:vAlign w:val="bottom"/>
          </w:tcPr>
          <w:p>
            <w:pPr>
              <w:spacing w:after="0"/>
              <w:rPr>
                <w:sz w:val="19"/>
                <w:szCs w:val="19"/>
                <w:color w:val="auto"/>
              </w:rPr>
            </w:pPr>
          </w:p>
        </w:tc>
        <w:tc>
          <w:tcPr>
            <w:tcW w:w="5000" w:type="dxa"/>
            <w:vAlign w:val="bottom"/>
          </w:tcPr>
          <w:p>
            <w:pPr>
              <w:ind w:left="2200"/>
              <w:spacing w:after="0"/>
              <w:rPr>
                <w:sz w:val="20"/>
                <w:szCs w:val="20"/>
                <w:color w:val="auto"/>
              </w:rPr>
            </w:pPr>
            <w:r>
              <w:rPr>
                <w:rFonts w:ascii="Arial" w:cs="Arial" w:eastAsia="Arial" w:hAnsi="Arial"/>
                <w:sz w:val="18"/>
                <w:szCs w:val="18"/>
                <w:b w:val="1"/>
                <w:bCs w:val="1"/>
                <w:color w:val="auto"/>
              </w:rPr>
              <w:t>Communications</w:t>
            </w:r>
          </w:p>
        </w:tc>
        <w:tc>
          <w:tcPr>
            <w:tcW w:w="0" w:type="dxa"/>
            <w:vAlign w:val="bottom"/>
          </w:tcPr>
          <w:p>
            <w:pPr>
              <w:spacing w:after="0"/>
              <w:rPr>
                <w:sz w:val="1"/>
                <w:szCs w:val="1"/>
                <w:color w:val="auto"/>
              </w:rPr>
            </w:pPr>
          </w:p>
        </w:tc>
      </w:tr>
      <w:tr>
        <w:trPr>
          <w:trHeight w:val="230"/>
        </w:trPr>
        <w:tc>
          <w:tcPr>
            <w:tcW w:w="4560" w:type="dxa"/>
            <w:vAlign w:val="bottom"/>
            <w:vMerge w:val="restart"/>
          </w:tcPr>
          <w:p>
            <w:pPr>
              <w:spacing w:after="0"/>
              <w:rPr>
                <w:sz w:val="20"/>
                <w:szCs w:val="20"/>
                <w:color w:val="auto"/>
              </w:rPr>
            </w:pPr>
            <w:r>
              <w:rPr>
                <w:rFonts w:ascii="Arial" w:cs="Arial" w:eastAsia="Arial" w:hAnsi="Arial"/>
                <w:sz w:val="18"/>
                <w:szCs w:val="18"/>
                <w:color w:val="auto"/>
              </w:rPr>
              <w:t>For Immediate Release</w:t>
            </w:r>
          </w:p>
        </w:tc>
        <w:tc>
          <w:tcPr>
            <w:tcW w:w="5000" w:type="dxa"/>
            <w:vAlign w:val="bottom"/>
          </w:tcPr>
          <w:p>
            <w:pPr>
              <w:ind w:left="2200"/>
              <w:spacing w:after="0"/>
              <w:rPr>
                <w:sz w:val="20"/>
                <w:szCs w:val="20"/>
                <w:color w:val="auto"/>
              </w:rPr>
            </w:pPr>
            <w:r>
              <w:rPr>
                <w:rFonts w:ascii="Arial" w:cs="Arial" w:eastAsia="Arial" w:hAnsi="Arial"/>
                <w:sz w:val="18"/>
                <w:szCs w:val="18"/>
                <w:color w:val="auto"/>
              </w:rPr>
              <w:t>(276) 629-6387 – Media</w:t>
            </w:r>
          </w:p>
        </w:tc>
        <w:tc>
          <w:tcPr>
            <w:tcW w:w="0" w:type="dxa"/>
            <w:vAlign w:val="bottom"/>
          </w:tcPr>
          <w:p>
            <w:pPr>
              <w:spacing w:after="0"/>
              <w:rPr>
                <w:sz w:val="1"/>
                <w:szCs w:val="1"/>
                <w:color w:val="auto"/>
              </w:rPr>
            </w:pPr>
          </w:p>
        </w:tc>
      </w:tr>
      <w:tr>
        <w:trPr>
          <w:trHeight w:val="216"/>
        </w:trPr>
        <w:tc>
          <w:tcPr>
            <w:tcW w:w="4560" w:type="dxa"/>
            <w:vAlign w:val="bottom"/>
            <w:vMerge w:val="continue"/>
          </w:tcPr>
          <w:p>
            <w:pPr>
              <w:spacing w:after="0"/>
              <w:rPr>
                <w:sz w:val="18"/>
                <w:szCs w:val="18"/>
                <w:color w:val="auto"/>
              </w:rPr>
            </w:pPr>
          </w:p>
        </w:tc>
        <w:tc>
          <w:tcPr>
            <w:tcW w:w="5000" w:type="dxa"/>
            <w:vAlign w:val="bottom"/>
          </w:tcPr>
          <w:p>
            <w:pPr>
              <w:spacing w:after="0"/>
              <w:rPr>
                <w:sz w:val="18"/>
                <w:szCs w:val="18"/>
                <w:color w:val="auto"/>
              </w:rPr>
            </w:pPr>
          </w:p>
        </w:tc>
        <w:tc>
          <w:tcPr>
            <w:tcW w:w="0" w:type="dxa"/>
            <w:vAlign w:val="bottom"/>
          </w:tcPr>
          <w:p>
            <w:pPr>
              <w:spacing w:after="0"/>
              <w:rPr>
                <w:sz w:val="1"/>
                <w:szCs w:val="1"/>
                <w:color w:val="auto"/>
              </w:rPr>
            </w:pPr>
          </w:p>
        </w:tc>
      </w:tr>
    </w:tbl>
    <w:p>
      <w:pPr>
        <w:spacing w:after="0" w:line="391" w:lineRule="exact"/>
        <w:rPr>
          <w:sz w:val="20"/>
          <w:szCs w:val="20"/>
          <w:color w:val="auto"/>
        </w:rPr>
      </w:pPr>
    </w:p>
    <w:p>
      <w:pPr>
        <w:spacing w:after="0"/>
        <w:rPr>
          <w:sz w:val="20"/>
          <w:szCs w:val="20"/>
          <w:color w:val="auto"/>
        </w:rPr>
      </w:pPr>
      <w:r>
        <w:rPr>
          <w:rFonts w:ascii="Arial" w:cs="Arial" w:eastAsia="Arial" w:hAnsi="Arial"/>
          <w:sz w:val="32"/>
          <w:szCs w:val="32"/>
          <w:b w:val="1"/>
          <w:bCs w:val="1"/>
          <w:color w:val="auto"/>
        </w:rPr>
        <w:t>Bassett Furniture News Release</w:t>
      </w:r>
    </w:p>
    <w:p>
      <w:pPr>
        <w:spacing w:after="0" w:line="221" w:lineRule="exact"/>
        <w:rPr>
          <w:sz w:val="20"/>
          <w:szCs w:val="20"/>
          <w:color w:val="auto"/>
        </w:rPr>
      </w:pPr>
    </w:p>
    <w:p>
      <w:pPr>
        <w:ind w:right="420"/>
        <w:spacing w:after="0" w:line="283" w:lineRule="auto"/>
        <w:rPr>
          <w:sz w:val="20"/>
          <w:szCs w:val="20"/>
          <w:color w:val="auto"/>
        </w:rPr>
      </w:pPr>
      <w:r>
        <w:rPr>
          <w:rFonts w:ascii="Arial" w:cs="Arial" w:eastAsia="Arial" w:hAnsi="Arial"/>
          <w:sz w:val="31"/>
          <w:szCs w:val="31"/>
          <w:color w:val="auto"/>
        </w:rPr>
        <w:t>Bassett Announces Participation in the Sidoti Microcap Conference on Wednesday, August 18, 2021 and Discusses July 2021 Orders and Shipments</w:t>
      </w:r>
    </w:p>
    <w:p>
      <w:pPr>
        <w:spacing w:after="0" w:line="123" w:lineRule="exact"/>
        <w:rPr>
          <w:sz w:val="20"/>
          <w:szCs w:val="20"/>
          <w:color w:val="auto"/>
        </w:rPr>
      </w:pPr>
    </w:p>
    <w:p>
      <w:pPr>
        <w:jc w:val="both"/>
        <w:spacing w:after="0" w:line="300" w:lineRule="auto"/>
        <w:rPr>
          <w:sz w:val="20"/>
          <w:szCs w:val="20"/>
          <w:color w:val="auto"/>
        </w:rPr>
      </w:pPr>
      <w:r>
        <w:rPr>
          <w:rFonts w:ascii="Arial" w:cs="Arial" w:eastAsia="Arial" w:hAnsi="Arial"/>
          <w:sz w:val="17"/>
          <w:szCs w:val="17"/>
          <w:color w:val="auto"/>
        </w:rPr>
        <w:t>(Bassett, Va.) – August 17, 2021– Bassett Furniture Industries, Inc. (Nasdaq: BSET) announced today that it will participate in the Sidoti Microcap Conference taking place virtually on Wednesday, August 18</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with a presentation scheduled for 1:00 pm and one-on-one meetings for the entire day.</w:t>
      </w:r>
    </w:p>
    <w:p>
      <w:pPr>
        <w:spacing w:after="0" w:line="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Bassett Furniture Industries, Inc. also announced that wholesale orders for the fiscal month of July 2021 increased by 2% over July 2020 and 29% over July 2019 and that wholesale shipments increased 11% over July 2020 and declined 1% as compared to July 2019.</w:t>
      </w:r>
    </w:p>
    <w:p>
      <w:pPr>
        <w:spacing w:after="0" w:line="170" w:lineRule="exact"/>
        <w:rPr>
          <w:sz w:val="20"/>
          <w:szCs w:val="20"/>
          <w:color w:val="auto"/>
        </w:rPr>
      </w:pPr>
    </w:p>
    <w:p>
      <w:pPr>
        <w:jc w:val="both"/>
        <w:spacing w:after="0" w:line="268" w:lineRule="auto"/>
        <w:rPr>
          <w:sz w:val="20"/>
          <w:szCs w:val="20"/>
          <w:color w:val="auto"/>
        </w:rPr>
      </w:pPr>
      <w:r>
        <w:rPr>
          <w:rFonts w:ascii="Arial" w:cs="Arial" w:eastAsia="Arial" w:hAnsi="Arial"/>
          <w:sz w:val="17"/>
          <w:szCs w:val="17"/>
          <w:color w:val="auto"/>
        </w:rPr>
        <w:t>“We are pleased that the pace of business remains strong as evidenced by our increase in orders for July as compared to 2020 and 2019,” commented Rob Spilman, Chairman and CEO. “As I discussed in the Q2 earnings release issued on July 1, 2021, the strong business conditions seen over the past 14 months have overwhelmed our industry’s trucking segment resulting in shipping delays of manufactured and imported goods. Exacerbating this is our difficulty in hiring and retaining warehouse workers, which is also causing increased labor costs that are cutting into Zenith’s operating margins. All of this culminated with our plants recently running at reduced capacity to provide Zenith some breathing room to reduce shipping gridlock. Coupling this with other supply chain issues such as the availability of certain fabrics, our shipments continue to lag behind the pace of incoming orders. Consequently, our wholesale backlog has increased 9.8% since the end of the second quarter. We have also continued to receive additional cost increases from several of our vendors which will negatively impact our wholesale margins for the third quarter and will likely result in our fourth price increase for our customers during the current fiscal year. Further complicating our operations is the recent resurgence of COVID-19 in Asia, primarily in Vietnam where we source a significant amount of our bedroom and formal dining room furniture and certain component parts for our manufacturing operations. Our Vietnamese partners were recently forced to cease operations and are currently not expecting to commence manufacturing again until mid-September. With all of that said, our cancellation rate has not risen significantly. We are working diligently to increase our shipping rates so that we can unlock the profit that is hidden in our massive backlog.”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350520</wp:posOffset>
            </wp:positionV>
            <wp:extent cx="7132320" cy="171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ectPr>
          <w:pgSz w:w="11900" w:h="16838" w:orient="portrait"/>
          <w:cols w:equalWidth="0" w:num="1">
            <w:col w:w="11240"/>
          </w:cols>
          <w:pgMar w:left="320" w:top="125" w:right="339" w:bottom="1440" w:gutter="0" w:footer="0" w:header="0"/>
        </w:sectPr>
      </w:pPr>
    </w:p>
    <w:bookmarkStart w:id="4" w:name="page5"/>
    <w:bookmarkEnd w:id="4"/>
    <w:p>
      <w:pPr>
        <w:spacing w:after="0"/>
        <w:rPr>
          <w:sz w:val="20"/>
          <w:szCs w:val="20"/>
          <w:color w:val="auto"/>
        </w:rPr>
      </w:pPr>
      <w:r>
        <w:rPr>
          <w:rFonts w:ascii="Arial" w:cs="Arial" w:eastAsia="Arial" w:hAnsi="Arial"/>
          <w:sz w:val="18"/>
          <w:szCs w:val="18"/>
          <w:u w:val="single" w:color="auto"/>
          <w:color w:val="auto"/>
        </w:rPr>
        <w:t>About Bassett Furniture Industries, Inc.</w:t>
      </w:r>
    </w:p>
    <w:p>
      <w:pPr>
        <w:spacing w:after="0" w:line="23"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Bassett Furniture Industries, Inc. (NASDAQ:BSET), is a leading manufacturer and marketer of high quality home furnishings. With 97 company- and licensee-owned stores at the time of this release, Bassett has leveraged its strong brand name in furniture into a network of corporate and licensed stores that focus on providing consumers with a friendly environment for buying furniture and accessories. Bassett’s retail strategy includes stylish, custom-built furniture that features the latest on-trend furniture styles, free in-home design visits, and coordinated decorating accessories. Bassett also has a traditional wholesale business with more than 700 accounts on the open market, across the United States and internationally and a logistics business specializing in home furnishings. For more information, visit the Company’s website at bassettfurniture.com. (BSET-E)</w:t>
      </w:r>
    </w:p>
    <w:p>
      <w:pPr>
        <w:spacing w:after="0" w:line="1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w:t>
      </w:r>
    </w:p>
    <w:sectPr>
      <w:pgSz w:w="11900" w:h="16838" w:orient="portrait"/>
      <w:cols w:equalWidth="0" w:num="1">
        <w:col w:w="11240"/>
      </w:cols>
      <w:pgMar w:left="320" w:top="584"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6334873"/>
    <w:multiLevelType w:val="hybridMultilevel"/>
    <w:lvl w:ilvl="0">
      <w:lvlJc w:val="left"/>
      <w:lvlText w:val="☐"/>
      <w:numFmt w:val="bullet"/>
      <w:start w:val="1"/>
    </w:lvl>
  </w:abstractNum>
  <w:abstractNum w:abstractNumId="1">
    <w:nsid w:val="74B0DC51"/>
    <w:multiLevelType w:val="hybridMultilevel"/>
    <w:lvl w:ilvl="0">
      <w:lvlJc w:val="left"/>
      <w:lvlText w:val="%1"/>
      <w:numFmt w:val="decimal"/>
      <w:start w:val="99"/>
    </w:lvl>
  </w:abstractNum>
  <w:abstractNum w:abstractNumId="2">
    <w:nsid w:val="19495CFF"/>
    <w:multiLevelType w:val="hybridMultilevel"/>
    <w:lvl w:ilvl="0">
      <w:lvlJc w:val="left"/>
      <w:lvlText w:val="%1"/>
      <w:numFmt w:val="decimal"/>
      <w:start w:val="104"/>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2021-08-17T13:53:49Z</dcterms:created>
  <dcterms:modified xsi:type="dcterms:W3CDTF">2021-08-17T13:53:49Z</dcterms:modified>
</cp:coreProperties>
</file>