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478790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21" w:lineRule="exact"/>
        <w:rPr>
          <w:sz w:val="24"/>
          <w:szCs w:val="24"/>
          <w:color w:val="auto"/>
        </w:rPr>
      </w:pPr>
    </w:p>
    <w:p>
      <w:pPr>
        <w:ind w:left="4220" w:right="2000" w:hanging="4213"/>
        <w:spacing w:after="0" w:line="497" w:lineRule="auto"/>
        <w:tabs>
          <w:tab w:leader="none" w:pos="56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November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16"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4" w:lineRule="exact"/>
        <w:rPr>
          <w:sz w:val="24"/>
          <w:szCs w:val="24"/>
          <w:color w:val="auto"/>
        </w:rPr>
      </w:pPr>
    </w:p>
    <w:p>
      <w:pPr>
        <w:ind w:left="560"/>
        <w:spacing w:after="0"/>
        <w:tabs>
          <w:tab w:leader="none" w:pos="328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1724660</wp:posOffset>
            </wp:positionH>
            <wp:positionV relativeFrom="paragraph">
              <wp:posOffset>-8890</wp:posOffset>
            </wp:positionV>
            <wp:extent cx="821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000-00209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187960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8"/>
              </w:rPr>
              <w:t>VIRGINIA</w:t>
            </w:r>
          </w:p>
        </w:tc>
        <w:tc>
          <w:tcPr>
            <w:tcW w:w="2860" w:type="dxa"/>
            <w:vAlign w:val="bottom"/>
          </w:tcPr>
          <w:p>
            <w:pPr>
              <w:spacing w:after="0"/>
              <w:rPr>
                <w:sz w:val="18"/>
                <w:szCs w:val="18"/>
                <w:color w:val="auto"/>
              </w:rPr>
            </w:pPr>
          </w:p>
        </w:tc>
        <w:tc>
          <w:tcPr>
            <w:tcW w:w="160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54-0135270</w:t>
            </w:r>
          </w:p>
        </w:tc>
        <w:tc>
          <w:tcPr>
            <w:tcW w:w="2080" w:type="dxa"/>
            <w:vAlign w:val="bottom"/>
          </w:tcPr>
          <w:p>
            <w:pPr>
              <w:spacing w:after="0"/>
              <w:rPr>
                <w:sz w:val="18"/>
                <w:szCs w:val="18"/>
                <w:color w:val="auto"/>
              </w:rPr>
            </w:pPr>
          </w:p>
        </w:tc>
      </w:tr>
      <w:tr>
        <w:trPr>
          <w:trHeight w:val="213"/>
        </w:trPr>
        <w:tc>
          <w:tcPr>
            <w:tcW w:w="4700" w:type="dxa"/>
            <w:vAlign w:val="bottom"/>
            <w:gridSpan w:val="3"/>
          </w:tcPr>
          <w:p>
            <w:pPr>
              <w:jc w:val="center"/>
              <w:ind w:left="831"/>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2860" w:type="dxa"/>
            <w:vAlign w:val="bottom"/>
          </w:tcPr>
          <w:p>
            <w:pPr>
              <w:spacing w:after="0"/>
              <w:rPr>
                <w:sz w:val="18"/>
                <w:szCs w:val="18"/>
                <w:color w:val="auto"/>
              </w:rPr>
            </w:pPr>
          </w:p>
        </w:tc>
        <w:tc>
          <w:tcPr>
            <w:tcW w:w="16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(I.R.S. Employer</w:t>
            </w:r>
          </w:p>
        </w:tc>
        <w:tc>
          <w:tcPr>
            <w:tcW w:w="2080" w:type="dxa"/>
            <w:vAlign w:val="bottom"/>
          </w:tcPr>
          <w:p>
            <w:pPr>
              <w:spacing w:after="0"/>
              <w:rPr>
                <w:sz w:val="18"/>
                <w:szCs w:val="18"/>
                <w:color w:val="auto"/>
              </w:rPr>
            </w:pPr>
          </w:p>
        </w:tc>
      </w:tr>
      <w:tr>
        <w:trPr>
          <w:trHeight w:val="232"/>
        </w:trPr>
        <w:tc>
          <w:tcPr>
            <w:tcW w:w="4700" w:type="dxa"/>
            <w:vAlign w:val="bottom"/>
            <w:gridSpan w:val="3"/>
          </w:tcPr>
          <w:p>
            <w:pPr>
              <w:jc w:val="center"/>
              <w:ind w:left="83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2860" w:type="dxa"/>
            <w:vAlign w:val="bottom"/>
          </w:tcPr>
          <w:p>
            <w:pPr>
              <w:spacing w:after="0"/>
              <w:rPr>
                <w:sz w:val="20"/>
                <w:szCs w:val="20"/>
                <w:color w:val="auto"/>
              </w:rPr>
            </w:pPr>
          </w:p>
        </w:tc>
        <w:tc>
          <w:tcPr>
            <w:tcW w:w="16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Identification No.)</w:t>
            </w:r>
          </w:p>
        </w:tc>
        <w:tc>
          <w:tcPr>
            <w:tcW w:w="2080" w:type="dxa"/>
            <w:vAlign w:val="bottom"/>
          </w:tcPr>
          <w:p>
            <w:pPr>
              <w:spacing w:after="0"/>
              <w:rPr>
                <w:sz w:val="20"/>
                <w:szCs w:val="20"/>
                <w:color w:val="auto"/>
              </w:rPr>
            </w:pPr>
          </w:p>
        </w:tc>
      </w:tr>
      <w:tr>
        <w:trPr>
          <w:trHeight w:val="404"/>
        </w:trPr>
        <w:tc>
          <w:tcPr>
            <w:tcW w:w="4700" w:type="dxa"/>
            <w:vAlign w:val="bottom"/>
            <w:gridSpan w:val="3"/>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6"/>
              </w:rPr>
              <w:t>3525 FAIRYSTONE PARK HIGHWAY</w:t>
            </w: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7"/>
        </w:trPr>
        <w:tc>
          <w:tcPr>
            <w:tcW w:w="4700" w:type="dxa"/>
            <w:vAlign w:val="bottom"/>
            <w:gridSpan w:val="3"/>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8"/>
              </w:rPr>
              <w:t>BASSETT, VIRGINIA</w:t>
            </w:r>
          </w:p>
        </w:tc>
        <w:tc>
          <w:tcPr>
            <w:tcW w:w="2860" w:type="dxa"/>
            <w:vAlign w:val="bottom"/>
          </w:tcPr>
          <w:p>
            <w:pPr>
              <w:spacing w:after="0"/>
              <w:rPr>
                <w:sz w:val="18"/>
                <w:szCs w:val="18"/>
                <w:color w:val="auto"/>
              </w:rPr>
            </w:pPr>
          </w:p>
        </w:tc>
        <w:tc>
          <w:tcPr>
            <w:tcW w:w="16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24055</w:t>
            </w:r>
          </w:p>
        </w:tc>
        <w:tc>
          <w:tcPr>
            <w:tcW w:w="2080" w:type="dxa"/>
            <w:vAlign w:val="bottom"/>
          </w:tcPr>
          <w:p>
            <w:pPr>
              <w:spacing w:after="0"/>
              <w:rPr>
                <w:sz w:val="18"/>
                <w:szCs w:val="18"/>
                <w:color w:val="auto"/>
              </w:rPr>
            </w:pPr>
          </w:p>
        </w:tc>
      </w:tr>
      <w:tr>
        <w:trPr>
          <w:trHeight w:val="232"/>
        </w:trPr>
        <w:tc>
          <w:tcPr>
            <w:tcW w:w="4700" w:type="dxa"/>
            <w:vAlign w:val="bottom"/>
            <w:gridSpan w:val="3"/>
          </w:tcPr>
          <w:p>
            <w:pPr>
              <w:jc w:val="center"/>
              <w:ind w:left="83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2860" w:type="dxa"/>
            <w:vAlign w:val="bottom"/>
          </w:tcPr>
          <w:p>
            <w:pPr>
              <w:spacing w:after="0"/>
              <w:rPr>
                <w:sz w:val="20"/>
                <w:szCs w:val="20"/>
                <w:color w:val="auto"/>
              </w:rPr>
            </w:pPr>
          </w:p>
        </w:tc>
        <w:tc>
          <w:tcPr>
            <w:tcW w:w="16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(Zip Code)</w:t>
            </w:r>
          </w:p>
        </w:tc>
        <w:tc>
          <w:tcPr>
            <w:tcW w:w="2080" w:type="dxa"/>
            <w:vAlign w:val="bottom"/>
          </w:tcPr>
          <w:p>
            <w:pPr>
              <w:spacing w:after="0"/>
              <w:rPr>
                <w:sz w:val="20"/>
                <w:szCs w:val="20"/>
                <w:color w:val="auto"/>
              </w:rPr>
            </w:pPr>
          </w:p>
        </w:tc>
      </w:tr>
      <w:tr>
        <w:trPr>
          <w:trHeight w:val="427"/>
        </w:trPr>
        <w:tc>
          <w:tcPr>
            <w:tcW w:w="9160" w:type="dxa"/>
            <w:vAlign w:val="bottom"/>
            <w:gridSpan w:val="5"/>
          </w:tcPr>
          <w:p>
            <w:pPr>
              <w:jc w:val="center"/>
              <w:ind w:left="2011"/>
              <w:spacing w:after="0"/>
              <w:rPr>
                <w:sz w:val="20"/>
                <w:szCs w:val="20"/>
                <w:color w:val="auto"/>
              </w:rPr>
            </w:pPr>
            <w:r>
              <w:rPr>
                <w:rFonts w:ascii="Times New Roman" w:cs="Times New Roman" w:eastAsia="Times New Roman" w:hAnsi="Times New Roman"/>
                <w:sz w:val="18"/>
                <w:szCs w:val="18"/>
                <w:b w:val="1"/>
                <w:bCs w:val="1"/>
                <w:color w:val="auto"/>
                <w:w w:val="98"/>
              </w:rPr>
              <w:t>Registrant</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s telephone number, including area code 276/629-6000</w:t>
            </w:r>
          </w:p>
        </w:tc>
        <w:tc>
          <w:tcPr>
            <w:tcW w:w="2080" w:type="dxa"/>
            <w:vAlign w:val="bottom"/>
          </w:tcPr>
          <w:p>
            <w:pPr>
              <w:spacing w:after="0"/>
              <w:rPr>
                <w:sz w:val="24"/>
                <w:szCs w:val="24"/>
                <w:color w:val="auto"/>
              </w:rPr>
            </w:pPr>
          </w:p>
        </w:tc>
      </w:tr>
      <w:tr>
        <w:trPr>
          <w:trHeight w:val="427"/>
        </w:trPr>
        <w:tc>
          <w:tcPr>
            <w:tcW w:w="9160" w:type="dxa"/>
            <w:vAlign w:val="bottom"/>
            <w:gridSpan w:val="5"/>
          </w:tcPr>
          <w:p>
            <w:pPr>
              <w:jc w:val="center"/>
              <w:ind w:left="1991"/>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c>
          <w:tcPr>
            <w:tcW w:w="2080" w:type="dxa"/>
            <w:vAlign w:val="bottom"/>
          </w:tcPr>
          <w:p>
            <w:pPr>
              <w:spacing w:after="0"/>
              <w:rPr>
                <w:sz w:val="24"/>
                <w:szCs w:val="24"/>
                <w:color w:val="auto"/>
              </w:rPr>
            </w:pPr>
          </w:p>
        </w:tc>
      </w:tr>
      <w:tr>
        <w:trPr>
          <w:trHeight w:val="426"/>
        </w:trPr>
        <w:tc>
          <w:tcPr>
            <w:tcW w:w="47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68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30"/>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 ($5.00 par value)</w:t>
            </w:r>
          </w:p>
        </w:tc>
        <w:tc>
          <w:tcPr>
            <w:tcW w:w="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jc w:val="center"/>
              <w:ind w:right="911"/>
              <w:spacing w:after="0"/>
              <w:rPr>
                <w:sz w:val="20"/>
                <w:szCs w:val="20"/>
                <w:color w:val="auto"/>
              </w:rPr>
            </w:pPr>
            <w:r>
              <w:rPr>
                <w:rFonts w:ascii="Times New Roman" w:cs="Times New Roman" w:eastAsia="Times New Roman" w:hAnsi="Times New Roman"/>
                <w:sz w:val="18"/>
                <w:szCs w:val="18"/>
                <w:b w:val="1"/>
                <w:bCs w:val="1"/>
                <w:color w:val="auto"/>
                <w:w w:val="99"/>
              </w:rPr>
              <w:t>BSET</w:t>
            </w:r>
          </w:p>
        </w:tc>
        <w:tc>
          <w:tcPr>
            <w:tcW w:w="3680" w:type="dxa"/>
            <w:vAlign w:val="bottom"/>
            <w:tcBorders>
              <w:top w:val="single" w:sz="8" w:color="auto"/>
            </w:tcBorders>
            <w:gridSpan w:val="2"/>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7"/>
              </w:rPr>
              <w:t>NASDAQ</w:t>
            </w:r>
          </w:p>
        </w:tc>
      </w:tr>
      <w:tr>
        <w:trPr>
          <w:trHeight w:val="405"/>
        </w:trPr>
        <w:tc>
          <w:tcPr>
            <w:tcW w:w="7560" w:type="dxa"/>
            <w:vAlign w:val="bottom"/>
            <w:gridSpan w:val="4"/>
          </w:tcPr>
          <w:p>
            <w:pPr>
              <w:ind w:left="30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2080" w:type="dxa"/>
            <w:vAlign w:val="bottom"/>
          </w:tcPr>
          <w:p>
            <w:pPr>
              <w:spacing w:after="0"/>
              <w:rPr>
                <w:sz w:val="24"/>
                <w:szCs w:val="24"/>
                <w:color w:val="auto"/>
              </w:rPr>
            </w:pPr>
          </w:p>
        </w:tc>
      </w:tr>
      <w:tr>
        <w:trPr>
          <w:trHeight w:val="455"/>
        </w:trPr>
        <w:tc>
          <w:tcPr>
            <w:tcW w:w="916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20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r>
        <w:trPr>
          <w:trHeight w:val="427"/>
        </w:trPr>
        <w:tc>
          <w:tcPr>
            <w:tcW w:w="916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Yes</w:t>
            </w:r>
          </w:p>
        </w:tc>
        <w:tc>
          <w:tcPr>
            <w:tcW w:w="2080" w:type="dxa"/>
            <w:vAlign w:val="bottom"/>
          </w:tcPr>
          <w:p>
            <w:pPr>
              <w:jc w:val="center"/>
              <w:ind w:right="1371"/>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bl>
    <w:p>
      <w:pPr>
        <w:spacing w:after="0" w:line="166" w:lineRule="exact"/>
        <w:rPr>
          <w:sz w:val="24"/>
          <w:szCs w:val="24"/>
          <w:color w:val="auto"/>
        </w:rPr>
      </w:pPr>
    </w:p>
    <w:p>
      <w:pPr>
        <w:ind w:right="420"/>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at least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8" w:lineRule="exact"/>
        <w:rPr>
          <w:sz w:val="24"/>
          <w:szCs w:val="24"/>
          <w:color w:val="auto"/>
        </w:rPr>
      </w:pPr>
    </w:p>
    <w:p>
      <w:pPr>
        <w:ind w:right="480"/>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8"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560" w:type="dxa"/>
        <w:tblCellMar>
          <w:top w:w="0" w:type="dxa"/>
          <w:left w:w="0" w:type="dxa"/>
          <w:bottom w:w="0" w:type="dxa"/>
          <w:right w:w="0" w:type="dxa"/>
        </w:tblCellMar>
      </w:tblPr>
      <w:tr>
        <w:trPr>
          <w:trHeight w:val="2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34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w:t>
            </w:r>
          </w:p>
        </w:tc>
        <w:tc>
          <w:tcPr>
            <w:tcW w:w="176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4"/>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Filer</w:t>
            </w:r>
          </w:p>
        </w:tc>
        <w:tc>
          <w:tcPr>
            <w:tcW w:w="1760" w:type="dxa"/>
            <w:vAlign w:val="bottom"/>
            <w:vMerge w:val="continue"/>
          </w:tcPr>
          <w:p>
            <w:pPr>
              <w:spacing w:after="0"/>
              <w:rPr>
                <w:sz w:val="13"/>
                <w:szCs w:val="13"/>
                <w:color w:val="auto"/>
              </w:rPr>
            </w:pPr>
          </w:p>
        </w:tc>
        <w:tc>
          <w:tcPr>
            <w:tcW w:w="34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12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3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5"/>
        </w:trPr>
        <w:tc>
          <w:tcPr>
            <w:tcW w:w="2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10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8" w:lineRule="exact"/>
        <w:rPr>
          <w:sz w:val="24"/>
          <w:szCs w:val="24"/>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4"/>
          <w:szCs w:val="24"/>
          <w:color w:val="auto"/>
        </w:rPr>
      </w:pPr>
    </w:p>
    <w:p>
      <w:pPr>
        <w:spacing w:after="0" w:line="207" w:lineRule="exact"/>
        <w:tabs>
          <w:tab w:leader="none" w:pos="8500" w:val="left"/>
        </w:tabs>
        <w:rPr>
          <w:sz w:val="20"/>
          <w:szCs w:val="20"/>
          <w:color w:val="auto"/>
        </w:rPr>
      </w:pPr>
      <w:r>
        <w:rPr>
          <w:rFonts w:ascii="Times New Roman" w:cs="Times New Roman" w:eastAsia="Times New Roman" w:hAnsi="Times New Roman"/>
          <w:sz w:val="18"/>
          <w:szCs w:val="18"/>
          <w:color w:val="auto"/>
        </w:rPr>
        <w:t>its audit report.</w:t>
      </w:r>
      <w:r>
        <w:rPr>
          <w:sz w:val="20"/>
          <w:szCs w:val="20"/>
          <w:color w:val="auto"/>
        </w:rPr>
        <w:tab/>
      </w:r>
      <w:r>
        <w:rPr>
          <w:rFonts w:ascii="MS PGothic" w:cs="MS PGothic" w:eastAsia="MS PGothic" w:hAnsi="MS PGothic"/>
          <w:sz w:val="16"/>
          <w:szCs w:val="16"/>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w:t>
      </w:r>
    </w:p>
    <w:p>
      <w:pPr>
        <w:spacing w:after="0" w:line="31" w:lineRule="exact"/>
        <w:rPr>
          <w:sz w:val="24"/>
          <w:szCs w:val="24"/>
          <w:color w:val="auto"/>
        </w:rPr>
      </w:pPr>
    </w:p>
    <w:p>
      <w:pPr>
        <w:spacing w:after="0" w:line="207" w:lineRule="exact"/>
        <w:tabs>
          <w:tab w:leader="none" w:pos="9240" w:val="left"/>
        </w:tabs>
        <w:rPr>
          <w:sz w:val="20"/>
          <w:szCs w:val="20"/>
          <w:color w:val="auto"/>
        </w:rPr>
      </w:pPr>
      <w:r>
        <w:rPr>
          <w:rFonts w:ascii="Times New Roman" w:cs="Times New Roman" w:eastAsia="Times New Roman" w:hAnsi="Times New Roman"/>
          <w:sz w:val="18"/>
          <w:szCs w:val="18"/>
          <w:color w:val="auto"/>
        </w:rPr>
        <w:t>reflect the correction of an error to previously issued financial statements.</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789" w:right="339" w:bottom="0" w:gutter="0" w:footer="0" w:header="0"/>
        </w:sectPr>
      </w:pPr>
    </w:p>
    <w:bookmarkStart w:id="1" w:name="page2"/>
    <w:bookmarkEnd w:id="1"/>
    <w:p>
      <w:pPr>
        <w:spacing w:after="0" w:line="207" w:lineRule="exact"/>
        <w:tabs>
          <w:tab w:leader="none" w:pos="9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w:t>
      </w:r>
    </w:p>
    <w:p>
      <w:pPr>
        <w:spacing w:after="0" w:line="31" w:lineRule="exact"/>
        <w:rPr>
          <w:sz w:val="20"/>
          <w:szCs w:val="20"/>
          <w:color w:val="auto"/>
        </w:rPr>
      </w:pPr>
    </w:p>
    <w:p>
      <w:pPr>
        <w:spacing w:after="0" w:line="207" w:lineRule="exact"/>
        <w:tabs>
          <w:tab w:leader="none" w:pos="9300" w:val="left"/>
        </w:tabs>
        <w:rPr>
          <w:sz w:val="20"/>
          <w:szCs w:val="20"/>
          <w:color w:val="auto"/>
        </w:rPr>
      </w:pPr>
      <w:r>
        <w:rPr>
          <w:rFonts w:ascii="Times New Roman" w:cs="Times New Roman" w:eastAsia="Times New Roman" w:hAnsi="Times New Roman"/>
          <w:sz w:val="18"/>
          <w:szCs w:val="18"/>
          <w:color w:val="auto"/>
        </w:rPr>
        <w:t>any of the registrant’s executive officers during the relevant recovery period pursuant to §240.10D-1(b).</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575"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11" w:lineRule="exact"/>
        <w:rPr>
          <w:sz w:val="20"/>
          <w:szCs w:val="20"/>
          <w:color w:val="auto"/>
        </w:rPr>
      </w:pPr>
    </w:p>
    <w:p>
      <w:pPr>
        <w:sectPr>
          <w:pgSz w:w="11900" w:h="16838" w:orient="portrait"/>
          <w:cols w:equalWidth="0" w:num="5">
            <w:col w:w="8080" w:space="180"/>
            <w:col w:w="160" w:space="80"/>
            <w:col w:w="260" w:space="180"/>
            <w:col w:w="160" w:space="100"/>
            <w:col w:w="2040"/>
          </w:cols>
          <w:pgMar w:left="320" w:top="575"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1, 2024 was $122,350,863.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January 23, 2025 was 8,788,356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4" w:lineRule="exact"/>
        <w:rPr>
          <w:sz w:val="20"/>
          <w:szCs w:val="20"/>
          <w:color w:val="auto"/>
        </w:rPr>
      </w:pPr>
    </w:p>
    <w:p>
      <w:pPr>
        <w:ind w:right="160" w:firstLine="320"/>
        <w:spacing w:after="0" w:line="262" w:lineRule="auto"/>
        <w:rPr>
          <w:sz w:val="20"/>
          <w:szCs w:val="20"/>
          <w:color w:val="auto"/>
        </w:rPr>
      </w:pPr>
      <w:r>
        <w:rPr>
          <w:rFonts w:ascii="Times New Roman" w:cs="Times New Roman" w:eastAsia="Times New Roman" w:hAnsi="Times New Roman"/>
          <w:sz w:val="18"/>
          <w:szCs w:val="18"/>
          <w:color w:val="auto"/>
        </w:rPr>
        <w:t>Portions of the Bassett Furniture Industries, Incorporated definitive Proxy Statement for its 2024 Annual Meeting of Stockholders to be held March 12, 2025, to be filed with the Securities and Exchange Commission pursuant to Regulation 14A under the Securities Exchange Act of 1934 (the “Proxy Statement”)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6"/>
        </w:trPr>
        <w:tc>
          <w:tcPr>
            <w:tcW w:w="1280" w:type="dxa"/>
            <w:vAlign w:val="bottom"/>
          </w:tcPr>
          <w:p>
            <w:pPr>
              <w:spacing w:after="0"/>
              <w:rPr>
                <w:sz w:val="20"/>
                <w:szCs w:val="20"/>
                <w:color w:val="auto"/>
              </w:rPr>
            </w:pPr>
          </w:p>
        </w:tc>
        <w:tc>
          <w:tcPr>
            <w:tcW w:w="898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898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1C.</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Cybersecurity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Information about our Executive Officers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8980" w:type="dxa"/>
            <w:vAlign w:val="bottom"/>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7A.</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9B.</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898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16.</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10-K Summary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898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8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28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4" w:name="page5"/>
    <w:bookmarkEnd w:id="4"/>
    <w:p>
      <w:pPr>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As used herein, unless the context otherwise requires,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Bassett Furniture Industries, Incorporated and its subsidiaries. References to 2024, 2023 and 2022 mean the fiscal years ended November 30, 2024, November 25,2023 and November 26, 2022. Please note that fiscal 2024 contained 53 weeks while fiscal 2023 and 2022 each contained 52 weeks.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SAFE-HARBOR, FORWARD-LOOKING STATEMENTS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“anticipates”, “believes”, “plans”, “estimates”, “expects”, “aimed” and “intends” or words or phrases of similar expression. These forward-looking statements involve certain risks and uncertainties. No assurance can be given that any such matters will be realized. Important factors, which should be read in conjunction with Item 1A “Risk Factors”, that could cause actual results to differ materially from those contemplated by such forward-looking statements include:</w:t>
      </w:r>
    </w:p>
    <w:p>
      <w:pPr>
        <w:spacing w:after="0" w:line="185" w:lineRule="exact"/>
        <w:rPr>
          <w:sz w:val="20"/>
          <w:szCs w:val="20"/>
          <w:color w:val="auto"/>
        </w:rPr>
      </w:pPr>
    </w:p>
    <w:p>
      <w:pPr>
        <w:jc w:val="both"/>
        <w:ind w:left="960" w:hanging="313"/>
        <w:spacing w:after="0" w:line="26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7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4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4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4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4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4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w:t>
      </w:r>
    </w:p>
    <w:p>
      <w:pPr>
        <w:spacing w:after="0" w:line="246"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4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46"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report after the date hereof, except as may be required by law. In light of these risks and uncertainties, you should keep in mind that the events described in any forward-looking statement made in this report, might not occur.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00" w:lineRule="exact"/>
        <w:rPr>
          <w:sz w:val="20"/>
          <w:szCs w:val="20"/>
          <w:color w:val="auto"/>
        </w:rPr>
      </w:pPr>
    </w:p>
    <w:p>
      <w:pPr>
        <w:spacing w:after="0" w:line="23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color w:val="auto"/>
        </w:rPr>
        <w:t>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website at www.bassettfurniture.com. We were founded in 1902 and incorporated under the laws of Virginia in 1930. Our rich 122-year history has instilled the principles of quality, value, and integrity in everything we do, while simultaneously providing us with the expertise to respond to ever-changing consumer tastes and meet the demands of a global economy.</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With 87 BHF stores at November 30, 2024,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strategies have become the primary vehicle for brand advertising and customer acquisition. We expect to supplement the digital outreach strategies in 2025 with added direct mail and television.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Although e-commerce sales continue to be small relative to in-store sales, we are pleased that we have seen a greater than 20% e-commerce sales increase over the back half of the fiscal year. We will continue to invest in ongoing improvements to the aesthetics and user experience that we provide on our website. While we have made it easier to purchase on-line, we will not compromise our in-store experience or the quality of our in-home makeover capabilities.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Inc. (“Noa Home”) (see Note 3 to the Consolidated Financial Statements for additional information regarding the acquisition).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November 30, 2024, we have substantially completed the liquidation of Noa Home’s assets and liabilities. In the second quarter of 2024 we recognized non-cash charges totaling $2,401 related to the impairment of certain long-lived assets of Noa Home and the establishment of a reserve against Noa Home’s remaining inventory at that time. Upon substantially completing the liquidation of Noa Home at the end of the fourth quarter of 2024, we recognized a charge of $962 associated with the transfer of the cumulative translation losses out of accumulated other comprehensive income.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 In the second quarter of 2023, we debuted the Bassett Outdoor contract line at the HD Expo Show in Las Vegas targeting the hospitality segment.</w:t>
      </w:r>
    </w:p>
    <w:p>
      <w:pPr>
        <w:spacing w:after="0" w:line="1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a factory in Martinsville, Virginia that assembles and finishes our custom bedroom and dining offerings. We also own a facility in Haleyville, Alabama where we manufacture aluminum frames for our outdoor furniture.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Approximately 80%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first quarter of 2022, we entered into a definitive agreement to sell substantially all of the assets of our wholly-owned subsidiary, Zenith Freight Lines, LLC (“Zenith”) to J.B. Hunt Transport Services, Inc. (“J.B. Hunt”), and the transaction was completed on February 28, 2022. As a result of the sale, the operations of our former logistical services segment, which consisted entirely of the operations of Zenith, are presented in this Annual Report on Form 10-K as discontinued operations.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strategically aligned our business into two reportable segments:</w:t>
      </w:r>
    </w:p>
    <w:p>
      <w:pPr>
        <w:spacing w:after="0" w:line="25"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Retail—Company-owned stores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Segment Overview</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wholesale segment is involved principally in the design, manufacturing and sourcing of furniture products that are distributed through our BHF store network (both Company-owned and licensee-owned stores) and various independent retailers. The wholesale furniture industry is very competitive and there are a large number of manufacturers both within and outside the United States who compete in the market on the basis of product quality, price, style, delivery and service. Additionally, many retailers source imported product directly, thus bypassing domestic furniture manufacturers and wholesale importers. We believe that we can be successful in the current competitive environment because our products represent excellent value combining attractive prices, quality and styling, prompt delivery, and superior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shipments by category for the last three fiscal years, excluding intercompany sales to our retail segment,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89"/>
              <w:spacing w:after="0" w:line="140" w:lineRule="exact"/>
              <w:rPr>
                <w:sz w:val="20"/>
                <w:szCs w:val="20"/>
                <w:color w:val="auto"/>
              </w:rPr>
            </w:pPr>
            <w:r>
              <w:rPr>
                <w:rFonts w:ascii="Times New Roman" w:cs="Times New Roman" w:eastAsia="Times New Roman" w:hAnsi="Times New Roman"/>
                <w:sz w:val="14"/>
                <w:szCs w:val="14"/>
                <w:color w:val="auto"/>
              </w:rPr>
              <w:t>External</w:t>
            </w:r>
          </w:p>
        </w:tc>
        <w:tc>
          <w:tcPr>
            <w:tcW w:w="1060" w:type="dxa"/>
            <w:vAlign w:val="bottom"/>
            <w:tcBorders>
              <w:bottom w:val="single" w:sz="8" w:color="auto"/>
            </w:tcBorders>
            <w:gridSpan w:val="2"/>
          </w:tcPr>
          <w:p>
            <w:pPr>
              <w:ind w:left="100"/>
              <w:spacing w:after="0" w:line="140" w:lineRule="exact"/>
              <w:rPr>
                <w:sz w:val="20"/>
                <w:szCs w:val="20"/>
                <w:color w:val="auto"/>
              </w:rPr>
            </w:pPr>
            <w:r>
              <w:rPr>
                <w:rFonts w:ascii="Times New Roman" w:cs="Times New Roman" w:eastAsia="Times New Roman" w:hAnsi="Times New Roman"/>
                <w:sz w:val="14"/>
                <w:szCs w:val="14"/>
                <w:color w:val="auto"/>
              </w:rPr>
              <w:t>Intercompany</w:t>
            </w:r>
          </w:p>
        </w:tc>
        <w:tc>
          <w:tcPr>
            <w:tcW w:w="880" w:type="dxa"/>
            <w:vAlign w:val="bottom"/>
            <w:tcBorders>
              <w:bottom w:val="single" w:sz="8" w:color="auto"/>
            </w:tcBorders>
          </w:tcPr>
          <w:p>
            <w:pPr>
              <w:jc w:val="right"/>
              <w:ind w:right="9"/>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69"/>
              <w:spacing w:after="0" w:line="140" w:lineRule="exact"/>
              <w:rPr>
                <w:sz w:val="20"/>
                <w:szCs w:val="20"/>
                <w:color w:val="auto"/>
              </w:rPr>
            </w:pPr>
            <w:r>
              <w:rPr>
                <w:rFonts w:ascii="Times New Roman" w:cs="Times New Roman" w:eastAsia="Times New Roman" w:hAnsi="Times New Roman"/>
                <w:sz w:val="14"/>
                <w:szCs w:val="14"/>
                <w:color w:val="auto"/>
              </w:rPr>
              <w:t>External</w:t>
            </w:r>
          </w:p>
        </w:tc>
        <w:tc>
          <w:tcPr>
            <w:tcW w:w="1040" w:type="dxa"/>
            <w:vAlign w:val="bottom"/>
            <w:tcBorders>
              <w:bottom w:val="single" w:sz="8" w:color="auto"/>
            </w:tcBorders>
            <w:gridSpan w:val="2"/>
          </w:tcPr>
          <w:p>
            <w:pPr>
              <w:ind w:left="120"/>
              <w:spacing w:after="0" w:line="140" w:lineRule="exact"/>
              <w:rPr>
                <w:sz w:val="20"/>
                <w:szCs w:val="20"/>
                <w:color w:val="auto"/>
              </w:rPr>
            </w:pPr>
            <w:r>
              <w:rPr>
                <w:rFonts w:ascii="Times New Roman" w:cs="Times New Roman" w:eastAsia="Times New Roman" w:hAnsi="Times New Roman"/>
                <w:sz w:val="14"/>
                <w:szCs w:val="14"/>
                <w:color w:val="auto"/>
              </w:rPr>
              <w:t>Intercompany</w:t>
            </w:r>
          </w:p>
        </w:tc>
        <w:tc>
          <w:tcPr>
            <w:tcW w:w="9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69"/>
              <w:spacing w:after="0" w:line="140" w:lineRule="exact"/>
              <w:rPr>
                <w:sz w:val="20"/>
                <w:szCs w:val="20"/>
                <w:color w:val="auto"/>
              </w:rPr>
            </w:pPr>
            <w:r>
              <w:rPr>
                <w:rFonts w:ascii="Times New Roman" w:cs="Times New Roman" w:eastAsia="Times New Roman" w:hAnsi="Times New Roman"/>
                <w:sz w:val="14"/>
                <w:szCs w:val="14"/>
                <w:color w:val="auto"/>
              </w:rPr>
              <w:t>External</w:t>
            </w:r>
          </w:p>
        </w:tc>
        <w:tc>
          <w:tcPr>
            <w:tcW w:w="1040" w:type="dxa"/>
            <w:vAlign w:val="bottom"/>
            <w:tcBorders>
              <w:bottom w:val="single" w:sz="8" w:color="auto"/>
            </w:tcBorders>
            <w:gridSpan w:val="2"/>
          </w:tcPr>
          <w:p>
            <w:pPr>
              <w:ind w:left="120"/>
              <w:spacing w:after="0" w:line="140" w:lineRule="exact"/>
              <w:rPr>
                <w:sz w:val="20"/>
                <w:szCs w:val="20"/>
                <w:color w:val="auto"/>
              </w:rPr>
            </w:pPr>
            <w:r>
              <w:rPr>
                <w:rFonts w:ascii="Times New Roman" w:cs="Times New Roman" w:eastAsia="Times New Roman" w:hAnsi="Times New Roman"/>
                <w:sz w:val="14"/>
                <w:szCs w:val="14"/>
                <w:color w:val="auto"/>
              </w:rPr>
              <w:t>Intercompany</w:t>
            </w:r>
          </w:p>
        </w:tc>
        <w:tc>
          <w:tcPr>
            <w:tcW w:w="9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Bassett Custom</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79,344</w:t>
            </w:r>
          </w:p>
        </w:tc>
        <w:tc>
          <w:tcPr>
            <w:tcW w:w="3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55,168</w:t>
            </w:r>
          </w:p>
        </w:tc>
        <w:tc>
          <w:tcPr>
            <w:tcW w:w="88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$ 134,512</w:t>
            </w: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89,005</w:t>
            </w:r>
          </w:p>
        </w:tc>
        <w:tc>
          <w:tcPr>
            <w:tcW w:w="3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66,363</w:t>
            </w:r>
          </w:p>
        </w:tc>
        <w:tc>
          <w:tcPr>
            <w:tcW w:w="90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$ 155,368</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62.4%</w:t>
            </w: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9"/>
              </w:rPr>
              <w:t>$ 124,565</w:t>
            </w: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82,437</w:t>
            </w:r>
          </w:p>
        </w:tc>
        <w:tc>
          <w:tcPr>
            <w:tcW w:w="90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$ 207,002</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Upholstery</w:t>
            </w:r>
          </w:p>
        </w:tc>
        <w:tc>
          <w:tcPr>
            <w:tcW w:w="10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Bassett Leather</w:t>
            </w: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15,705</w:t>
            </w:r>
          </w:p>
        </w:tc>
        <w:tc>
          <w:tcPr>
            <w:tcW w:w="340" w:type="dxa"/>
            <w:vAlign w:val="bottom"/>
          </w:tcPr>
          <w:p>
            <w:pPr>
              <w:spacing w:after="0"/>
              <w:rPr>
                <w:sz w:val="12"/>
                <w:szCs w:val="12"/>
                <w:color w:val="auto"/>
              </w:rPr>
            </w:pPr>
          </w:p>
        </w:tc>
        <w:tc>
          <w:tcPr>
            <w:tcW w:w="72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1,919</w:t>
            </w:r>
          </w:p>
        </w:tc>
        <w:tc>
          <w:tcPr>
            <w:tcW w:w="88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17,624</w:t>
            </w:r>
          </w:p>
        </w:tc>
        <w:tc>
          <w:tcPr>
            <w:tcW w:w="6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2"/>
                <w:szCs w:val="12"/>
                <w:color w:val="auto"/>
              </w:rPr>
            </w:pPr>
          </w:p>
        </w:tc>
        <w:tc>
          <w:tcPr>
            <w:tcW w:w="5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26,701</w:t>
            </w:r>
          </w:p>
        </w:tc>
        <w:tc>
          <w:tcPr>
            <w:tcW w:w="300" w:type="dxa"/>
            <w:vAlign w:val="bottom"/>
          </w:tcPr>
          <w:p>
            <w:pPr>
              <w:spacing w:after="0"/>
              <w:rPr>
                <w:sz w:val="12"/>
                <w:szCs w:val="12"/>
                <w:color w:val="auto"/>
              </w:rPr>
            </w:pPr>
          </w:p>
        </w:tc>
        <w:tc>
          <w:tcPr>
            <w:tcW w:w="74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1,171</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27,872</w:t>
            </w:r>
          </w:p>
        </w:tc>
        <w:tc>
          <w:tcPr>
            <w:tcW w:w="6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11.2%</w:t>
            </w:r>
          </w:p>
        </w:tc>
        <w:tc>
          <w:tcPr>
            <w:tcW w:w="6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35,953</w:t>
            </w:r>
          </w:p>
        </w:tc>
        <w:tc>
          <w:tcPr>
            <w:tcW w:w="320" w:type="dxa"/>
            <w:vAlign w:val="bottom"/>
          </w:tcPr>
          <w:p>
            <w:pPr>
              <w:spacing w:after="0"/>
              <w:rPr>
                <w:sz w:val="12"/>
                <w:szCs w:val="12"/>
                <w:color w:val="auto"/>
              </w:rPr>
            </w:pPr>
          </w:p>
        </w:tc>
        <w:tc>
          <w:tcPr>
            <w:tcW w:w="7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76</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36,029</w:t>
            </w:r>
          </w:p>
        </w:tc>
        <w:tc>
          <w:tcPr>
            <w:tcW w:w="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47"/>
        </w:trPr>
        <w:tc>
          <w:tcPr>
            <w:tcW w:w="1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Bassett Custom Wood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14,075</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16,674</w:t>
            </w:r>
          </w:p>
        </w:tc>
        <w:tc>
          <w:tcPr>
            <w:tcW w:w="880" w:type="dxa"/>
            <w:vAlign w:val="bottom"/>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30,749</w:t>
            </w:r>
          </w:p>
        </w:tc>
        <w:tc>
          <w:tcPr>
            <w:tcW w:w="62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17,357</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20,070</w:t>
            </w:r>
          </w:p>
        </w:tc>
        <w:tc>
          <w:tcPr>
            <w:tcW w:w="900" w:type="dxa"/>
            <w:vAlign w:val="bottom"/>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37,427</w:t>
            </w:r>
          </w:p>
        </w:tc>
        <w:tc>
          <w:tcPr>
            <w:tcW w:w="6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15.0%</w:t>
            </w:r>
          </w:p>
        </w:tc>
        <w:tc>
          <w:tcPr>
            <w:tcW w:w="6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22,534</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24,764</w:t>
            </w:r>
          </w:p>
        </w:tc>
        <w:tc>
          <w:tcPr>
            <w:tcW w:w="900" w:type="dxa"/>
            <w:vAlign w:val="bottom"/>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47,298</w:t>
            </w:r>
          </w:p>
        </w:tc>
        <w:tc>
          <w:tcPr>
            <w:tcW w:w="5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47"/>
        </w:trPr>
        <w:tc>
          <w:tcPr>
            <w:tcW w:w="16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Bassett Casegoods</w:t>
            </w: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11,317</w:t>
            </w:r>
          </w:p>
        </w:tc>
        <w:tc>
          <w:tcPr>
            <w:tcW w:w="340" w:type="dxa"/>
            <w:vAlign w:val="bottom"/>
          </w:tcPr>
          <w:p>
            <w:pPr>
              <w:spacing w:after="0"/>
              <w:rPr>
                <w:sz w:val="12"/>
                <w:szCs w:val="12"/>
                <w:color w:val="auto"/>
              </w:rPr>
            </w:pPr>
          </w:p>
        </w:tc>
        <w:tc>
          <w:tcPr>
            <w:tcW w:w="72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13,260</w:t>
            </w:r>
          </w:p>
        </w:tc>
        <w:tc>
          <w:tcPr>
            <w:tcW w:w="88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24,577</w:t>
            </w:r>
          </w:p>
        </w:tc>
        <w:tc>
          <w:tcPr>
            <w:tcW w:w="6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2"/>
                <w:szCs w:val="12"/>
                <w:color w:val="auto"/>
              </w:rPr>
            </w:pPr>
          </w:p>
        </w:tc>
        <w:tc>
          <w:tcPr>
            <w:tcW w:w="5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12,329</w:t>
            </w:r>
          </w:p>
        </w:tc>
        <w:tc>
          <w:tcPr>
            <w:tcW w:w="300" w:type="dxa"/>
            <w:vAlign w:val="bottom"/>
          </w:tcPr>
          <w:p>
            <w:pPr>
              <w:spacing w:after="0"/>
              <w:rPr>
                <w:sz w:val="12"/>
                <w:szCs w:val="12"/>
                <w:color w:val="auto"/>
              </w:rPr>
            </w:pPr>
          </w:p>
        </w:tc>
        <w:tc>
          <w:tcPr>
            <w:tcW w:w="74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15,915</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28,244</w:t>
            </w:r>
          </w:p>
        </w:tc>
        <w:tc>
          <w:tcPr>
            <w:tcW w:w="6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11.3%</w:t>
            </w:r>
          </w:p>
        </w:tc>
        <w:tc>
          <w:tcPr>
            <w:tcW w:w="6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15,628</w:t>
            </w:r>
          </w:p>
        </w:tc>
        <w:tc>
          <w:tcPr>
            <w:tcW w:w="320" w:type="dxa"/>
            <w:vAlign w:val="bottom"/>
          </w:tcPr>
          <w:p>
            <w:pPr>
              <w:spacing w:after="0"/>
              <w:rPr>
                <w:sz w:val="12"/>
                <w:szCs w:val="12"/>
                <w:color w:val="auto"/>
              </w:rPr>
            </w:pPr>
          </w:p>
        </w:tc>
        <w:tc>
          <w:tcPr>
            <w:tcW w:w="7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18,612</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34,240</w:t>
            </w:r>
          </w:p>
        </w:tc>
        <w:tc>
          <w:tcPr>
            <w:tcW w:w="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rPr>
              <w:t>120,441</w:t>
            </w:r>
          </w:p>
        </w:tc>
        <w:tc>
          <w:tcPr>
            <w:tcW w:w="340" w:type="dxa"/>
            <w:vAlign w:val="bottom"/>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9"/>
              <w:spacing w:after="0" w:line="127" w:lineRule="exact"/>
              <w:rPr>
                <w:sz w:val="20"/>
                <w:szCs w:val="20"/>
                <w:color w:val="auto"/>
              </w:rPr>
            </w:pPr>
            <w:r>
              <w:rPr>
                <w:rFonts w:ascii="Times New Roman" w:cs="Times New Roman" w:eastAsia="Times New Roman" w:hAnsi="Times New Roman"/>
                <w:sz w:val="14"/>
                <w:szCs w:val="14"/>
                <w:color w:val="auto"/>
              </w:rPr>
              <w:t>87,021</w:t>
            </w:r>
          </w:p>
        </w:tc>
        <w:tc>
          <w:tcPr>
            <w:tcW w:w="880" w:type="dxa"/>
            <w:vAlign w:val="bottom"/>
            <w:shd w:val="clear" w:color="auto" w:fill="CCEEFF"/>
          </w:tcPr>
          <w:p>
            <w:pPr>
              <w:jc w:val="right"/>
              <w:ind w:right="189"/>
              <w:spacing w:after="0" w:line="127" w:lineRule="exact"/>
              <w:rPr>
                <w:sz w:val="20"/>
                <w:szCs w:val="20"/>
                <w:color w:val="auto"/>
              </w:rPr>
            </w:pPr>
            <w:r>
              <w:rPr>
                <w:rFonts w:ascii="Times New Roman" w:cs="Times New Roman" w:eastAsia="Times New Roman" w:hAnsi="Times New Roman"/>
                <w:sz w:val="14"/>
                <w:szCs w:val="14"/>
                <w:color w:val="auto"/>
              </w:rPr>
              <w:t>$ 207,462</w:t>
            </w:r>
          </w:p>
        </w:tc>
        <w:tc>
          <w:tcPr>
            <w:tcW w:w="620" w:type="dxa"/>
            <w:vAlign w:val="bottom"/>
            <w:tcBorders>
              <w:right w:val="single" w:sz="8" w:color="CCEEFF"/>
            </w:tcBorders>
            <w:gridSpan w:val="2"/>
            <w:shd w:val="clear" w:color="auto" w:fill="CCEEFF"/>
          </w:tcPr>
          <w:p>
            <w:pPr>
              <w:jc w:val="right"/>
              <w:ind w:right="100"/>
              <w:spacing w:after="0" w:line="127"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rPr>
              <w:t>145,392</w:t>
            </w:r>
          </w:p>
        </w:tc>
        <w:tc>
          <w:tcPr>
            <w:tcW w:w="300" w:type="dxa"/>
            <w:vAlign w:val="bottom"/>
            <w:shd w:val="clear" w:color="auto" w:fill="CCEEFF"/>
          </w:tcPr>
          <w:p>
            <w:pPr>
              <w:ind w:left="120"/>
              <w:spacing w:after="0" w:line="12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69"/>
              <w:spacing w:after="0" w:line="127" w:lineRule="exact"/>
              <w:rPr>
                <w:sz w:val="20"/>
                <w:szCs w:val="20"/>
                <w:color w:val="auto"/>
              </w:rPr>
            </w:pPr>
            <w:r>
              <w:rPr>
                <w:rFonts w:ascii="Times New Roman" w:cs="Times New Roman" w:eastAsia="Times New Roman" w:hAnsi="Times New Roman"/>
                <w:sz w:val="14"/>
                <w:szCs w:val="14"/>
                <w:color w:val="auto"/>
              </w:rPr>
              <w:t>103,519</w:t>
            </w:r>
          </w:p>
        </w:tc>
        <w:tc>
          <w:tcPr>
            <w:tcW w:w="900" w:type="dxa"/>
            <w:vAlign w:val="bottom"/>
            <w:shd w:val="clear" w:color="auto" w:fill="CCEEFF"/>
          </w:tcPr>
          <w:p>
            <w:pPr>
              <w:jc w:val="right"/>
              <w:ind w:right="189"/>
              <w:spacing w:after="0" w:line="127" w:lineRule="exact"/>
              <w:rPr>
                <w:sz w:val="20"/>
                <w:szCs w:val="20"/>
                <w:color w:val="auto"/>
              </w:rPr>
            </w:pPr>
            <w:r>
              <w:rPr>
                <w:rFonts w:ascii="Times New Roman" w:cs="Times New Roman" w:eastAsia="Times New Roman" w:hAnsi="Times New Roman"/>
                <w:sz w:val="14"/>
                <w:szCs w:val="14"/>
                <w:color w:val="auto"/>
              </w:rPr>
              <w:t>$ 248,911</w:t>
            </w:r>
          </w:p>
        </w:tc>
        <w:tc>
          <w:tcPr>
            <w:tcW w:w="620" w:type="dxa"/>
            <w:vAlign w:val="bottom"/>
            <w:gridSpan w:val="2"/>
            <w:shd w:val="clear" w:color="auto" w:fill="CCEEFF"/>
          </w:tcPr>
          <w:p>
            <w:pPr>
              <w:jc w:val="right"/>
              <w:ind w:right="100"/>
              <w:spacing w:after="0" w:line="127"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shd w:val="clear" w:color="auto" w:fill="CCEEFF"/>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w w:val="99"/>
              </w:rPr>
              <w:t>$ 198,680</w:t>
            </w:r>
          </w:p>
        </w:tc>
        <w:tc>
          <w:tcPr>
            <w:tcW w:w="320" w:type="dxa"/>
            <w:vAlign w:val="bottom"/>
            <w:shd w:val="clear" w:color="auto" w:fill="CCEEFF"/>
          </w:tcPr>
          <w:p>
            <w:pPr>
              <w:ind w:left="120"/>
              <w:spacing w:after="0" w:line="12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9"/>
              <w:spacing w:after="0" w:line="127" w:lineRule="exact"/>
              <w:rPr>
                <w:sz w:val="20"/>
                <w:szCs w:val="20"/>
                <w:color w:val="auto"/>
              </w:rPr>
            </w:pPr>
            <w:r>
              <w:rPr>
                <w:rFonts w:ascii="Times New Roman" w:cs="Times New Roman" w:eastAsia="Times New Roman" w:hAnsi="Times New Roman"/>
                <w:sz w:val="14"/>
                <w:szCs w:val="14"/>
                <w:color w:val="auto"/>
              </w:rPr>
              <w:t>125,889</w:t>
            </w:r>
          </w:p>
        </w:tc>
        <w:tc>
          <w:tcPr>
            <w:tcW w:w="900" w:type="dxa"/>
            <w:vAlign w:val="bottom"/>
            <w:shd w:val="clear" w:color="auto" w:fill="CCEEFF"/>
          </w:tcPr>
          <w:p>
            <w:pPr>
              <w:jc w:val="right"/>
              <w:ind w:right="189"/>
              <w:spacing w:after="0" w:line="127" w:lineRule="exact"/>
              <w:rPr>
                <w:sz w:val="20"/>
                <w:szCs w:val="20"/>
                <w:color w:val="auto"/>
              </w:rPr>
            </w:pPr>
            <w:r>
              <w:rPr>
                <w:rFonts w:ascii="Times New Roman" w:cs="Times New Roman" w:eastAsia="Times New Roman" w:hAnsi="Times New Roman"/>
                <w:sz w:val="14"/>
                <w:szCs w:val="14"/>
                <w:color w:val="auto"/>
              </w:rPr>
              <w:t>$ 324,569</w:t>
            </w:r>
          </w:p>
        </w:tc>
        <w:tc>
          <w:tcPr>
            <w:tcW w:w="5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Approximately 20% of our 2024 wholesale sales were of imported product compared to 22% in 2023 and 2022. We define imported product as fully finished product that is sourced. Our domestic product includes certain products that contain components which were also sourced. We continue to believe that a blended strategy including domestically produced products primarily of a custom-order nature combined with sourcing of major collections provides the best value and quality of products to our customers.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dollar value of our wholesale backlog, representing orders received but not yet shipped to the BHF store network or independent dealers, was $21,750 at November 30, 2024 and $18,478 at November 25, 2023.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 w:name="page8"/>
    <w:bookmarkEnd w:id="7"/>
    <w:p>
      <w:pPr>
        <w:jc w:val="both"/>
        <w:spacing w:after="0" w:line="262" w:lineRule="auto"/>
        <w:rPr>
          <w:sz w:val="20"/>
          <w:szCs w:val="20"/>
          <w:color w:val="auto"/>
        </w:rPr>
      </w:pPr>
      <w:r>
        <w:rPr>
          <w:rFonts w:ascii="Times New Roman" w:cs="Times New Roman" w:eastAsia="Times New Roman" w:hAnsi="Times New Roman"/>
          <w:sz w:val="18"/>
          <w:szCs w:val="18"/>
          <w:color w:val="auto"/>
        </w:rPr>
        <w:t>We use lumber, fabric, leather, foam and other materials in the production of wood and upholstered furniture. These components are purchased from a variety of domestic and international suppliers and are widely available. The price and availability of foam, which is highly dependent on the cost of oil and available capacity of oil refineries, can be subject to significant volatility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Retail Segment Overview – Company-Owned Retail Stores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retail—Company-owned stores segment consists of 58 BHF stores that provide consumers with a friendly and casual environment for buying furniture and accessories. The retail furniture industry remains very competitive and includes local furniture stores, regional furniture retailers, national department and chain stores, single-vendor branded retailers and on-line retailers. As a whole, our store network which includes 29 licensee-owned stores, ranks in the top 40 in retail furniture sales in the United States. The following table shows the number of Company-owned stores by state at November 30, 2024:</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6"/>
        </w:trPr>
        <w:tc>
          <w:tcPr>
            <w:tcW w:w="26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Stores</w:t>
            </w:r>
          </w:p>
        </w:tc>
        <w:tc>
          <w:tcPr>
            <w:tcW w:w="280" w:type="dxa"/>
            <w:vAlign w:val="bottom"/>
          </w:tcPr>
          <w:p>
            <w:pPr>
              <w:spacing w:after="0"/>
              <w:rPr>
                <w:sz w:val="20"/>
                <w:szCs w:val="20"/>
                <w:color w:val="auto"/>
              </w:rPr>
            </w:pPr>
          </w:p>
        </w:tc>
        <w:tc>
          <w:tcPr>
            <w:tcW w:w="26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Stores</w:t>
            </w: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70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72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88"/>
              </w:rPr>
              <w:t>1</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70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72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88"/>
              </w:rPr>
              <w:t>2</w:t>
            </w:r>
          </w:p>
        </w:tc>
      </w:tr>
      <w:tr>
        <w:trPr>
          <w:trHeight w:val="21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70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72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88"/>
              </w:rPr>
              <w:t>4</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70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72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88"/>
              </w:rPr>
              <w:t>5</w:t>
            </w:r>
          </w:p>
        </w:tc>
      </w:tr>
      <w:tr>
        <w:trPr>
          <w:trHeight w:val="21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0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72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88"/>
              </w:rPr>
              <w:t>2</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70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Oklahoma</w:t>
            </w:r>
          </w:p>
        </w:tc>
        <w:tc>
          <w:tcPr>
            <w:tcW w:w="172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88"/>
              </w:rPr>
              <w:t>1</w:t>
            </w:r>
          </w:p>
        </w:tc>
      </w:tr>
      <w:tr>
        <w:trPr>
          <w:trHeight w:val="21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70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72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88"/>
              </w:rPr>
              <w:t>2</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70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72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88"/>
              </w:rPr>
              <w:t>1</w:t>
            </w:r>
          </w:p>
        </w:tc>
      </w:tr>
      <w:tr>
        <w:trPr>
          <w:trHeight w:val="21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70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172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88"/>
              </w:rPr>
              <w:t>1</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70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72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88"/>
              </w:rPr>
              <w:t>11</w:t>
            </w:r>
          </w:p>
        </w:tc>
      </w:tr>
      <w:tr>
        <w:trPr>
          <w:trHeight w:val="213"/>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700" w:type="dxa"/>
            <w:vAlign w:val="bottom"/>
            <w:tcBorders>
              <w:bottom w:val="single" w:sz="8" w:color="CCEEFF"/>
            </w:tcBorders>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7"/>
        </w:trPr>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Company-owned retail stores by major product category for the last three fiscal years are summarized below:</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32"/>
        </w:trPr>
        <w:tc>
          <w:tcPr>
            <w:tcW w:w="2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7"/>
        </w:trPr>
        <w:tc>
          <w:tcPr>
            <w:tcW w:w="2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111,943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163,755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1,707</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21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32,201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36,732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43,208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26,179</w:t>
            </w: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32,252</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40,146</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&amp; other (1)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31,005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36,303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235,940</w:t>
            </w:r>
          </w:p>
        </w:tc>
        <w:tc>
          <w:tcPr>
            <w:tcW w:w="2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285,119</w:t>
            </w:r>
          </w:p>
        </w:tc>
        <w:tc>
          <w:tcPr>
            <w:tcW w:w="2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hanging="31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of goods other than Bassett-branded products, such as accessories and bedding, and also includes the sale of furniture protection plans.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continue to examine the performance of every one of our stores. Store traffic has been declining and the effect on our retail model has become increasingly challenging. We believe that on a market-by-market basis, there will be fewer stores in the future. We will continue to evaluate store-by-store performance as we seek the optimal store count in the markets in which we compete at retail. While we opened two new stores in 2024, we are currently negotiating leases for stores in two new markets with potential opening dates in late 2025 or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We consider our corporate functions to be other business activities and have aggregated them with any of our operating segments that do not meet the requirements to be reportable segments. As of and for the periods ended November 30, 2024, November 25, 2023 and November 26, 2022, the only such operating segment included in Corporate and other was Noa Home, which was acquired on September 2, 2022. All sales reported in our Corporate and other category were attributable to Noa Home, which generated substantially all of its sales outside of the United States. During the second quarter of 2024 we concluded that Noa Home was not likely to achieve profitability in the foreseeable future and decided to cease operations by selling the inventory in an orderly fashion. As of November 30, 2024, we have substantially completed the liquidation of Noa Home.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trademarks, including “Bassett” and the names of some of our marketing divisions, products and collections, are significant to the conduct of our business. This is important due to consumer recognition of the names and identification with our broad range of products. Certain of our trademarks are licensed to independent retailers for use in full store and store gallery presentations of our products. We also own copyrights that are important in the conduct of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materially complied with all federal, state and local standards regarding safety, health and pollution and environmental controls.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be affected by laws and regulations of countries from which we source goods. Labor, environmental and other laws and regulations change over time, especially in the developing countries from which we source. Changes in these areas of regulation could negatively impact the cost and availability of sourced goods. The timing and extent to which these regulations could have an adverse effect on our financial position or results of operations is difficult to predict. In addition, the imposition of new or increased duties, tariffs, retaliatory tariffs and trade limitations with respect to foreign-sourced products could negatively impact the cost of such goods. Based on the present facts, we do not believe that they will have a material adverse effect on our financial position or future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employed 1,228 people as of November 30, 2024. Our associate count represents a decrease of 161 from a year ago, 71 due to headcount reductions in our manufacturing facilities in response to business conditions and the consolidation of our two wood manufacturing facilities, 43 in our retail segment primarily attributable to the elimination of certain retail support functions and warehouse consolidation, and 47 at our corporate office related to the closure of our central customer care center and the elimination of several corporate overhead functions. Headcount by segment is as follows:</w:t>
      </w: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 in the wholesale segment</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 in the retail segment</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in the corporate and other segment</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approach our workplace culture by being </w:t>
      </w:r>
      <w:r>
        <w:rPr>
          <w:rFonts w:ascii="Times New Roman" w:cs="Times New Roman" w:eastAsia="Times New Roman" w:hAnsi="Times New Roman"/>
          <w:sz w:val="18"/>
          <w:szCs w:val="18"/>
          <w:b w:val="1"/>
          <w:bCs w:val="1"/>
          <w:i w:val="1"/>
          <w:iCs w:val="1"/>
          <w:color w:val="auto"/>
        </w:rPr>
        <w:t>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 Each Other</w:t>
      </w:r>
      <w:r>
        <w:rPr>
          <w:rFonts w:ascii="Times New Roman" w:cs="Times New Roman" w:eastAsia="Times New Roman" w:hAnsi="Times New Roman"/>
          <w:sz w:val="18"/>
          <w:szCs w:val="18"/>
          <w:color w:val="auto"/>
        </w:rPr>
        <w:t>, the tenets of which include fostering a workplace that promotes respect for each other, investing in our associates’ well-being, providing safe and comfortable work environments, offering opportunities to develop personally and professionally, being good stewards of the environment, and giving back to the communities in which we work and live. We believe that these investments are crucial to the success of our associates and our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Respect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value the diversity of our associates as an essential component in the way we do business. It continues to be Bassett’s policy to be equitable and impartial in our relations with our associates and to base all employment-related decisions upon valid, job-related factors, without regard to race, color, religion, national origin, age, sex, gender identity and gender expression, transgender status, pregnancy, physical or mental disability, genetic information, veteran or other protected status.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continue to maintain and enforce our policy prohibiting discrimination and harassment in our workplace. Our managers are trained in how to prevent, recognize and respond to possible inappropriate behavior. Associates have several available avenues for reporting concerns, including a confidential hotline. We promptly and carefully investigate each complaint of harassment or discrimination. More details about our commitment to preventing discrimination and harassment in our workplaces are available on our website.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Quality of Life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invest in the physical and mental well-being of our associates, their spouses and their children.</w:t>
      </w:r>
    </w:p>
    <w:p>
      <w:pPr>
        <w:spacing w:after="0" w:line="25" w:lineRule="exact"/>
        <w:rPr>
          <w:sz w:val="20"/>
          <w:szCs w:val="20"/>
          <w:color w:val="auto"/>
        </w:rPr>
      </w:pPr>
    </w:p>
    <w:p>
      <w:pPr>
        <w:ind w:left="640" w:hanging="313"/>
        <w:spacing w:after="0" w:line="247"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introduced a benefits and wellness app, free to our associates and their dependents, which assists with locating best-in-class, in terms of quality and cost, healthcare providers and facilities, along with free virtual exercise therapy for back and joint care.</w:t>
      </w: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several free online mental and behavioral health resources, with unlimited access to board-certified psychiatrists and licensed therapists.</w:t>
      </w:r>
    </w:p>
    <w:p>
      <w:pPr>
        <w:spacing w:after="0" w:line="14" w:lineRule="exact"/>
        <w:rPr>
          <w:rFonts w:ascii="Times New Roman" w:cs="Times New Roman" w:eastAsia="Times New Roman" w:hAnsi="Times New Roman"/>
          <w:sz w:val="18"/>
          <w:szCs w:val="18"/>
          <w:color w:val="auto"/>
        </w:rPr>
      </w:pPr>
    </w:p>
    <w:p>
      <w:pPr>
        <w:ind w:left="640" w:hanging="313"/>
        <w:spacing w:after="0" w:line="258"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wellness programs, including onsite health clinics, personalized health coaching, mental health counseling, and incentivized healthy lifestyle choices, are designed to improve associate health and reduce healthcare costs for both the associate and the Company.</w:t>
      </w: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opportunities for our associates to meet with a certified financial planner for personalized retirement planning and budget counseling.</w:t>
      </w:r>
    </w:p>
    <w:p>
      <w:pPr>
        <w:spacing w:after="0" w:line="14"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comprehensive benefit plans including Company subsidized health insurance, 401(k) Plan with Company matching contributions, and paid time off. We believe our benefit plans are competitive and meet the needs of most of our associates.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 Environment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our facilities continue, which improve our associates’ safety and comfort, and increase efficiency. These include:</w:t>
      </w:r>
    </w:p>
    <w:p>
      <w:pPr>
        <w:spacing w:after="0" w:line="25"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vacuum lifts, designed to reduce manual lifting, at our Martinsville facility</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air quality with the addition of a humidity-controlled air handling system and battery-operated forklifts</w:t>
      </w:r>
    </w:p>
    <w:p>
      <w:pPr>
        <w:spacing w:after="0" w:line="33" w:lineRule="exact"/>
        <w:rPr>
          <w:rFonts w:ascii="Times New Roman" w:cs="Times New Roman" w:eastAsia="Times New Roman" w:hAnsi="Times New Roman"/>
          <w:sz w:val="18"/>
          <w:szCs w:val="18"/>
          <w:color w:val="auto"/>
        </w:rPr>
      </w:pPr>
    </w:p>
    <w:p>
      <w:pPr>
        <w:ind w:left="640" w:hanging="313"/>
        <w:spacing w:after="0" w:line="258"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upholstery locations, we continued to upgrade the lighting in our manufacturing areas and warehouses, along with resurfacing floors to improve safety and aesthetics</w:t>
      </w: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security with the installation of a biometric (finger scan) timekeeping system at all our manufacturing facilities.</w:t>
      </w:r>
    </w:p>
    <w:p>
      <w:pPr>
        <w:spacing w:after="0" w:line="2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installed a comprehensive human resources, benefits, payroll and timekeeping system which gives our associates the ability to view, and where applicable, update their personal information, benefits enrollments, pay history and time worked in real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Development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opportunities to our associates for educational and skill development, including:</w:t>
      </w:r>
    </w:p>
    <w:p>
      <w:pPr>
        <w:spacing w:after="0" w:line="25"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for associates who desire to further their education.</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training for managers, with classes completed monthly.</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for customer-facing associates designed to enhance the in-store and follow up experiences for our customers.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and Civic Responsibility</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Representing our commitment to sustainably sourced hardwoods, each Arbor Day since 2021, over 30 of our associates travel to central Ohio to take part in the planting of Appalachian hardwood seedlings. This event is hosted by our BenchMade supply partners, and over 200,000 trees have been planted to date – and counting. Additionally, we remain committed to our recycling efforts. Materials recycled in 2024 include:</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36"/>
        </w:trPr>
        <w:tc>
          <w:tcPr>
            <w:tcW w:w="2900" w:type="dxa"/>
            <w:vAlign w:val="bottom"/>
          </w:tcPr>
          <w:p>
            <w:pPr>
              <w:spacing w:after="0"/>
              <w:rPr>
                <w:sz w:val="20"/>
                <w:szCs w:val="20"/>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Tons</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Tons</w:t>
            </w:r>
          </w:p>
        </w:tc>
        <w:tc>
          <w:tcPr>
            <w:tcW w:w="20" w:type="dxa"/>
            <w:vAlign w:val="bottom"/>
          </w:tcPr>
          <w:p>
            <w:pPr>
              <w:spacing w:after="0"/>
              <w:rPr>
                <w:sz w:val="20"/>
                <w:szCs w:val="20"/>
                <w:color w:val="auto"/>
              </w:rPr>
            </w:pPr>
          </w:p>
        </w:tc>
      </w:tr>
      <w:tr>
        <w:trPr>
          <w:trHeight w:val="20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Wood dust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1,620</w:t>
            </w:r>
          </w:p>
        </w:tc>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Fabric scraps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7"/>
                <w:szCs w:val="17"/>
                <w:color w:val="auto"/>
              </w:rPr>
            </w:pPr>
          </w:p>
        </w:tc>
      </w:tr>
      <w:tr>
        <w:trPr>
          <w:trHeight w:val="21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Paper/cardboard</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Wood Pallets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r>
      <w:tr>
        <w:trPr>
          <w:trHeight w:val="21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Metal/electronics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Finishing materials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3"/>
        </w:trPr>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Foam</w:t>
            </w:r>
          </w:p>
        </w:tc>
        <w:tc>
          <w:tcPr>
            <w:tcW w:w="3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15,750 cubic feet</w:t>
            </w: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partnership with the Stephen Siller Tunnels2Towers Foundation reached the 10-year mark in 2024. To date, we have furnished over 40 smart homes built for wounded veterans and first responders. Additionally, we supported numerous other charitable and civic organizations with monetary and in-kind donations.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risk exposure related to our customers, consisting primarily of trade accounts receivable along with certain guarantees, net of recognized reserves, totaled approximately $18,281 and $15,636 at November 30, 2024 and November 25, 2023, respectively. At November 30, 2024 and November 24, 2023, approximately 43% and 35%, respectively, of the aggregate risk exposure, net of reserves, was attributable to five customers. In fiscal 2024, 2023 and 2022, no customer accounted for more than 10% of total consolidated net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file our annual, quarterly and current reports, proxy statements and other information with the SEC. Our SEC filings are available to the public at the SEC’s website at www.sec.gov.</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Through our website, www.bassettfurniture.com, we make available free of charge as soon as reasonably practicable after electronically filing or furnishing with the SEC, our annual report on Form 10-K, quarterly reports on Form 10-Q, current reports on Form 8-K and any amendments thereto.</w:t>
      </w:r>
    </w:p>
    <w:p>
      <w:pPr>
        <w:spacing w:after="0" w:line="3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risk factors should be read carefully in connection with evaluating our business and the forward-looking information contained in this Annual Report on Form 10-K. The risk factors below represent what we believe are the known material risk factors with respect to us and our business. Any of the following risks could materially adversely affect our business, operations, industry, financial position or future financial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Retail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volatile retail environment and changing economic conditions that may further adversely affect consumer demand and spending.</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Historically, the home furnishings industry has been subject to cyclical variations in the general economy and to uncertainty regarding future economic prospects. Should current economic conditions weaken, the current rate of housing starts decline, or rising inflation persist, consumer confidence and demand for home furnishings could deteriorate which could adversely affect our business through its impact on the performance of our Company-owned stores, as well as our licensees and the ability of a number of them to meet their obligations to us.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retail stores face significant competition from national, regional and local retailers of home furnishings, including increasing on-line competition via the internet.</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retail market for home furnishings is highly fragmented and intensely competitive. We currently compete against a diverse group of retailers, including national department stores, regional or independent specialty stores, and dedicated franchises of furniture manufacturers. National mass merchants such as Costco also have limited product offerings. We also compete with retailers that market products through store catalogs and the internet. In addition, there are few barriers to entry into our current and contemplated markets, and new competitors may enter our current or future markets at any time. We have also seen increasing competition from retailers offering consumers the ability to purchase home furnishings via the internet for home delivery, and this trend is expected to continue. Our existing competitors or new entrants into our industry may use a number of different strategies to compete against us, including aggressive advertising, pricing and marketing, extension of credit to customers on terms more favorable than we offer, and expansion into markets where we currently operate. Competition from any of these sources could cause us to lose market share, revenues and customers, increase expenditures or reduce prices, any of which could have a material adverse effect on our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licensee-owned stores may not be able to meet their obligations to us.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 significant amount of accounts receivable attributable to our network of licensee-owned stores. We also guarantee one lease each for two licensees. If these stores do not generate the necessary level of sales and profits, the licensees may not be able to fulfill their obligations to us resulting in additional bad debt expenses and real estate related losses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Brand and Product Offerings</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anticipate or respond to changes in consumer tastes and trends in a timely manner could adversely impact our business, operating results and financial condition.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our furniture are dependent upon consumer acceptance of our designs, styles, quality and price. As with all retailers, our business is susceptible to changes in consumer tastes and trends. We attempt to monitor changes in consumer tastes and home design trends through attendance at international industry events and fashion shows, internal marketing research, and communication with our retailers and design consultants who provide valuable input on consumer tendencies. However, such tastes and trends can change rapidly and any delay or failure to anticipate or respond to changing consumer tastes and trends in a timely manner could adversely impact our business, operating results and financial condition.</w:t>
      </w:r>
    </w:p>
    <w:p>
      <w:pPr>
        <w:spacing w:after="0" w:line="1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addition, certain suppliers may require extensive advance notice of our requirements in order to produce products in the quantities we desire. This long lead time may require us to place orders far in advance of the time when certain products will be offered for sale, thereby exposing us to risks relating to shifts in consumer demand and trends, and any downturn in the U.S. economy.</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brand, marketing and advertising efforts and pricing strategies, and if we are not able to maintain and enhance our brand, or if we are not successful in these efforts and strategies, our business and operating results could be adversely affected.</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Maintaining and enhancing our brand is critical to our ability to expand our base of customers and drive increased traffic at both Company-owned and licensee-owned stores and to our website. While digital advertising and outreach continue to dominate our marketing expenditures in 2024, we plan to supplement those strategies in 2025 with added direct mail and television. We have also invested heavily in our website and e-commerce. We cannot provide assurance that our marketing, advertising and other efforts to promote and maintain awareness of our brand will not require us to incur substantial costs. If these efforts are unsuccessful or we incur substantial costs in connection with these efforts, our business, operating results and financial condition could be adversely affected.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Material Sourcing and Supply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foreign sources of production for a portion of our products exposes us to certain additional risks associated with international operations.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use of foreign sources for the supply of certain of our products exposes us to risks associated with overseas sourcing. These risks are related to government regulation, volatile ocean freight costs, delays in shipments, and extended lead time in ordering. The U.S. government as well as governments in the foreign countries where we source our products may change their laws, regulations and policies, including those related to tariffs and trade barriers, investments, taxation and exchange controls which could make it more difficult to service our customers resulting in an adverse effect on our earnings.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raw materials could result in increased costs or cause production delays which might result in a decline in sales, either of which could adversely impact our earnings.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use various types of wood, foam, fibers, fabrics, leathers, and other raw materials in manufacturing our furniture. Certain of our raw materials, including fabrics, are purchased both abroad and domestically. Fluctuations in the price, availability and quality of raw materials could result in increased costs or a delay in manufacturing our products, which in turn could result in a delay in delivering products to our customers. For example, lumber prices fluctuate over time based on factors such as weather and demand, which in turn impact availability. There is no guarantee that we will be able to successfully pass along additional cost increases as they arise and rising inflation could have an adverse impact upon consumer demand for discretionary items such as home furnishings. Production delays or upward trends in raw material prices could result in lower sales or margins, thereby adversely impacting our earnings.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Electronic Data Processing and Digital Information</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extensively on computer systems to process transactions, summarize results and manage our business. Disruptions in both our primary and back-up systems could adversely affect our business and operating results.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primary and back-up computer systems are subject to damage or interruption from power outages, computer and telecommunications failures, computer viruses, security breaches, natural disasters and errors by employees. Though losses arising from some of these issues would be covered by insurance, interruptions of our critical business computer systems or failure of our back-up systems could reduce our sales or result in longer production times. If our critical business computer systems or back-up systems are damaged or cease to function properly, we may have to make a significant investment to repair or replace them. For example, we disclosed a cybersecurity incident in Item 1.05 of Current Reports on Form 8-K and 8-K/A filed on July 15, 2024 and August 6, 2024, respectively, relating to the detection of unauthorized occurrences on a portion of our information technology (IT) systems.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and may continue in the future to incur costs resulting from security risks we face in connection with our electronic processing, storage and transmission of confidential information whether on computer systems maintained on our internal network or by third parties that may host certain of our systems. We may also incur reputational harm resulting from these security risks.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accept electronic payment cards in our stores and also gather certain personal identifiable information in the processing of our retail sales transactions. We also store and process confidential information pertaining to our employees and other third parties on our networks. We may in the future become subject to claims for purportedly fraudulent transactions arising out of the actual or alleged theft of credit or debit card information. In addition, if there were a disclosure of confidential information provided by, or concerning, our employees, customers or other third parties, including through inadvertent disclosure, unapproved dissemination, or unauthorized access, our reputation could be harmed, and we could be subject to civil or criminal liability and regulatory actions. Proceedings related to theft of credit or debit card information may be brought by payment card providers, banks and credit unions that issue cards, cardholders (either individually or as part of a class action lawsuit) and federal and state regulators. Any such proceedings could distract our management from running our business and cause us to incur significant unplanned losses and expenses. Consumer perception of our brand could also be negatively affected by these events, which could further adversely affect our results and prospects.</w:t>
      </w:r>
    </w:p>
    <w:p>
      <w:pPr>
        <w:spacing w:after="0" w:line="39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color w:val="auto"/>
        </w:rPr>
        <w:t>UNRESOLVED STAFF COMMENTS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color w:val="auto"/>
        </w:rPr>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developed a standards-based information security program to address risks from cybersecurity threats. The program includes policies and procedures that identify how security measures and controls are developed, implemented, and maintained. The maturity and effectiveness of the security program is reviewed biennially by a reputable third party.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risk assessment is conducted annually. The risk assessment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 and others. Specific controls that are used to some extent by the Company include endpoint threat detection and response (EDR), identity and access management (IAM), multi-factor authentication (MFA), firewalls and intrusion detection and prevention, and vulnerability and patch management. An internal information security audit program is in place to ensure controls remain operational and effective.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jc w:val="both"/>
        <w:spacing w:after="0" w:line="262" w:lineRule="auto"/>
        <w:rPr>
          <w:sz w:val="20"/>
          <w:szCs w:val="20"/>
          <w:color w:val="auto"/>
        </w:rPr>
      </w:pPr>
      <w:r>
        <w:rPr>
          <w:rFonts w:ascii="Times New Roman" w:cs="Times New Roman" w:eastAsia="Times New Roman" w:hAnsi="Times New Roman"/>
          <w:sz w:val="18"/>
          <w:szCs w:val="18"/>
          <w:color w:val="auto"/>
        </w:rPr>
        <w:t>Third-party security firms are used by the Company in different capacities to provide or operate some of these controls and technology systems. Third parties are also used to conduct assessments, such as vulnerability scans and penetration testing of the Company and its systems. The Company uses a variety of processes to address cybersecurity threats related to the use of third-party technology and services.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a written incident response plan ("IRP") and conducts tabletop exercises to enhance incident response preparedness. Disaster recovery plans are used to prepare for the potential for a disruption in technology we rely on. Employees undergo security awareness training, including phishing simulation training, when hired and periodically throughout the year.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executive leadership team meets regularly to address enterprise risks, and cybersecurity is a risk category addressed by that group. In addition to assessing major risks, management identifies and monitors such risks. At least annually, the Company’s executive leadership reviews with the Board of Directors the major risks identified in the enterprise risk management process, as well as the steps identified to mitigate such risks. Each of the business and functional leaders responsible for the management of these identified risks also regularly discuss with the Board changes in assessment of these risks and mitigation plans.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(or third parties it relies on) may not be able to fully, continuously, and effectively implement security controls as intended. As described above, we utilize a risk-based approach and judgment to determine the security controls to implement and it is possible we may not implement appropriate controls if we do not recognize or underestimate a particular risk. In addition, security controls, no matter how well designed or implemented, may only mitigate and not fully eliminate risks. And events, when detected by security tools or third parties, may not always be immediately understood or acted upon.</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activated their incident response plan to address a security incident in 2024. The Company is not aware of additional cybersecurity threats or any material cybersecurity incidents to date that have materially affected or are reasonably likely to materially affect us, including our business strategy, results of operations, or financial condition.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10, 2024, we detected unauthorized occurrences on a portion of our information technology (IT) systems. Upon detecting the unauthorized occurrences, we immediately began taking steps to contain, assess and remediate the cybersecurity incident, including beginning an investigation with leading external cybersecurity specialists, activating our incident response plan, and shutting down some systems. As a result of these and other measures, we believe the threat actor was ejected from our IT systems on July 10, 2024.</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we shut down some of our systems, we experienced disruption to certain of our operations, including interrupted manufacturing at our domestic plants and delayed order fulfillment for our retail network and delay of some wholesale shipments. Within a few days of the incident, we were able to resume retail order fulfillment and caught up on fulfilling wholesale orders that were delayed as a result of the cybersecurity incident. We have fully restored the IT systems and data and our investigation has not found evidence that any of our core operating systems for manufacturing, wholesale and retail order processing and fulfillment, or financial reporting were impacted.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believe the impacts were not material to our financial condition and results of operations for the fiscal year, we estimate that between $1,000 and $2,000 of sales were lost due to the shutdown during the cybersecurity incident. During the third quarter of 2024, we also incurred legal and remediation costs related to the incident of approximately $98 which are included in selling, general and administrative expenses. In addition, cost of goods sold for year ended November 30, 2024 includes $609 for wages paid to hourly production employees during the work stoppage resulting from the cybersecurity incident. Because no inventory was produced during the temporary shutdown of our manufacturing operations, these wages were charged directly to expense. We are seeking reimbursement of certain costs, expenses and losses stemming from the cybersecurity incident and have submitted a claim to our cybersecurity insurer. We expect final resolution and payment of the claim during the first half of 2025.</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Additionally, in Item 1A Risk Factors under the heading of "Risks Related to Electronic Data Processing and Digital Information,” forward-looking cybersecurity threats that could have a material impact on the Company are discussed. That section of Item 1A should be read in conjunction with this Item 1C.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Chief Information Officer ("CIO") holds primary oversight responsibility for the team managing the development, operation, and maintenance of our information security program. This team also has responsibility to maintain and enhance the Company’s written cyber security incident response plan, which identifies incident severity classifications and serves as a trigger for escalation for the response team.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With over 25 years of experience across diverse IT technologies, the CIO brings extensive expertise to the role. The CIO is also a member of the Company’s executive leadership team, meeting regularly with the CEO, CFO, and other senior leaders. The CIO directly reports to the Board at least annually, addressing cybersecurity risks and strategy, and attends Board meetings to discuss cybersecurity matters as needed. The Audit Committee provides oversight of the information security program. The CIO reports to the Audit Committee annually on cybersecurity risks and related internal controls and attends quarterly meetings to provide updates and address any questions regarding cybersecurity and information technology systems.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2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27"/>
        </w:trPr>
        <w:tc>
          <w:tcPr>
            <w:tcW w:w="410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We own the following facilities, by segment:</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6"/>
        </w:trPr>
        <w:tc>
          <w:tcPr>
            <w:tcW w:w="410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Wholesale Segment:</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7"/>
        </w:trPr>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6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34"/>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r>
      <w:tr>
        <w:trPr>
          <w:trHeight w:val="213"/>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Wood Division</w:t>
            </w:r>
          </w:p>
        </w:tc>
        <w:tc>
          <w:tcPr>
            <w:tcW w:w="26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Martinsville, Va.</w:t>
            </w:r>
          </w:p>
        </w:tc>
      </w:tr>
      <w:tr>
        <w:trPr>
          <w:trHeight w:val="213"/>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Bassett Upholstery Division</w:t>
            </w:r>
          </w:p>
        </w:tc>
        <w:tc>
          <w:tcPr>
            <w:tcW w:w="26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Newton, N.C.</w:t>
            </w:r>
          </w:p>
        </w:tc>
      </w:tr>
      <w:tr>
        <w:trPr>
          <w:trHeight w:val="213"/>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Upholstery Division</w:t>
            </w:r>
          </w:p>
        </w:tc>
        <w:tc>
          <w:tcPr>
            <w:tcW w:w="26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Haleyville, Alabama</w:t>
            </w:r>
          </w:p>
        </w:tc>
      </w:tr>
      <w:tr>
        <w:trPr>
          <w:trHeight w:val="232"/>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Warehouses</w:t>
            </w:r>
          </w:p>
        </w:tc>
        <w:tc>
          <w:tcPr>
            <w:tcW w:w="26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Bassett, Va.</w:t>
            </w:r>
          </w:p>
        </w:tc>
      </w:tr>
    </w:tbl>
    <w:p>
      <w:pPr>
        <w:spacing w:after="0" w:line="176" w:lineRule="exact"/>
        <w:rPr>
          <w:sz w:val="20"/>
          <w:szCs w:val="20"/>
          <w:color w:val="auto"/>
        </w:rPr>
      </w:pPr>
    </w:p>
    <w:p>
      <w:pPr>
        <w:jc w:val="both"/>
        <w:ind w:left="480"/>
        <w:spacing w:after="0" w:line="257" w:lineRule="auto"/>
        <w:rPr>
          <w:sz w:val="20"/>
          <w:szCs w:val="20"/>
          <w:color w:val="auto"/>
        </w:rPr>
      </w:pPr>
      <w:r>
        <w:rPr>
          <w:rFonts w:ascii="Times New Roman" w:cs="Times New Roman" w:eastAsia="Times New Roman" w:hAnsi="Times New Roman"/>
          <w:sz w:val="18"/>
          <w:szCs w:val="18"/>
          <w:color w:val="auto"/>
        </w:rPr>
        <w:t>In general, these facilities are suitable and are considered to be adequate for the continuing operations involved. All facilities are in regular use and provide adequate capacity for our manufacturing and warehousing needs. In addition to the owned properties shown above, we lease facilities in Newton, North Carolina for the manufacturing of upholstered furniture and the manufacturing and warehousing operations of Lane Venture and Bassett Outdoor.</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Retail Segment:</w:t>
      </w:r>
    </w:p>
    <w:p>
      <w:pPr>
        <w:spacing w:after="0" w:line="220" w:lineRule="exact"/>
        <w:rPr>
          <w:sz w:val="20"/>
          <w:szCs w:val="20"/>
          <w:color w:val="auto"/>
        </w:rPr>
      </w:pPr>
    </w:p>
    <w:p>
      <w:pPr>
        <w:jc w:val="both"/>
        <w:ind w:left="480"/>
        <w:spacing w:after="0" w:line="277" w:lineRule="auto"/>
        <w:rPr>
          <w:sz w:val="20"/>
          <w:szCs w:val="20"/>
          <w:color w:val="auto"/>
        </w:rPr>
      </w:pPr>
      <w:r>
        <w:rPr>
          <w:rFonts w:ascii="Times New Roman" w:cs="Times New Roman" w:eastAsia="Times New Roman" w:hAnsi="Times New Roman"/>
          <w:sz w:val="18"/>
          <w:szCs w:val="18"/>
          <w:color w:val="auto"/>
        </w:rPr>
        <w:t>Real estate associated with our retail segment consists of eight owned locations with an aggregate square footage of 203,465 and a net book value of $24,137. These stores are located as follows:</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Concord, North Carolina</w:t>
            </w:r>
          </w:p>
        </w:tc>
        <w:tc>
          <w:tcPr>
            <w:tcW w:w="5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Greensboro, North Carolina</w:t>
            </w:r>
          </w:p>
        </w:tc>
      </w:t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Greenville, South Carolina</w:t>
            </w:r>
          </w:p>
        </w:tc>
        <w:tc>
          <w:tcPr>
            <w:tcW w:w="5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Fredericksburg, Virginia</w:t>
            </w: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Texas</w:t>
            </w:r>
          </w:p>
        </w:tc>
        <w:tc>
          <w:tcPr>
            <w:tcW w:w="5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Louisville, Kentucky</w:t>
            </w:r>
          </w:p>
        </w:tc>
      </w:tr>
      <w:tr>
        <w:trPr>
          <w:trHeight w:val="232"/>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5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Tampa, Florida</w:t>
            </w:r>
          </w:p>
        </w:tc>
      </w:tr>
    </w:tbl>
    <w:p>
      <w:pPr>
        <w:spacing w:after="0" w:line="176" w:lineRule="exact"/>
        <w:rPr>
          <w:sz w:val="20"/>
          <w:szCs w:val="20"/>
          <w:color w:val="auto"/>
        </w:rPr>
      </w:pPr>
    </w:p>
    <w:p>
      <w:pPr>
        <w:ind w:left="480"/>
        <w:spacing w:after="0" w:line="277" w:lineRule="auto"/>
        <w:rPr>
          <w:sz w:val="20"/>
          <w:szCs w:val="20"/>
          <w:color w:val="auto"/>
        </w:rPr>
      </w:pPr>
      <w:r>
        <w:rPr>
          <w:rFonts w:ascii="Times New Roman" w:cs="Times New Roman" w:eastAsia="Times New Roman" w:hAnsi="Times New Roman"/>
          <w:sz w:val="18"/>
          <w:szCs w:val="18"/>
          <w:color w:val="auto"/>
        </w:rPr>
        <w:t>Of these locations, two are subject to land leases. Our remaining 50 store locations are leased from third parties. In addition to retail stores, we also lease eleven locations for use as regional warehouses and home delivery distribution centers.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Corporate and Other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own our corporate office building, which includes an annex, located in Bassett, Va.</w:t>
      </w:r>
    </w:p>
    <w:p>
      <w:pPr>
        <w:spacing w:after="0" w:line="220" w:lineRule="exact"/>
        <w:rPr>
          <w:sz w:val="20"/>
          <w:szCs w:val="20"/>
          <w:color w:val="auto"/>
        </w:rPr>
      </w:pPr>
    </w:p>
    <w:p>
      <w:pPr>
        <w:ind w:left="480" w:right="20"/>
        <w:spacing w:after="0" w:line="277" w:lineRule="auto"/>
        <w:rPr>
          <w:sz w:val="20"/>
          <w:szCs w:val="20"/>
          <w:color w:val="auto"/>
        </w:rPr>
      </w:pPr>
      <w:r>
        <w:rPr>
          <w:rFonts w:ascii="Times New Roman" w:cs="Times New Roman" w:eastAsia="Times New Roman" w:hAnsi="Times New Roman"/>
          <w:sz w:val="18"/>
          <w:szCs w:val="18"/>
          <w:color w:val="auto"/>
        </w:rPr>
        <w:t>See Note 15 to the Consolidated Financial Statements included under Item 8 of this Annual Report for more information with respect to our operating lease obligations.</w:t>
      </w:r>
    </w:p>
    <w:p>
      <w:pPr>
        <w:spacing w:after="0" w:line="3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color w:val="auto"/>
        </w:rPr>
        <w:t>LEGAL PROCEEDINGS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INFORMATION ABOUT OUR EXECUTIVE OFFICERS</w:t>
      </w:r>
    </w:p>
    <w:p>
      <w:pPr>
        <w:spacing w:after="0" w:line="220"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color w:val="auto"/>
        </w:rPr>
        <w:t>John E. Bassett III, 66, has been with the Company since 1981 and served in various wood manufacturing and product sourcing capacities, including Vice President, Wood Manufacturing; Vice-President, Global Sourcing from 2001 to 2007 and Vice President, Wood in 2008. He was appointed Senior Vice President, Wood in 2009. In 2019, he was also promoted to the position of Senior Vice President, Chief Operations Officer.</w:t>
      </w:r>
    </w:p>
    <w:p>
      <w:pPr>
        <w:spacing w:after="0" w:line="176"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color w:val="auto"/>
        </w:rPr>
        <w:t>Bruce R. Cohenour, 66, has been with the Company since 2011, starting as Senior Vice President of Upholstery Merchandising. In 2013, he was promoted to Senior Vice President of Sales and Merchandising. In 2019, he was appointed Senior Vice President, Chief Sales Officer. Prior to joining Bassett, Mr. Cohenour was with Hooker Furniture Corp. from 2007 through 2010, last serving as President of the Case Goods Division.</w:t>
      </w:r>
    </w:p>
    <w:p>
      <w:pPr>
        <w:spacing w:after="0" w:line="176" w:lineRule="exact"/>
        <w:rPr>
          <w:sz w:val="20"/>
          <w:szCs w:val="20"/>
          <w:color w:val="auto"/>
        </w:rPr>
      </w:pPr>
    </w:p>
    <w:p>
      <w:pPr>
        <w:jc w:val="both"/>
        <w:ind w:left="480"/>
        <w:spacing w:after="0" w:line="257" w:lineRule="auto"/>
        <w:rPr>
          <w:sz w:val="20"/>
          <w:szCs w:val="20"/>
          <w:color w:val="auto"/>
        </w:rPr>
      </w:pPr>
      <w:r>
        <w:rPr>
          <w:rFonts w:ascii="Times New Roman" w:cs="Times New Roman" w:eastAsia="Times New Roman" w:hAnsi="Times New Roman"/>
          <w:sz w:val="18"/>
          <w:szCs w:val="18"/>
          <w:color w:val="auto"/>
        </w:rPr>
        <w:t>J. Michael Daniel, 63, joined the Company in 2007 as Corporate Controller. From April 2009 through December 2009, he served as Corporate Controller and Interim Chief Financial Officer. In January 2010, he was appointed Vice President and Chief Accounting Officer. In January 2013, he was promoted to Senior Vice President and Chief Financial Officer. In 2019, he was also promoted to the position of Senior Vice President, Chief Financial and Administrative Officer.</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Jay R. Hervey, Esq., 65, has served as the General Counsel, Vice President and Secretary for the Company since 1997.</w:t>
      </w:r>
    </w:p>
    <w:p>
      <w:pPr>
        <w:spacing w:after="0" w:line="220" w:lineRule="exact"/>
        <w:rPr>
          <w:sz w:val="20"/>
          <w:szCs w:val="20"/>
          <w:color w:val="auto"/>
        </w:rPr>
      </w:pPr>
    </w:p>
    <w:p>
      <w:pPr>
        <w:jc w:val="both"/>
        <w:ind w:left="480" w:right="20"/>
        <w:spacing w:after="0" w:line="277" w:lineRule="auto"/>
        <w:rPr>
          <w:sz w:val="20"/>
          <w:szCs w:val="20"/>
          <w:color w:val="auto"/>
        </w:rPr>
      </w:pPr>
      <w:r>
        <w:rPr>
          <w:rFonts w:ascii="Times New Roman" w:cs="Times New Roman" w:eastAsia="Times New Roman" w:hAnsi="Times New Roman"/>
          <w:sz w:val="18"/>
          <w:szCs w:val="18"/>
          <w:color w:val="auto"/>
        </w:rPr>
        <w:t>Robert H. Spilman, Jr., 68, has been with the Company since 1984. Since 2000, he has served as Chief Executive Officer and President, and in 2016 also became the Chairman of the Board of Directors.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0" w:lineRule="exact"/>
        <w:rPr>
          <w:sz w:val="20"/>
          <w:szCs w:val="20"/>
          <w:color w:val="auto"/>
        </w:rPr>
      </w:pPr>
    </w:p>
    <w:p>
      <w:pPr>
        <w:ind w:left="1280" w:right="440" w:hanging="1280"/>
        <w:spacing w:after="0" w:line="277"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color w:val="auto"/>
        </w:rPr>
        <w:t>MARKET FOR REGISTRANT’S COMMON EQUITY, RELATED STOCKHOLDER MATTERS AND ISSUER PURCHASES OF EQUITY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Bassett’s common stock trades on the NASDAQ global select market system under the symbol “BSET.” We had approximately 6,300 beneficial stockholders at January 23,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authorized to repurchase Company stock under a plan which was originally announced in 1998. On March 9, 2022, the Board of Directors increased the remaining limit of the repurchase plan to $40,000. The repurchase program does not include a specific timetable or price targets and may be suspended or terminated at any time. Shares may be purchased through open market or privately negotiated transactions at the discretion of management based on its evaluation of prevailing market conditions and other factors. The following table summarizes the stock repurchase activity for the three months ended November 30, 2024, and the approximate dollar value of shares that may yet be repurchased pursuant to our stock repurchase program: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3"/>
        </w:trPr>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3"/>
        </w:trPr>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of Shares that May</w:t>
            </w:r>
          </w:p>
        </w:tc>
      </w:tr>
      <w:tr>
        <w:trPr>
          <w:trHeight w:val="213"/>
        </w:trPr>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3"/>
        </w:trPr>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Announced Plans</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3"/>
        </w:trPr>
        <w:tc>
          <w:tcPr>
            <w:tcW w:w="8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the Plans</w:t>
            </w:r>
          </w:p>
        </w:tc>
      </w:tr>
      <w:tr>
        <w:trPr>
          <w:trHeight w:val="236"/>
        </w:trPr>
        <w:tc>
          <w:tcPr>
            <w:tcW w:w="8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2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07"/>
        </w:trPr>
        <w:tc>
          <w:tcPr>
            <w:tcW w:w="8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2024 - October 5, 2024</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20,696</w:t>
            </w:r>
          </w:p>
        </w:tc>
      </w:tr>
      <w:tr>
        <w:trPr>
          <w:trHeight w:val="21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6 - November 2, 2024</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2,171</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20,665</w:t>
            </w:r>
          </w:p>
        </w:tc>
      </w:tr>
      <w:tr>
        <w:trPr>
          <w:trHeight w:val="213"/>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3, 2024 - November 30, 2024</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17,645</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14.81</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20,403</w:t>
            </w:r>
          </w:p>
        </w:tc>
      </w:tr>
      <w:tr>
        <w:trPr>
          <w:trHeight w:val="641"/>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86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7" w:name="page18"/>
    <w:bookmarkEnd w:id="17"/>
    <w:p>
      <w:pPr>
        <w:ind w:left="3640" w:right="1720" w:hanging="363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in thousands except share and per share data)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website at www.bassettfurniture.com. We were founded in 1902 and incorporated under the laws of Virginia in 1930. Our rich 122-year history has instilled the principles of quality, value, and integrity in everything we do, while simultaneously providing us with the expertise to respond to ever-changing consumer tastes and meet the demands of a global economy.</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With 87 BHF stores at November 30, 2024,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strategies have become the primary vehicle for brand advertising and customer acquisition. We expect to supplement the digital outreach strategies in 2025 with added direct mail and television.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Although e-commerce sales continue to be small relative to in-store sales, we are pleased that we have seen a greater than 20% e-commerce sales increase over the back half of the fiscal year. We will continue to invest in ongoing improvements to the aesthetics and user experience that we provide on our website. While we have made it easier to purchase on-line, we will not compromise our in-store experience or the quality of our in-home makeover capabilities.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Inc. (“Noa Home”) (see Note 3 to the Consolidated Financial Statements for additional information regarding the acquisition).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November 30, 2024, we have substantially completed the liquidation of Noa Home’s assets and liabilities. In the second quarter of 2024 we recognized non-cash charges totaling $2,401 related to the impairment of certain long-lived assets of Noa Home and the establishment of a reserve against Noa Home’s remaining inventory at that time. Upon substantially completing the liquidation of Noa Home at the end of the fourth quarter of 2024, we recognized a charge of $962 associated with the transfer of the cumulative translation losses out of accumulated other comprehensive income.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 In the second quarter of 2023, we debuted the Bassett Outdoor contract line at the HD Expo Show in Las Vegas targeting the hospitality segment.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a factory in Martinsville, Virginia that assembles and finishes our custom bedroom and dining offerings. We also own a facility in Haleyville, Alabama where we manufacture aluminum frames for our outdoor furniture.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Approximately 80% of our wholesale revenues are derived from products that are manufactured in the United States using a mix of domestic and globally sourced components and raw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the Assets of Zenith Freight Lines, LLC</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first quarter of 2022, we entered into a definitive agreement to sell substantially all of the assets of our wholly-owned subsidiary, Zenith, to J.B. Hunt for $86,939 in cash (see Note 18 to the Consolidated Financial Statements for additional information regarding the sale of Zenith). On February 28, 2022 the transaction was completed with us receiving $85,521 after the payment of $418 in certain transaction costs and the funding of $1,000 held in escrow, which was released to us on the first anniversary of the sale. The final purchase price was subject to a customary post-closing working capital adjustment, which was settled in the amount of $987 resulting in a pre-tax gain of $52,534 on this transaction. As a result of the sale, the operations of our former logistical services segment, which consisted entirely of the operations of Zenith, are presented in the accompanying condensed consolidated statements of income and in the following discussion as discontinued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10, 2024, we detected unauthorized occurrences on a portion of our information technology (IT) systems. Upon detecting the unauthorized occurrences, we immediately began taking steps to contain, assess and remediate the cybersecurity incident, including beginning an investigation with leading external cybersecurity specialists, activating our incident response plan, and shutting down some systems. As a result of these and other measures, we believe the threat actor was ejected from our IT systems on July 10, 2024.</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we shut down some of our systems, we experienced disruption to certain of our operations, including interrupted manufacturing at our domestic plants and delayed order fulfillment for our retail network and delay of some wholesale shipments. Within a few days of the incident, we were able to resume retail order fulfillment and caught up on fulfilling wholesale orders that were delayed as a result of the cybersecurity incident. We have fully restored the IT systems and data and our investigation has not found evidence that any of our core operating systems for manufacturing, wholesale and retail order processing and fulfillment, or financial reporting were impacted.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believe the impacts were not material to our financial condition and results of operations for the fiscal year, we estimate that between $1,000 and $2,000 of sales were lost due to the shutdown during the cybersecurity incident. During the third quarter of 2024, we also incurred legal and remediation costs related to the incident of approximately $98 which are included in selling, general and administrative expenses. In addition, cost of goods sold for fiscal 2024 includes $609 for wages paid to hourly production employees during the work stoppage resulting from the cybersecurity incident. Because no inventory was produced during the temporary shutdown of our manufacturing operations, these wages were charged directly to expense. We are seeking reimbursement of certain costs, expenses and losses stemming from the cybersecurity incident and have submitted a claim to our cybersecurity insurer. We expect final resolution and payment of the claim during the first half of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Analysis of Continuing Operations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discussion provides an analysis of our results of operations and reasons for material changes therein for fiscal year 2024 as compared to fiscal year 2023. For additional analysis of the fiscal year 2023 results as compared to fiscal year 2022, see “Analysis of Operations” in Part II, Item 7, Management’s Discussion and Analysis of Financial Condition and Results of Operations in the Company’s 2023 Annual Report on Form 10-K, filed with the SEC on January 25, 2024.</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sales revenue, cost of furniture and accessories sold, selling, general and administrative (“SG&amp;A”) expense, other charges, and income from operations were as follows for the years ended November 30, 2024, November 25, 2023 and November 26,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Comparative Change</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right"/>
              <w:ind w:right="620"/>
              <w:spacing w:after="0" w:line="140"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80" w:type="dxa"/>
            <w:vAlign w:val="bottom"/>
          </w:tcPr>
          <w:p>
            <w:pPr>
              <w:spacing w:after="0"/>
              <w:rPr>
                <w:sz w:val="12"/>
                <w:szCs w:val="12"/>
                <w:color w:val="auto"/>
              </w:rPr>
            </w:pPr>
          </w:p>
        </w:tc>
        <w:tc>
          <w:tcPr>
            <w:tcW w:w="1460" w:type="dxa"/>
            <w:vAlign w:val="bottom"/>
            <w:gridSpan w:val="2"/>
          </w:tcPr>
          <w:p>
            <w:pPr>
              <w:jc w:val="right"/>
              <w:ind w:right="309"/>
              <w:spacing w:after="0" w:line="140"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9"/>
              <w:spacing w:after="0" w:line="140" w:lineRule="exact"/>
              <w:rPr>
                <w:sz w:val="20"/>
                <w:szCs w:val="20"/>
                <w:color w:val="auto"/>
              </w:rPr>
            </w:pPr>
            <w:r>
              <w:rPr>
                <w:rFonts w:ascii="Times New Roman" w:cs="Times New Roman" w:eastAsia="Times New Roman" w:hAnsi="Times New Roman"/>
                <w:sz w:val="14"/>
                <w:szCs w:val="14"/>
                <w:b w:val="1"/>
                <w:bCs w:val="1"/>
                <w:color w:val="auto"/>
              </w:rPr>
              <w:t>Dollars</w:t>
            </w:r>
          </w:p>
        </w:tc>
        <w:tc>
          <w:tcPr>
            <w:tcW w:w="700" w:type="dxa"/>
            <w:vAlign w:val="bottom"/>
            <w:tcBorders>
              <w:top w:val="single" w:sz="8" w:color="auto"/>
              <w:bottom w:val="single" w:sz="8" w:color="auto"/>
            </w:tcBorders>
          </w:tcPr>
          <w:p>
            <w:pPr>
              <w:jc w:val="right"/>
              <w:ind w:right="29"/>
              <w:spacing w:after="0" w:line="140"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9"/>
              <w:spacing w:after="0" w:line="140" w:lineRule="exact"/>
              <w:rPr>
                <w:sz w:val="20"/>
                <w:szCs w:val="20"/>
                <w:color w:val="auto"/>
              </w:rPr>
            </w:pPr>
            <w:r>
              <w:rPr>
                <w:rFonts w:ascii="Times New Roman" w:cs="Times New Roman" w:eastAsia="Times New Roman" w:hAnsi="Times New Roman"/>
                <w:sz w:val="14"/>
                <w:szCs w:val="14"/>
                <w:b w:val="1"/>
                <w:bCs w:val="1"/>
                <w:color w:val="auto"/>
              </w:rPr>
              <w:t>Dollars</w:t>
            </w:r>
          </w:p>
        </w:tc>
        <w:tc>
          <w:tcPr>
            <w:tcW w:w="700" w:type="dxa"/>
            <w:vAlign w:val="bottom"/>
            <w:tcBorders>
              <w:top w:val="single" w:sz="8" w:color="auto"/>
              <w:bottom w:val="single" w:sz="8" w:color="auto"/>
            </w:tcBorders>
          </w:tcPr>
          <w:p>
            <w:pPr>
              <w:jc w:val="right"/>
              <w:ind w:right="29"/>
              <w:spacing w:after="0" w:line="140"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sales of furniture and accessories</w:t>
            </w:r>
          </w:p>
        </w:tc>
        <w:tc>
          <w:tcPr>
            <w:tcW w:w="16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329,923</w:t>
            </w: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390,136</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485,601</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(60,213)</w:t>
            </w:r>
          </w:p>
        </w:tc>
        <w:tc>
          <w:tcPr>
            <w:tcW w:w="940" w:type="dxa"/>
            <w:vAlign w:val="bottom"/>
            <w:tcBorders>
              <w:right w:val="single" w:sz="8" w:color="CCEEFF"/>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(95,465)</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Cost of furniture and accessories sold</w:t>
            </w:r>
          </w:p>
        </w:tc>
        <w:tc>
          <w:tcPr>
            <w:tcW w:w="160" w:type="dxa"/>
            <w:vAlign w:val="bottom"/>
          </w:tcPr>
          <w:p>
            <w:pPr>
              <w:spacing w:after="0"/>
              <w:rPr>
                <w:sz w:val="12"/>
                <w:szCs w:val="12"/>
                <w:color w:val="auto"/>
              </w:rPr>
            </w:pPr>
          </w:p>
        </w:tc>
        <w:tc>
          <w:tcPr>
            <w:tcW w:w="1000" w:type="dxa"/>
            <w:vAlign w:val="bottom"/>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150,508</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45.6%</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183,648</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47.1%</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237,262</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2"/>
                <w:szCs w:val="12"/>
                <w:color w:val="auto"/>
              </w:rPr>
            </w:pPr>
          </w:p>
        </w:tc>
        <w:tc>
          <w:tcPr>
            <w:tcW w:w="74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(33,140)</w:t>
            </w:r>
          </w:p>
        </w:tc>
        <w:tc>
          <w:tcPr>
            <w:tcW w:w="9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2"/>
                <w:szCs w:val="12"/>
                <w:color w:val="auto"/>
              </w:rPr>
            </w:pPr>
          </w:p>
        </w:tc>
        <w:tc>
          <w:tcPr>
            <w:tcW w:w="76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(53,614)</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80" w:type="dxa"/>
            <w:vAlign w:val="bottom"/>
            <w:shd w:val="clear" w:color="auto" w:fill="CCEEFF"/>
          </w:tcPr>
          <w:p>
            <w:pPr>
              <w:ind w:left="160"/>
              <w:spacing w:after="0" w:line="140"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89"/>
              <w:spacing w:after="0" w:line="140" w:lineRule="exact"/>
              <w:rPr>
                <w:sz w:val="20"/>
                <w:szCs w:val="20"/>
                <w:color w:val="auto"/>
              </w:rPr>
            </w:pPr>
            <w:r>
              <w:rPr>
                <w:rFonts w:ascii="Times New Roman" w:cs="Times New Roman" w:eastAsia="Times New Roman" w:hAnsi="Times New Roman"/>
                <w:sz w:val="14"/>
                <w:szCs w:val="14"/>
                <w:color w:val="auto"/>
              </w:rPr>
              <w:t>179,415</w:t>
            </w:r>
          </w:p>
        </w:tc>
        <w:tc>
          <w:tcPr>
            <w:tcW w:w="700" w:type="dxa"/>
            <w:vAlign w:val="bottom"/>
            <w:gridSpan w:val="2"/>
            <w:shd w:val="clear" w:color="auto" w:fill="CCEEFF"/>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54.4%</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0" w:lineRule="exact"/>
              <w:rPr>
                <w:sz w:val="20"/>
                <w:szCs w:val="20"/>
                <w:color w:val="auto"/>
              </w:rPr>
            </w:pPr>
            <w:r>
              <w:rPr>
                <w:rFonts w:ascii="Times New Roman" w:cs="Times New Roman" w:eastAsia="Times New Roman" w:hAnsi="Times New Roman"/>
                <w:sz w:val="14"/>
                <w:szCs w:val="14"/>
                <w:color w:val="auto"/>
              </w:rPr>
              <w:t>206,488</w:t>
            </w:r>
          </w:p>
        </w:tc>
        <w:tc>
          <w:tcPr>
            <w:tcW w:w="700" w:type="dxa"/>
            <w:vAlign w:val="bottom"/>
            <w:tcBorders>
              <w:right w:val="single" w:sz="8" w:color="CCEEFF"/>
            </w:tcBorders>
            <w:gridSpan w:val="2"/>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52.9%</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0" w:lineRule="exact"/>
              <w:rPr>
                <w:sz w:val="20"/>
                <w:szCs w:val="20"/>
                <w:color w:val="auto"/>
              </w:rPr>
            </w:pPr>
            <w:r>
              <w:rPr>
                <w:rFonts w:ascii="Times New Roman" w:cs="Times New Roman" w:eastAsia="Times New Roman" w:hAnsi="Times New Roman"/>
                <w:sz w:val="14"/>
                <w:szCs w:val="14"/>
                <w:color w:val="auto"/>
              </w:rPr>
              <w:t>248,339</w:t>
            </w:r>
          </w:p>
        </w:tc>
        <w:tc>
          <w:tcPr>
            <w:tcW w:w="700" w:type="dxa"/>
            <w:vAlign w:val="bottom"/>
            <w:tcBorders>
              <w:right w:val="single" w:sz="8" w:color="CCEEFF"/>
            </w:tcBorders>
            <w:gridSpan w:val="2"/>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rPr>
              <w:t>(27,073)</w:t>
            </w:r>
          </w:p>
        </w:tc>
        <w:tc>
          <w:tcPr>
            <w:tcW w:w="940" w:type="dxa"/>
            <w:vAlign w:val="bottom"/>
            <w:tcBorders>
              <w:right w:val="single" w:sz="8" w:color="CCEEFF"/>
            </w:tcBorders>
            <w:gridSpan w:val="2"/>
            <w:shd w:val="clear" w:color="auto" w:fill="CCEEFF"/>
          </w:tcPr>
          <w:p>
            <w:pPr>
              <w:jc w:val="right"/>
              <w:ind w:right="120"/>
              <w:spacing w:after="0" w:line="140" w:lineRule="exact"/>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0" w:lineRule="exact"/>
              <w:rPr>
                <w:sz w:val="20"/>
                <w:szCs w:val="20"/>
                <w:color w:val="auto"/>
              </w:rPr>
            </w:pPr>
            <w:r>
              <w:rPr>
                <w:rFonts w:ascii="Times New Roman" w:cs="Times New Roman" w:eastAsia="Times New Roman" w:hAnsi="Times New Roman"/>
                <w:sz w:val="14"/>
                <w:szCs w:val="14"/>
                <w:color w:val="auto"/>
              </w:rPr>
              <w:t>(41,851)</w:t>
            </w:r>
          </w:p>
        </w:tc>
        <w:tc>
          <w:tcPr>
            <w:tcW w:w="820" w:type="dxa"/>
            <w:vAlign w:val="bottom"/>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SG&amp;A</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187,527</w:t>
            </w: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56.8%</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205,227</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52.6%</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218,069</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(17,700)</w:t>
            </w:r>
          </w:p>
        </w:tc>
        <w:tc>
          <w:tcPr>
            <w:tcW w:w="940" w:type="dxa"/>
            <w:vAlign w:val="bottom"/>
            <w:tcBorders>
              <w:right w:val="single" w:sz="8" w:color="CCEEFF"/>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(12,842)</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Asset impairment charges</w:t>
            </w:r>
          </w:p>
        </w:tc>
        <w:tc>
          <w:tcPr>
            <w:tcW w:w="160" w:type="dxa"/>
            <w:vAlign w:val="bottom"/>
          </w:tcPr>
          <w:p>
            <w:pPr>
              <w:spacing w:after="0"/>
              <w:rPr>
                <w:sz w:val="12"/>
                <w:szCs w:val="12"/>
                <w:color w:val="auto"/>
              </w:rPr>
            </w:pPr>
          </w:p>
        </w:tc>
        <w:tc>
          <w:tcPr>
            <w:tcW w:w="1000" w:type="dxa"/>
            <w:vAlign w:val="bottom"/>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5,515</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2"/>
                <w:szCs w:val="12"/>
                <w:color w:val="auto"/>
              </w:rPr>
            </w:pPr>
          </w:p>
        </w:tc>
        <w:tc>
          <w:tcPr>
            <w:tcW w:w="740" w:type="dxa"/>
            <w:vAlign w:val="bottom"/>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5,515</w:t>
            </w:r>
          </w:p>
        </w:tc>
        <w:tc>
          <w:tcPr>
            <w:tcW w:w="9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2"/>
                <w:szCs w:val="12"/>
                <w:color w:val="auto"/>
              </w:rPr>
            </w:pPr>
          </w:p>
        </w:tc>
        <w:tc>
          <w:tcPr>
            <w:tcW w:w="760" w:type="dxa"/>
            <w:vAlign w:val="bottom"/>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on contract abandonment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1,240</w:t>
            </w: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1,240</w:t>
            </w:r>
          </w:p>
        </w:tc>
        <w:tc>
          <w:tcPr>
            <w:tcW w:w="940" w:type="dxa"/>
            <w:vAlign w:val="bottom"/>
            <w:tcBorders>
              <w:right w:val="single" w:sz="8" w:color="CCEEFF"/>
            </w:tcBorders>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NM</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Loss upon realization of cumulative</w:t>
            </w:r>
          </w:p>
        </w:tc>
        <w:tc>
          <w:tcPr>
            <w:tcW w:w="160" w:type="dxa"/>
            <w:vAlign w:val="bottom"/>
          </w:tcPr>
          <w:p>
            <w:pPr>
              <w:spacing w:after="0"/>
              <w:rPr>
                <w:sz w:val="10"/>
                <w:szCs w:val="10"/>
                <w:color w:val="auto"/>
              </w:rPr>
            </w:pPr>
          </w:p>
        </w:tc>
        <w:tc>
          <w:tcPr>
            <w:tcW w:w="100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962</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0"/>
                <w:szCs w:val="10"/>
                <w:color w:val="auto"/>
              </w:rPr>
            </w:pPr>
          </w:p>
        </w:tc>
        <w:tc>
          <w:tcPr>
            <w:tcW w:w="9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0"/>
                <w:szCs w:val="10"/>
                <w:color w:val="auto"/>
              </w:rPr>
            </w:pPr>
          </w:p>
        </w:tc>
        <w:tc>
          <w:tcPr>
            <w:tcW w:w="9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0"/>
                <w:szCs w:val="10"/>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962</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0"/>
                <w:szCs w:val="10"/>
                <w:color w:val="auto"/>
              </w:rPr>
            </w:pPr>
          </w:p>
        </w:tc>
        <w:tc>
          <w:tcPr>
            <w:tcW w:w="7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translation adjustment</w:t>
            </w: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Restructuring charges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440</w:t>
            </w: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440</w:t>
            </w:r>
          </w:p>
        </w:tc>
        <w:tc>
          <w:tcPr>
            <w:tcW w:w="940" w:type="dxa"/>
            <w:vAlign w:val="bottom"/>
            <w:tcBorders>
              <w:right w:val="single" w:sz="8" w:color="CCEEFF"/>
            </w:tcBorders>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NM</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Goodwill impairment charge</w:t>
            </w:r>
          </w:p>
        </w:tc>
        <w:tc>
          <w:tcPr>
            <w:tcW w:w="160" w:type="dxa"/>
            <w:vAlign w:val="bottom"/>
          </w:tcPr>
          <w:p>
            <w:pPr>
              <w:spacing w:after="0"/>
              <w:rPr>
                <w:sz w:val="12"/>
                <w:szCs w:val="12"/>
                <w:color w:val="auto"/>
              </w:rPr>
            </w:pPr>
          </w:p>
        </w:tc>
        <w:tc>
          <w:tcPr>
            <w:tcW w:w="1000" w:type="dxa"/>
            <w:vAlign w:val="bottom"/>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5,409</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2"/>
                <w:szCs w:val="12"/>
                <w:color w:val="auto"/>
              </w:rPr>
            </w:pPr>
          </w:p>
        </w:tc>
        <w:tc>
          <w:tcPr>
            <w:tcW w:w="74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(5,409)</w:t>
            </w:r>
          </w:p>
        </w:tc>
        <w:tc>
          <w:tcPr>
            <w:tcW w:w="9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2"/>
                <w:szCs w:val="12"/>
                <w:color w:val="auto"/>
              </w:rPr>
            </w:pPr>
          </w:p>
        </w:tc>
        <w:tc>
          <w:tcPr>
            <w:tcW w:w="760" w:type="dxa"/>
            <w:vAlign w:val="bottom"/>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5,409</w:t>
            </w:r>
          </w:p>
        </w:tc>
        <w:tc>
          <w:tcPr>
            <w:tcW w:w="82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Gain on revaluation of contingent</w:t>
            </w: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1,013</w:t>
            </w: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(1,013)</w:t>
            </w:r>
          </w:p>
        </w:tc>
        <w:tc>
          <w:tcPr>
            <w:tcW w:w="9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1,013</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consideration</w:t>
            </w: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Gain on sale of real estate</w:t>
            </w:r>
          </w:p>
        </w:tc>
        <w:tc>
          <w:tcPr>
            <w:tcW w:w="160" w:type="dxa"/>
            <w:vAlign w:val="bottom"/>
          </w:tcPr>
          <w:p>
            <w:pPr>
              <w:spacing w:after="0"/>
              <w:rPr>
                <w:sz w:val="12"/>
                <w:szCs w:val="12"/>
                <w:color w:val="auto"/>
              </w:rPr>
            </w:pPr>
          </w:p>
        </w:tc>
        <w:tc>
          <w:tcPr>
            <w:tcW w:w="1000" w:type="dxa"/>
            <w:vAlign w:val="bottom"/>
          </w:tcPr>
          <w:p>
            <w:pPr>
              <w:jc w:val="right"/>
              <w:ind w:right="38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2"/>
                <w:szCs w:val="12"/>
                <w:color w:val="auto"/>
              </w:rPr>
            </w:pPr>
          </w:p>
        </w:tc>
        <w:tc>
          <w:tcPr>
            <w:tcW w:w="940" w:type="dxa"/>
            <w:vAlign w:val="bottom"/>
          </w:tcPr>
          <w:p>
            <w:pPr>
              <w:jc w:val="right"/>
              <w:ind w:right="329"/>
              <w:spacing w:after="0" w:line="147" w:lineRule="exact"/>
              <w:rPr>
                <w:sz w:val="20"/>
                <w:szCs w:val="20"/>
                <w:color w:val="auto"/>
              </w:rPr>
            </w:pPr>
            <w:r>
              <w:rPr>
                <w:rFonts w:ascii="Times New Roman" w:cs="Times New Roman" w:eastAsia="Times New Roman" w:hAnsi="Times New Roman"/>
                <w:sz w:val="14"/>
                <w:szCs w:val="14"/>
                <w:color w:val="auto"/>
              </w:rPr>
              <w:t>4,595</w:t>
            </w:r>
          </w:p>
        </w:tc>
        <w:tc>
          <w:tcPr>
            <w:tcW w:w="7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2"/>
                <w:szCs w:val="12"/>
                <w:color w:val="auto"/>
              </w:rPr>
            </w:pPr>
          </w:p>
        </w:tc>
        <w:tc>
          <w:tcPr>
            <w:tcW w:w="740" w:type="dxa"/>
            <w:vAlign w:val="bottom"/>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2"/>
                <w:szCs w:val="12"/>
                <w:color w:val="auto"/>
              </w:rPr>
            </w:pPr>
          </w:p>
        </w:tc>
        <w:tc>
          <w:tcPr>
            <w:tcW w:w="76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(4,595)</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3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Income (loss) from continuing</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(16,269)</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(3,135)</w:t>
            </w: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34,865</w:t>
            </w: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(13,134)</w:t>
            </w:r>
          </w:p>
        </w:tc>
        <w:tc>
          <w:tcPr>
            <w:tcW w:w="9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418.9%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(38,000)</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operations</w:t>
            </w:r>
          </w:p>
        </w:tc>
        <w:tc>
          <w:tcPr>
            <w:tcW w:w="1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940" w:type="dxa"/>
            <w:vAlign w:val="bottom"/>
            <w:tcBorders>
              <w:right w:val="single" w:sz="8" w:color="CCEEFF"/>
            </w:tcBorders>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net sales by segment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40" w:type="dxa"/>
            <w:vAlign w:val="bottom"/>
          </w:tcPr>
          <w:p>
            <w:pPr>
              <w:spacing w:after="0"/>
              <w:rPr>
                <w:sz w:val="17"/>
                <w:szCs w:val="17"/>
                <w:color w:val="auto"/>
              </w:rPr>
            </w:pP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207,462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248,911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324,569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(41,449)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(75,658)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(87,021)</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(103,519)</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(125,889)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16,498</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22,370</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(24,951)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7"/>
                <w:szCs w:val="17"/>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(53,288)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235,940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285,119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(31,377)</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(49,179)</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6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&amp; Other - Noa Home</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2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77"/>
              <w:spacing w:after="0" w:line="16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3"/>
                <w:szCs w:val="13"/>
                <w:color w:val="auto"/>
              </w:rPr>
            </w:pPr>
          </w:p>
        </w:tc>
        <w:tc>
          <w:tcPr>
            <w:tcW w:w="9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7,002</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67"/>
        </w:trPr>
        <w:tc>
          <w:tcPr>
            <w:tcW w:w="3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jc w:val="right"/>
              <w:ind w:right="137"/>
              <w:spacing w:after="0" w:line="67" w:lineRule="exact"/>
              <w:rPr>
                <w:sz w:val="20"/>
                <w:szCs w:val="20"/>
                <w:color w:val="auto"/>
              </w:rPr>
            </w:pPr>
            <w:r>
              <w:rPr>
                <w:rFonts w:ascii="Times New Roman" w:cs="Times New Roman" w:eastAsia="Times New Roman" w:hAnsi="Times New Roman"/>
                <w:sz w:val="7"/>
                <w:szCs w:val="7"/>
                <w:color w:val="auto"/>
              </w:rPr>
              <w:t>(3,885</w:t>
            </w: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Consolidated net sales of furniture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329,923</w:t>
            </w:r>
          </w:p>
        </w:tc>
        <w:tc>
          <w:tcPr>
            <w:tcW w:w="24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390,136</w:t>
            </w:r>
          </w:p>
        </w:tc>
        <w:tc>
          <w:tcPr>
            <w:tcW w:w="220" w:type="dxa"/>
            <w:vAlign w:val="bottom"/>
            <w:vMerge w:val="restart"/>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485,601</w:t>
            </w:r>
          </w:p>
        </w:tc>
        <w:tc>
          <w:tcPr>
            <w:tcW w:w="120" w:type="dxa"/>
            <w:vAlign w:val="bottom"/>
            <w:vMerge w:val="restart"/>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ind w:right="77"/>
              <w:spacing w:after="0" w:line="379" w:lineRule="exact"/>
              <w:rPr>
                <w:sz w:val="20"/>
                <w:szCs w:val="20"/>
                <w:color w:val="auto"/>
              </w:rPr>
            </w:pPr>
            <w:r>
              <w:rPr>
                <w:rFonts w:ascii="Times New Roman" w:cs="Times New Roman" w:eastAsia="Times New Roman" w:hAnsi="Times New Roman"/>
                <w:sz w:val="18"/>
                <w:szCs w:val="18"/>
                <w:color w:val="auto"/>
              </w:rPr>
              <w:t>(60,213</w:t>
            </w:r>
            <w:r>
              <w:rPr>
                <w:rFonts w:ascii="Times New Roman" w:cs="Times New Roman" w:eastAsia="Times New Roman" w:hAnsi="Times New Roman"/>
                <w:sz w:val="35"/>
                <w:szCs w:val="35"/>
                <w:color w:val="auto"/>
                <w:vertAlign w:val="superscript"/>
              </w:rPr>
              <w:t>)</w:t>
            </w:r>
          </w:p>
        </w:tc>
        <w:tc>
          <w:tcPr>
            <w:tcW w:w="11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ind w:right="71"/>
              <w:spacing w:after="0" w:line="379" w:lineRule="exact"/>
              <w:rPr>
                <w:sz w:val="20"/>
                <w:szCs w:val="20"/>
                <w:color w:val="auto"/>
              </w:rPr>
            </w:pPr>
            <w:r>
              <w:rPr>
                <w:rFonts w:ascii="Times New Roman" w:cs="Times New Roman" w:eastAsia="Times New Roman" w:hAnsi="Times New Roman"/>
                <w:sz w:val="18"/>
                <w:szCs w:val="18"/>
                <w:color w:val="auto"/>
              </w:rPr>
              <w:t>(95,465</w:t>
            </w:r>
            <w:r>
              <w:rPr>
                <w:rFonts w:ascii="Times New Roman" w:cs="Times New Roman" w:eastAsia="Times New Roman" w:hAnsi="Times New Roman"/>
                <w:sz w:val="35"/>
                <w:szCs w:val="35"/>
                <w:color w:val="auto"/>
                <w:vertAlign w:val="superscript"/>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accessories</w:t>
            </w: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Total sales revenue for the year ended November 30, 2024, decreased $60,213 or approximately 15% from the prior year period primarily due to decreases in wholesale shipments to both the open market and the BHF store network and decreases in retail delivered sales.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Gross margins for the year ended November 30, 2024 increased 150 basis points from 2023. Included in the current year gross margin are increased inventory valuation charges of $1,729 in the wholesale segment, $472 in the retail segment and $500 in the Noa Home operation, and unproductive labor costs of $609 incurred during the temporary shutdown resulting from the cybersecurity incident. Excluding these charges, our consolidated gross margin would have been 55.4%.</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SG&amp;A expenses as a percentage of sales for the year ended November 30, 2024 increased 420 basis points from 2023 primarily due to the deleverage of fixed costs caused by lower sales volumes.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fiscal 2024, we recognized charges of $5,515 for asset impairments, $1,240 resulting from a contract abandonment, $962 from the realization of cumulative translation losses on Noa Home, and a restructuring charge of $440. This restructuring charge resulted from a workforce reduction which we expect will result in annual savings of approximately $2,500 beginning in 2025, mostly in SG&amp;A expenses. See Note 14 to our consolidated financial statements for additional information regarding these charges.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spacing w:after="0" w:line="277" w:lineRule="auto"/>
        <w:rPr>
          <w:sz w:val="20"/>
          <w:szCs w:val="20"/>
          <w:color w:val="auto"/>
        </w:rPr>
      </w:pPr>
      <w:r>
        <w:rPr>
          <w:rFonts w:ascii="Times New Roman" w:cs="Times New Roman" w:eastAsia="Times New Roman" w:hAnsi="Times New Roman"/>
          <w:sz w:val="18"/>
          <w:szCs w:val="18"/>
          <w:color w:val="auto"/>
        </w:rPr>
        <w:t>During fiscal 2023, we recognized a goodwill impairment charge of $5,409 and a gain of $1,013 resulting from the write-down of our contingent consideration obligation both of which are associated with the acquisition of Noa Home. See Note 3 to the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November 26, 2022, we recognized a gain of $4,595 from the sale of the real estate at a former retail location in Houston, Texas.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items affecting comparability between fiscal 2024 and 2023 are discussed below in “Other Items Affecting Net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18" w:lineRule="exact"/>
        <w:rPr>
          <w:sz w:val="20"/>
          <w:szCs w:val="20"/>
          <w:color w:val="auto"/>
        </w:rPr>
      </w:pPr>
    </w:p>
    <w:p>
      <w:pPr>
        <w:jc w:val="both"/>
        <w:ind w:left="640" w:hanging="313"/>
        <w:spacing w:after="0" w:line="264"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 furniture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40" w:hanging="313"/>
        <w:spacing w:after="0" w:line="264"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November 30, 2024, November 25, 2023 and November 26, 2022, the only such operating segment included in Corporate and other is Noa Home, which was acquired on September 2, 2022. All sales reported in our Corporate and other category are attributable to Noa Home, which generated substantially all of its sales outside of the United States. During the second fiscal quarter of 2024 we concluded that Noa Home was not likely to achieve profitability in the foreseeable future and have ceased operations as of November 30, 2024 by selling the remaining inventory in an orderly fashion over the second half of fiscal 2024.</w:t>
      </w:r>
    </w:p>
    <w:p>
      <w:pPr>
        <w:spacing w:after="0" w:line="1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former logistical services segment which represented the operations of Zenith is presented as a discontinued operation.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Results of Operations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that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6"/>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Year Ended November 30, 2024</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51"/>
              <w:spacing w:after="0" w:line="189"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Presentation</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left="11"/>
              <w:spacing w:after="0" w:line="189" w:lineRule="exact"/>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&amp;</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Special</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Non-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10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0"/>
                <w:szCs w:val="20"/>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Items</w:t>
            </w:r>
          </w:p>
        </w:tc>
        <w:tc>
          <w:tcPr>
            <w:tcW w:w="340" w:type="dxa"/>
            <w:vAlign w:val="bottom"/>
          </w:tcPr>
          <w:p>
            <w:pPr>
              <w:spacing w:after="0"/>
              <w:rPr>
                <w:sz w:val="20"/>
                <w:szCs w:val="20"/>
                <w:color w:val="auto"/>
              </w:rPr>
            </w:pP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Operating</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207,462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204,563</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4,919</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(87,021) (1)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329,923</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139,393</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95,728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(87,416) (2)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68,069</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108,835</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2,116</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179,415</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42,712</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115,439</w:t>
            </w: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30,572</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 (4)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187,527</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Loss upon realization of cumulative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25,357</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(28,456)</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(16,269)</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25,357</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(28,456)</w:t>
            </w:r>
          </w:p>
        </w:tc>
        <w:tc>
          <w:tcPr>
            <w:tcW w:w="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34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1,899</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(14,370)</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operations before income taxes</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Year Ended November 25, 2023</w:t>
            </w: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151"/>
              <w:spacing w:after="0" w:line="189"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&amp;</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Special</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10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0"/>
                <w:szCs w:val="20"/>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Pr>
          <w:p>
            <w:pPr>
              <w:spacing w:after="0"/>
              <w:rPr>
                <w:sz w:val="20"/>
                <w:szCs w:val="20"/>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Items</w:t>
            </w:r>
          </w:p>
        </w:tc>
        <w:tc>
          <w:tcPr>
            <w:tcW w:w="400" w:type="dxa"/>
            <w:vAlign w:val="bottom"/>
          </w:tcPr>
          <w:p>
            <w:pPr>
              <w:spacing w:after="0"/>
              <w:rPr>
                <w:sz w:val="20"/>
                <w:szCs w:val="20"/>
                <w:color w:val="auto"/>
              </w:rPr>
            </w:pPr>
          </w:p>
        </w:tc>
        <w:tc>
          <w:tcPr>
            <w:tcW w:w="10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Operating</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248,911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235,940</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8,804</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(103,519) (1)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390,136</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171,394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111,769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(103,517) (2)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77,517</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124,171</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4,802</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206,488</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46,818</w:t>
            </w:r>
          </w:p>
        </w:tc>
        <w:tc>
          <w:tcPr>
            <w:tcW w:w="30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124,707</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34,728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 (4)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205,227</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195"/>
        </w:trPr>
        <w:tc>
          <w:tcPr>
            <w:tcW w:w="2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Gain on revaluation of contingent</w:t>
            </w:r>
          </w:p>
        </w:tc>
        <w:tc>
          <w:tcPr>
            <w:tcW w:w="220" w:type="dxa"/>
            <w:vAlign w:val="bottom"/>
          </w:tcPr>
          <w:p>
            <w:pPr>
              <w:spacing w:after="0"/>
              <w:rPr>
                <w:sz w:val="16"/>
                <w:szCs w:val="16"/>
                <w:color w:val="auto"/>
              </w:rPr>
            </w:pPr>
          </w:p>
        </w:tc>
        <w:tc>
          <w:tcPr>
            <w:tcW w:w="8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30,699</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(29,926)</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2,528</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30,699</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(29,926)</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4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operations before income taxes</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Year Ended November 26, 2022</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151"/>
              <w:spacing w:after="0" w:line="189"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left="11"/>
              <w:spacing w:after="0" w:line="189" w:lineRule="exact"/>
              <w:rPr>
                <w:sz w:val="20"/>
                <w:szCs w:val="20"/>
                <w:color w:val="auto"/>
              </w:rPr>
            </w:pPr>
            <w:r>
              <w:rPr>
                <w:rFonts w:ascii="Times New Roman" w:cs="Times New Roman" w:eastAsia="Times New Roman" w:hAnsi="Times New Roman"/>
                <w:sz w:val="18"/>
                <w:szCs w:val="18"/>
                <w:color w:val="auto"/>
                <w:w w:val="97"/>
              </w:rPr>
              <w:t>Corporate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&amp;</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Special</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10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Pr>
          <w:p>
            <w:pPr>
              <w:spacing w:after="0"/>
              <w:rPr>
                <w:sz w:val="20"/>
                <w:szCs w:val="20"/>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Items</w:t>
            </w:r>
          </w:p>
        </w:tc>
        <w:tc>
          <w:tcPr>
            <w:tcW w:w="400" w:type="dxa"/>
            <w:vAlign w:val="bottom"/>
          </w:tcPr>
          <w:p>
            <w:pPr>
              <w:spacing w:after="0"/>
              <w:rPr>
                <w:sz w:val="20"/>
                <w:szCs w:val="20"/>
                <w:color w:val="auto"/>
              </w:rPr>
            </w:pPr>
          </w:p>
        </w:tc>
        <w:tc>
          <w:tcPr>
            <w:tcW w:w="10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Operating</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324,569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285,119</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(124,087) (1)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485,601</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225,300</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135,699</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(123,737) (2)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99,269</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149,420</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248,339</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57,290</w:t>
            </w:r>
          </w:p>
        </w:tc>
        <w:tc>
          <w:tcPr>
            <w:tcW w:w="3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130,068</w:t>
            </w: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24,829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 (4)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218,069</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188"/>
        </w:trPr>
        <w:tc>
          <w:tcPr>
            <w:tcW w:w="29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41,979</w:t>
            </w:r>
          </w:p>
        </w:tc>
        <w:tc>
          <w:tcPr>
            <w:tcW w:w="3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19,352</w:t>
            </w:r>
          </w:p>
        </w:tc>
        <w:tc>
          <w:tcPr>
            <w:tcW w:w="3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(24,829)</w:t>
            </w:r>
          </w:p>
        </w:tc>
        <w:tc>
          <w:tcPr>
            <w:tcW w:w="26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(6,232)</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34,865</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188"/>
        </w:trPr>
        <w:tc>
          <w:tcPr>
            <w:tcW w:w="29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41,979</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19,352</w:t>
            </w:r>
          </w:p>
        </w:tc>
        <w:tc>
          <w:tcPr>
            <w:tcW w:w="3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(24,829)</w:t>
            </w:r>
          </w:p>
        </w:tc>
        <w:tc>
          <w:tcPr>
            <w:tcW w:w="2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(6,232)</w:t>
            </w:r>
          </w:p>
        </w:tc>
        <w:tc>
          <w:tcPr>
            <w:tcW w:w="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34,062</w:t>
            </w:r>
          </w:p>
        </w:tc>
        <w:tc>
          <w:tcPr>
            <w:tcW w:w="100" w:type="dxa"/>
            <w:vAlign w:val="bottom"/>
            <w:tcBorders>
              <w:top w:val="single" w:sz="8" w:color="CCEEFF"/>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operations before income taxes</w:t>
            </w:r>
          </w:p>
        </w:tc>
        <w:tc>
          <w:tcPr>
            <w:tcW w:w="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4" w:right="339" w:bottom="376"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0"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the elimination of intercompany profit in inventory.</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6" w:lineRule="exact"/>
        <w:rPr>
          <w:rFonts w:ascii="Times New Roman" w:cs="Times New Roman" w:eastAsia="Times New Roman" w:hAnsi="Times New Roman"/>
          <w:sz w:val="18"/>
          <w:szCs w:val="18"/>
          <w:color w:val="auto"/>
        </w:rPr>
      </w:pPr>
    </w:p>
    <w:p>
      <w:pPr>
        <w:ind w:left="320" w:hanging="313"/>
        <w:spacing w:after="0" w:line="247"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asset impairment charges of $2,887 and $727 in our retail and wholesale segments, respectively, a $1,827 charge for the impairment of the Noa Home trade name intangible asset, and a $74 charge for the impairment of Noa Home customized software.</w:t>
      </w:r>
    </w:p>
    <w:p>
      <w:pPr>
        <w:ind w:left="320" w:hanging="313"/>
        <w:spacing w:after="0" w:line="247"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charge for accruing the remaining minimum payments under a contract for logistical services in Riverside, CA which is no longer utilized.</w:t>
      </w:r>
    </w:p>
    <w:p>
      <w:pPr>
        <w:ind w:left="320" w:hanging="313"/>
        <w:spacing w:after="0" w:line="247"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for the realization of Noa Home's cumulative translation losses previously recorded in accumulated other comprehensive income due to the closure and substantially complete liquidation of that business.</w:t>
      </w: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for the accrual of severance pay due to restructuring. This is expected to be paid out through the second quarter of fiscal 2025.</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charge for the full impairment of the goodwill associated with Noa Home.</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resulting from the write-down of the contingent consideration payable on the acquisition of Noa Home.</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on the sale of the real estate at a former retail location.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Segment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gross profit, SG&amp;A expense and operating income for our Wholesale Segment were as follows for the fiscal years ended November 30,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2023 and November 26,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95"/>
              </w:rPr>
              <w:t>207,462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99"/>
              </w:rPr>
              <w:t>248,911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99"/>
              </w:rPr>
              <w:t>324,569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(41,449)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3"/>
              </w:rPr>
              <w:t>$ (75,658)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120" w:type="dxa"/>
            <w:vAlign w:val="bottom"/>
          </w:tcPr>
          <w:p>
            <w:pPr>
              <w:spacing w:after="0"/>
              <w:rPr>
                <w:sz w:val="17"/>
                <w:szCs w:val="17"/>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68,069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7"/>
                <w:szCs w:val="17"/>
                <w:color w:val="auto"/>
              </w:rPr>
            </w:pP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77,517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99,269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(21,752)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42,712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46,818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57,290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(10,472)</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25,357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30,699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41,979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3"/>
              </w:rPr>
              <w:t>$ (11,280)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60" w:right="420" w:hanging="153"/>
        <w:spacing w:after="0" w:line="277" w:lineRule="auto"/>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shipments by category for the fiscal years ended November 30, 2024, November 25, 2023 and November 26, 2022 are summarized below:</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89"/>
              <w:spacing w:after="0" w:line="140" w:lineRule="exact"/>
              <w:rPr>
                <w:sz w:val="20"/>
                <w:szCs w:val="20"/>
                <w:color w:val="auto"/>
              </w:rPr>
            </w:pPr>
            <w:r>
              <w:rPr>
                <w:rFonts w:ascii="Times New Roman" w:cs="Times New Roman" w:eastAsia="Times New Roman" w:hAnsi="Times New Roman"/>
                <w:sz w:val="14"/>
                <w:szCs w:val="14"/>
                <w:color w:val="auto"/>
              </w:rPr>
              <w:t>External</w:t>
            </w:r>
          </w:p>
        </w:tc>
        <w:tc>
          <w:tcPr>
            <w:tcW w:w="1060" w:type="dxa"/>
            <w:vAlign w:val="bottom"/>
            <w:tcBorders>
              <w:bottom w:val="single" w:sz="8" w:color="auto"/>
            </w:tcBorders>
            <w:gridSpan w:val="2"/>
          </w:tcPr>
          <w:p>
            <w:pPr>
              <w:ind w:left="100"/>
              <w:spacing w:after="0" w:line="140" w:lineRule="exact"/>
              <w:rPr>
                <w:sz w:val="20"/>
                <w:szCs w:val="20"/>
                <w:color w:val="auto"/>
              </w:rPr>
            </w:pPr>
            <w:r>
              <w:rPr>
                <w:rFonts w:ascii="Times New Roman" w:cs="Times New Roman" w:eastAsia="Times New Roman" w:hAnsi="Times New Roman"/>
                <w:sz w:val="14"/>
                <w:szCs w:val="14"/>
                <w:color w:val="auto"/>
              </w:rPr>
              <w:t>Intercompany</w:t>
            </w:r>
          </w:p>
        </w:tc>
        <w:tc>
          <w:tcPr>
            <w:tcW w:w="880" w:type="dxa"/>
            <w:vAlign w:val="bottom"/>
            <w:tcBorders>
              <w:bottom w:val="single" w:sz="8" w:color="auto"/>
            </w:tcBorders>
          </w:tcPr>
          <w:p>
            <w:pPr>
              <w:jc w:val="right"/>
              <w:ind w:right="9"/>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69"/>
              <w:spacing w:after="0" w:line="140" w:lineRule="exact"/>
              <w:rPr>
                <w:sz w:val="20"/>
                <w:szCs w:val="20"/>
                <w:color w:val="auto"/>
              </w:rPr>
            </w:pPr>
            <w:r>
              <w:rPr>
                <w:rFonts w:ascii="Times New Roman" w:cs="Times New Roman" w:eastAsia="Times New Roman" w:hAnsi="Times New Roman"/>
                <w:sz w:val="14"/>
                <w:szCs w:val="14"/>
                <w:color w:val="auto"/>
              </w:rPr>
              <w:t>External</w:t>
            </w:r>
          </w:p>
        </w:tc>
        <w:tc>
          <w:tcPr>
            <w:tcW w:w="1040" w:type="dxa"/>
            <w:vAlign w:val="bottom"/>
            <w:tcBorders>
              <w:bottom w:val="single" w:sz="8" w:color="auto"/>
            </w:tcBorders>
            <w:gridSpan w:val="2"/>
          </w:tcPr>
          <w:p>
            <w:pPr>
              <w:ind w:left="120"/>
              <w:spacing w:after="0" w:line="140" w:lineRule="exact"/>
              <w:rPr>
                <w:sz w:val="20"/>
                <w:szCs w:val="20"/>
                <w:color w:val="auto"/>
              </w:rPr>
            </w:pPr>
            <w:r>
              <w:rPr>
                <w:rFonts w:ascii="Times New Roman" w:cs="Times New Roman" w:eastAsia="Times New Roman" w:hAnsi="Times New Roman"/>
                <w:sz w:val="14"/>
                <w:szCs w:val="14"/>
                <w:color w:val="auto"/>
              </w:rPr>
              <w:t>Intercompany</w:t>
            </w:r>
          </w:p>
        </w:tc>
        <w:tc>
          <w:tcPr>
            <w:tcW w:w="9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69"/>
              <w:spacing w:after="0" w:line="140" w:lineRule="exact"/>
              <w:rPr>
                <w:sz w:val="20"/>
                <w:szCs w:val="20"/>
                <w:color w:val="auto"/>
              </w:rPr>
            </w:pPr>
            <w:r>
              <w:rPr>
                <w:rFonts w:ascii="Times New Roman" w:cs="Times New Roman" w:eastAsia="Times New Roman" w:hAnsi="Times New Roman"/>
                <w:sz w:val="14"/>
                <w:szCs w:val="14"/>
                <w:color w:val="auto"/>
              </w:rPr>
              <w:t>External</w:t>
            </w:r>
          </w:p>
        </w:tc>
        <w:tc>
          <w:tcPr>
            <w:tcW w:w="1040" w:type="dxa"/>
            <w:vAlign w:val="bottom"/>
            <w:tcBorders>
              <w:bottom w:val="single" w:sz="8" w:color="auto"/>
            </w:tcBorders>
            <w:gridSpan w:val="2"/>
          </w:tcPr>
          <w:p>
            <w:pPr>
              <w:ind w:left="120"/>
              <w:spacing w:after="0" w:line="140" w:lineRule="exact"/>
              <w:rPr>
                <w:sz w:val="20"/>
                <w:szCs w:val="20"/>
                <w:color w:val="auto"/>
              </w:rPr>
            </w:pPr>
            <w:r>
              <w:rPr>
                <w:rFonts w:ascii="Times New Roman" w:cs="Times New Roman" w:eastAsia="Times New Roman" w:hAnsi="Times New Roman"/>
                <w:sz w:val="14"/>
                <w:szCs w:val="14"/>
                <w:color w:val="auto"/>
              </w:rPr>
              <w:t>Intercompany</w:t>
            </w:r>
          </w:p>
        </w:tc>
        <w:tc>
          <w:tcPr>
            <w:tcW w:w="90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Bassett Custom</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79,344</w:t>
            </w:r>
          </w:p>
        </w:tc>
        <w:tc>
          <w:tcPr>
            <w:tcW w:w="3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55,168</w:t>
            </w:r>
          </w:p>
        </w:tc>
        <w:tc>
          <w:tcPr>
            <w:tcW w:w="88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$ 134,512</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89,005</w:t>
            </w:r>
          </w:p>
        </w:tc>
        <w:tc>
          <w:tcPr>
            <w:tcW w:w="3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66,363</w:t>
            </w:r>
          </w:p>
        </w:tc>
        <w:tc>
          <w:tcPr>
            <w:tcW w:w="90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$ 155,368</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62.4%</w:t>
            </w: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9"/>
              </w:rPr>
              <w:t>$ 124,565</w:t>
            </w: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82,437</w:t>
            </w:r>
          </w:p>
        </w:tc>
        <w:tc>
          <w:tcPr>
            <w:tcW w:w="90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$ 207,002</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Upholstery</w:t>
            </w:r>
          </w:p>
        </w:tc>
        <w:tc>
          <w:tcPr>
            <w:tcW w:w="10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Bassett Leather</w:t>
            </w: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15,705</w:t>
            </w:r>
          </w:p>
        </w:tc>
        <w:tc>
          <w:tcPr>
            <w:tcW w:w="340" w:type="dxa"/>
            <w:vAlign w:val="bottom"/>
          </w:tcPr>
          <w:p>
            <w:pPr>
              <w:spacing w:after="0"/>
              <w:rPr>
                <w:sz w:val="12"/>
                <w:szCs w:val="12"/>
                <w:color w:val="auto"/>
              </w:rPr>
            </w:pPr>
          </w:p>
        </w:tc>
        <w:tc>
          <w:tcPr>
            <w:tcW w:w="72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1,919</w:t>
            </w:r>
          </w:p>
        </w:tc>
        <w:tc>
          <w:tcPr>
            <w:tcW w:w="88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17,624</w:t>
            </w:r>
          </w:p>
        </w:tc>
        <w:tc>
          <w:tcPr>
            <w:tcW w:w="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26,701</w:t>
            </w:r>
          </w:p>
        </w:tc>
        <w:tc>
          <w:tcPr>
            <w:tcW w:w="300" w:type="dxa"/>
            <w:vAlign w:val="bottom"/>
          </w:tcPr>
          <w:p>
            <w:pPr>
              <w:spacing w:after="0"/>
              <w:rPr>
                <w:sz w:val="12"/>
                <w:szCs w:val="12"/>
                <w:color w:val="auto"/>
              </w:rPr>
            </w:pPr>
          </w:p>
        </w:tc>
        <w:tc>
          <w:tcPr>
            <w:tcW w:w="74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1,171</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27,872</w:t>
            </w:r>
          </w:p>
        </w:tc>
        <w:tc>
          <w:tcPr>
            <w:tcW w:w="6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11.2%</w:t>
            </w:r>
          </w:p>
        </w:tc>
        <w:tc>
          <w:tcPr>
            <w:tcW w:w="6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35,953</w:t>
            </w:r>
          </w:p>
        </w:tc>
        <w:tc>
          <w:tcPr>
            <w:tcW w:w="320" w:type="dxa"/>
            <w:vAlign w:val="bottom"/>
          </w:tcPr>
          <w:p>
            <w:pPr>
              <w:spacing w:after="0"/>
              <w:rPr>
                <w:sz w:val="12"/>
                <w:szCs w:val="12"/>
                <w:color w:val="auto"/>
              </w:rPr>
            </w:pPr>
          </w:p>
        </w:tc>
        <w:tc>
          <w:tcPr>
            <w:tcW w:w="7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76</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36,029</w:t>
            </w:r>
          </w:p>
        </w:tc>
        <w:tc>
          <w:tcPr>
            <w:tcW w:w="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47"/>
        </w:trPr>
        <w:tc>
          <w:tcPr>
            <w:tcW w:w="1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Bassett Custom Wood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14,075</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16,674</w:t>
            </w:r>
          </w:p>
        </w:tc>
        <w:tc>
          <w:tcPr>
            <w:tcW w:w="880" w:type="dxa"/>
            <w:vAlign w:val="bottom"/>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30,749</w:t>
            </w:r>
          </w:p>
        </w:tc>
        <w:tc>
          <w:tcPr>
            <w:tcW w:w="5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17,357</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20,070</w:t>
            </w:r>
          </w:p>
        </w:tc>
        <w:tc>
          <w:tcPr>
            <w:tcW w:w="900" w:type="dxa"/>
            <w:vAlign w:val="bottom"/>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37,427</w:t>
            </w:r>
          </w:p>
        </w:tc>
        <w:tc>
          <w:tcPr>
            <w:tcW w:w="6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15.0%</w:t>
            </w:r>
          </w:p>
        </w:tc>
        <w:tc>
          <w:tcPr>
            <w:tcW w:w="6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22,534</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24,764</w:t>
            </w:r>
          </w:p>
        </w:tc>
        <w:tc>
          <w:tcPr>
            <w:tcW w:w="900" w:type="dxa"/>
            <w:vAlign w:val="bottom"/>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47,298</w:t>
            </w:r>
          </w:p>
        </w:tc>
        <w:tc>
          <w:tcPr>
            <w:tcW w:w="5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47"/>
        </w:trPr>
        <w:tc>
          <w:tcPr>
            <w:tcW w:w="16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Bassett Casegoods</w:t>
            </w: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11,317</w:t>
            </w:r>
          </w:p>
        </w:tc>
        <w:tc>
          <w:tcPr>
            <w:tcW w:w="340" w:type="dxa"/>
            <w:vAlign w:val="bottom"/>
          </w:tcPr>
          <w:p>
            <w:pPr>
              <w:spacing w:after="0"/>
              <w:rPr>
                <w:sz w:val="12"/>
                <w:szCs w:val="12"/>
                <w:color w:val="auto"/>
              </w:rPr>
            </w:pPr>
          </w:p>
        </w:tc>
        <w:tc>
          <w:tcPr>
            <w:tcW w:w="72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13,260</w:t>
            </w:r>
          </w:p>
        </w:tc>
        <w:tc>
          <w:tcPr>
            <w:tcW w:w="88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24,577</w:t>
            </w:r>
          </w:p>
        </w:tc>
        <w:tc>
          <w:tcPr>
            <w:tcW w:w="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12,329</w:t>
            </w:r>
          </w:p>
        </w:tc>
        <w:tc>
          <w:tcPr>
            <w:tcW w:w="300" w:type="dxa"/>
            <w:vAlign w:val="bottom"/>
          </w:tcPr>
          <w:p>
            <w:pPr>
              <w:spacing w:after="0"/>
              <w:rPr>
                <w:sz w:val="12"/>
                <w:szCs w:val="12"/>
                <w:color w:val="auto"/>
              </w:rPr>
            </w:pPr>
          </w:p>
        </w:tc>
        <w:tc>
          <w:tcPr>
            <w:tcW w:w="74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15,915</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28,244</w:t>
            </w:r>
          </w:p>
        </w:tc>
        <w:tc>
          <w:tcPr>
            <w:tcW w:w="6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11.3%</w:t>
            </w:r>
          </w:p>
        </w:tc>
        <w:tc>
          <w:tcPr>
            <w:tcW w:w="6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15,628</w:t>
            </w:r>
          </w:p>
        </w:tc>
        <w:tc>
          <w:tcPr>
            <w:tcW w:w="320" w:type="dxa"/>
            <w:vAlign w:val="bottom"/>
          </w:tcPr>
          <w:p>
            <w:pPr>
              <w:spacing w:after="0"/>
              <w:rPr>
                <w:sz w:val="12"/>
                <w:szCs w:val="12"/>
                <w:color w:val="auto"/>
              </w:rPr>
            </w:pPr>
          </w:p>
        </w:tc>
        <w:tc>
          <w:tcPr>
            <w:tcW w:w="7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18,612</w:t>
            </w:r>
          </w:p>
        </w:tc>
        <w:tc>
          <w:tcPr>
            <w:tcW w:w="900" w:type="dxa"/>
            <w:vAlign w:val="bottom"/>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34,240</w:t>
            </w:r>
          </w:p>
        </w:tc>
        <w:tc>
          <w:tcPr>
            <w:tcW w:w="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rPr>
              <w:t>120,441</w:t>
            </w:r>
          </w:p>
        </w:tc>
        <w:tc>
          <w:tcPr>
            <w:tcW w:w="340" w:type="dxa"/>
            <w:vAlign w:val="bottom"/>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9"/>
              <w:spacing w:after="0" w:line="127" w:lineRule="exact"/>
              <w:rPr>
                <w:sz w:val="20"/>
                <w:szCs w:val="20"/>
                <w:color w:val="auto"/>
              </w:rPr>
            </w:pPr>
            <w:r>
              <w:rPr>
                <w:rFonts w:ascii="Times New Roman" w:cs="Times New Roman" w:eastAsia="Times New Roman" w:hAnsi="Times New Roman"/>
                <w:sz w:val="14"/>
                <w:szCs w:val="14"/>
                <w:color w:val="auto"/>
              </w:rPr>
              <w:t>87,021</w:t>
            </w:r>
          </w:p>
        </w:tc>
        <w:tc>
          <w:tcPr>
            <w:tcW w:w="880" w:type="dxa"/>
            <w:vAlign w:val="bottom"/>
            <w:shd w:val="clear" w:color="auto" w:fill="CCEEFF"/>
          </w:tcPr>
          <w:p>
            <w:pPr>
              <w:jc w:val="right"/>
              <w:ind w:right="189"/>
              <w:spacing w:after="0" w:line="127" w:lineRule="exact"/>
              <w:rPr>
                <w:sz w:val="20"/>
                <w:szCs w:val="20"/>
                <w:color w:val="auto"/>
              </w:rPr>
            </w:pPr>
            <w:r>
              <w:rPr>
                <w:rFonts w:ascii="Times New Roman" w:cs="Times New Roman" w:eastAsia="Times New Roman" w:hAnsi="Times New Roman"/>
                <w:sz w:val="14"/>
                <w:szCs w:val="14"/>
                <w:color w:val="auto"/>
              </w:rPr>
              <w:t>$ 207,462</w:t>
            </w:r>
          </w:p>
        </w:tc>
        <w:tc>
          <w:tcPr>
            <w:tcW w:w="5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rPr>
              <w:t>145,392</w:t>
            </w:r>
          </w:p>
        </w:tc>
        <w:tc>
          <w:tcPr>
            <w:tcW w:w="300" w:type="dxa"/>
            <w:vAlign w:val="bottom"/>
            <w:shd w:val="clear" w:color="auto" w:fill="CCEEFF"/>
          </w:tcPr>
          <w:p>
            <w:pPr>
              <w:ind w:left="120"/>
              <w:spacing w:after="0" w:line="12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69"/>
              <w:spacing w:after="0" w:line="127" w:lineRule="exact"/>
              <w:rPr>
                <w:sz w:val="20"/>
                <w:szCs w:val="20"/>
                <w:color w:val="auto"/>
              </w:rPr>
            </w:pPr>
            <w:r>
              <w:rPr>
                <w:rFonts w:ascii="Times New Roman" w:cs="Times New Roman" w:eastAsia="Times New Roman" w:hAnsi="Times New Roman"/>
                <w:sz w:val="14"/>
                <w:szCs w:val="14"/>
                <w:color w:val="auto"/>
              </w:rPr>
              <w:t>103,519</w:t>
            </w:r>
          </w:p>
        </w:tc>
        <w:tc>
          <w:tcPr>
            <w:tcW w:w="900" w:type="dxa"/>
            <w:vAlign w:val="bottom"/>
            <w:shd w:val="clear" w:color="auto" w:fill="CCEEFF"/>
          </w:tcPr>
          <w:p>
            <w:pPr>
              <w:jc w:val="right"/>
              <w:ind w:right="189"/>
              <w:spacing w:after="0" w:line="127" w:lineRule="exact"/>
              <w:rPr>
                <w:sz w:val="20"/>
                <w:szCs w:val="20"/>
                <w:color w:val="auto"/>
              </w:rPr>
            </w:pPr>
            <w:r>
              <w:rPr>
                <w:rFonts w:ascii="Times New Roman" w:cs="Times New Roman" w:eastAsia="Times New Roman" w:hAnsi="Times New Roman"/>
                <w:sz w:val="14"/>
                <w:szCs w:val="14"/>
                <w:color w:val="auto"/>
              </w:rPr>
              <w:t>$ 248,911</w:t>
            </w:r>
          </w:p>
        </w:tc>
        <w:tc>
          <w:tcPr>
            <w:tcW w:w="620" w:type="dxa"/>
            <w:vAlign w:val="bottom"/>
            <w:gridSpan w:val="2"/>
            <w:shd w:val="clear" w:color="auto" w:fill="CCEEFF"/>
          </w:tcPr>
          <w:p>
            <w:pPr>
              <w:jc w:val="right"/>
              <w:ind w:right="100"/>
              <w:spacing w:after="0" w:line="127"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shd w:val="clear" w:color="auto" w:fill="CCEEFF"/>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w w:val="99"/>
              </w:rPr>
              <w:t>$ 198,680</w:t>
            </w:r>
          </w:p>
        </w:tc>
        <w:tc>
          <w:tcPr>
            <w:tcW w:w="320" w:type="dxa"/>
            <w:vAlign w:val="bottom"/>
            <w:shd w:val="clear" w:color="auto" w:fill="CCEEFF"/>
          </w:tcPr>
          <w:p>
            <w:pPr>
              <w:ind w:left="120"/>
              <w:spacing w:after="0" w:line="12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9"/>
              <w:spacing w:after="0" w:line="127" w:lineRule="exact"/>
              <w:rPr>
                <w:sz w:val="20"/>
                <w:szCs w:val="20"/>
                <w:color w:val="auto"/>
              </w:rPr>
            </w:pPr>
            <w:r>
              <w:rPr>
                <w:rFonts w:ascii="Times New Roman" w:cs="Times New Roman" w:eastAsia="Times New Roman" w:hAnsi="Times New Roman"/>
                <w:sz w:val="14"/>
                <w:szCs w:val="14"/>
                <w:color w:val="auto"/>
              </w:rPr>
              <w:t>125,889</w:t>
            </w:r>
          </w:p>
        </w:tc>
        <w:tc>
          <w:tcPr>
            <w:tcW w:w="900" w:type="dxa"/>
            <w:vAlign w:val="bottom"/>
            <w:shd w:val="clear" w:color="auto" w:fill="CCEEFF"/>
          </w:tcPr>
          <w:p>
            <w:pPr>
              <w:jc w:val="right"/>
              <w:ind w:right="189"/>
              <w:spacing w:after="0" w:line="127" w:lineRule="exact"/>
              <w:rPr>
                <w:sz w:val="20"/>
                <w:szCs w:val="20"/>
                <w:color w:val="auto"/>
              </w:rPr>
            </w:pPr>
            <w:r>
              <w:rPr>
                <w:rFonts w:ascii="Times New Roman" w:cs="Times New Roman" w:eastAsia="Times New Roman" w:hAnsi="Times New Roman"/>
                <w:sz w:val="14"/>
                <w:szCs w:val="14"/>
                <w:color w:val="auto"/>
              </w:rPr>
              <w:t>$ 324,569</w:t>
            </w:r>
          </w:p>
        </w:tc>
        <w:tc>
          <w:tcPr>
            <w:tcW w:w="5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Fiscal 2024 as Compared to Fiscal 2023</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sales for the year ended November 30, 2024 decreased $41,449 or 17% from fiscal 2023 due primarily to a 19% decrease in shipments to the open market, a 16% decrease in shipments to our retail store network and a 3% decrease in Lane Venture shipments. Gross margins for the year ended November 30, 2024 increased 170 basis points over fiscal 2023 year primarily due to the expected improvement in the Bassett Leather business.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Margins in our Bassett Casegoods business also improved as expected primarily due to shipping more product that contained lower in-bound freight costs partially offset by increased inventory valuation charges recorded in the second quarter of fiscal 2024 as we have been more aggressive in selling certain slow-moving products. These improvements were partially offset by slightly lower margins in the Bassett Custom Upholstery business due to deleverage of fixed costs from lower sales volumes. SG&amp;A expenses as a percentage of sales increased 180 basis points primarily due to reduced leverage of fixed costs from decreased sales.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dollar value of our wholesale backlog, representing orders received but not yet shipped to the BHF store network or independent dealers, was $21,750 at November 30, 2024 and $18,478 at November 25,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Retail Segment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Company Owned Stores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gross profit, SG&amp;A expense, and operating income (loss) for our retail segment were as follows for the fiscal years ended November 30,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2023 and November 26,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5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204,563</w:t>
            </w: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235,940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285,119</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(31,377)</w:t>
            </w: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(49,179)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108,835</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124,171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149,420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(15,336)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(25,249)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115,439</w:t>
            </w: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124,707</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130,068</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(9,268)</w:t>
            </w: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19,352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(6,068)</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1132.1%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 (19,888)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right="20" w:hanging="31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for the fiscal years ended November 25, 2023, November 26, 2022 and November 27, 2021were as follows: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7"/>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111,943</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134,000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163,755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4,990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1,951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1,707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21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32,201</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36,732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43,208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26,179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32,252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40,146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&amp; other (1)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29,250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31,005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36,303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204,563</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235,940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285,119</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5" w:lineRule="exact"/>
        <w:rPr>
          <w:sz w:val="20"/>
          <w:szCs w:val="20"/>
          <w:color w:val="auto"/>
        </w:rPr>
      </w:pPr>
    </w:p>
    <w:p>
      <w:pPr>
        <w:ind w:left="960" w:right="700" w:hanging="313"/>
        <w:spacing w:after="0" w:line="277"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Fiscal 2024 as Compared to Fiscal 2023</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year ended November 30, 2024 decreased $31,377 or 13% from fiscal 2023. Written sales (the value of sales orders taken but not delivered) declined 2.8% from fiscal 2023. Gross margin for the year ended November 30, 2024 improved 60 basis points over fiscal 2023 primarily due to higher margins on both in-line and clearance goods partially offset by additional inventory valuation charges in the second quarter of 2024 due to our strategy to be more aggressive in selling clearance goods to better control inventory levels. SG&amp;A expenses as a percentage of sales for the year ended November 30, 2024 increased 350 basis points primarily due to decreased leverage of fixed costs from lower sales volumes.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November 30, 2024 was $37,053 compared to $30,902 at November 25, 2023.</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Noa Home is included within the Corporate and other reconciling category and accounts for all of the sales and gross profit within this reconciling category. Revenues, costs and expenses of Corporate and other for the fiscal years ended November 30, 2024, November 25, 2023 and November 26, 2022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Comparative Change</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80" w:type="dxa"/>
            <w:vAlign w:val="bottom"/>
          </w:tcPr>
          <w:p>
            <w:pPr>
              <w:spacing w:after="0"/>
              <w:rPr>
                <w:sz w:val="17"/>
                <w:szCs w:val="17"/>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40" w:type="dxa"/>
            <w:vAlign w:val="bottom"/>
          </w:tcPr>
          <w:p>
            <w:pPr>
              <w:spacing w:after="0"/>
              <w:rPr>
                <w:sz w:val="17"/>
                <w:szCs w:val="17"/>
                <w:color w:val="auto"/>
              </w:rPr>
            </w:pPr>
          </w:p>
        </w:tc>
      </w:tr>
      <w:tr>
        <w:trPr>
          <w:trHeight w:val="193"/>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6"/>
              </w:rPr>
              <w:t>Dollars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6"/>
              </w:rPr>
              <w:t>Dollars</w:t>
            </w: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6"/>
                <w:szCs w:val="16"/>
                <w:color w:val="auto"/>
              </w:rPr>
            </w:pPr>
          </w:p>
        </w:tc>
      </w:tr>
      <w:tr>
        <w:trPr>
          <w:trHeight w:val="193"/>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4,919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8,804</w:t>
            </w: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(3,885)</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Pr>
          <w:p>
            <w:pPr>
              <w:spacing w:after="0"/>
              <w:rPr>
                <w:sz w:val="16"/>
                <w:szCs w:val="16"/>
                <w:color w:val="auto"/>
              </w:rPr>
            </w:pP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2,116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6"/>
                <w:szCs w:val="16"/>
                <w:color w:val="auto"/>
              </w:rPr>
            </w:pPr>
          </w:p>
        </w:tc>
        <w:tc>
          <w:tcPr>
            <w:tcW w:w="9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4,802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54.5%</w:t>
            </w:r>
          </w:p>
        </w:tc>
        <w:tc>
          <w:tcPr>
            <w:tcW w:w="14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830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tcPr>
          <w:p>
            <w:pPr>
              <w:spacing w:after="0"/>
              <w:rPr>
                <w:sz w:val="16"/>
                <w:szCs w:val="16"/>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spacing w:after="0"/>
              <w:rPr>
                <w:sz w:val="16"/>
                <w:szCs w:val="16"/>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3,972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478.6%</w:t>
            </w:r>
          </w:p>
        </w:tc>
      </w:tr>
      <w:tr>
        <w:trPr>
          <w:trHeight w:val="20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30,572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621.5%</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34,728</w:t>
            </w: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394.5%</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31,827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1766.2%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(4,156)</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2,901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(28,456)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(29,926)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(30,997)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-1720.1%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1,470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1,071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for fiscal 2024 as compared with 52 weeks for fiscal 2023 and 2022.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 as Compared to Fiscal 2023</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and gross profit for the year ended November 30, 2024 declined from fiscal 2023 as we concluded our wind-down of Noa Home’s operations and sold off the remaining inventory during the second half of fiscal 2024. Included in the gross profit is an inventory valuation charge of $500 recognized during the second quarter of 2024 due to our decision to cease operations at Noa Home. The $4,156 decrease in SG&amp;A expenses was primarily due to decreased advertising and warehouse costs for Noa Home as a result of the cessation of operations and decreased corporate overhead spending from better expense management.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 - Logistical Services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operating expenses and income from operations for our logistical services segment were as follows for the fiscal years ended November 30,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2023 and November 26, 2022: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Comparative Change</w:t>
            </w:r>
          </w:p>
        </w:tc>
        <w:tc>
          <w:tcPr>
            <w:tcW w:w="0" w:type="dxa"/>
            <w:vAlign w:val="bottom"/>
          </w:tcPr>
          <w:p>
            <w:pPr>
              <w:spacing w:after="0"/>
              <w:rPr>
                <w:sz w:val="1"/>
                <w:szCs w:val="1"/>
                <w:color w:val="auto"/>
              </w:rPr>
            </w:pPr>
          </w:p>
        </w:tc>
      </w:tr>
      <w:tr>
        <w:trPr>
          <w:trHeight w:val="207"/>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2"/>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96"/>
              </w:rPr>
              <w:t>Dollars</w:t>
            </w: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Logistical services revenue</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16,776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(16,776)</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Cost of logistical services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02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15,001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3"/>
                <w:szCs w:val="13"/>
                <w:color w:val="auto"/>
              </w:rPr>
              <w:t>0.0</w:t>
            </w:r>
            <w:r>
              <w:rPr>
                <w:rFonts w:ascii="Times New Roman" w:cs="Times New Roman" w:eastAsia="Times New Roman" w:hAnsi="Times New Roman"/>
                <w:sz w:val="23"/>
                <w:szCs w:val="23"/>
                <w:color w:val="auto"/>
                <w:vertAlign w:val="sub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3"/>
                <w:szCs w:val="13"/>
                <w:color w:val="auto"/>
              </w:rPr>
              <w:t>0.0</w:t>
            </w:r>
            <w:r>
              <w:rPr>
                <w:rFonts w:ascii="Times New Roman" w:cs="Times New Roman" w:eastAsia="Times New Roman" w:hAnsi="Times New Roman"/>
                <w:sz w:val="23"/>
                <w:szCs w:val="23"/>
                <w:color w:val="auto"/>
                <w:vertAlign w:val="subscript"/>
              </w:rPr>
              <w:t>%</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1,712</w:t>
            </w:r>
          </w:p>
        </w:tc>
        <w:tc>
          <w:tcPr>
            <w:tcW w:w="82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3"/>
                <w:szCs w:val="13"/>
                <w:color w:val="auto"/>
              </w:rPr>
              <w:t>10.2</w:t>
            </w:r>
            <w:r>
              <w:rPr>
                <w:rFonts w:ascii="Times New Roman" w:cs="Times New Roman" w:eastAsia="Times New Roman" w:hAnsi="Times New Roman"/>
                <w:sz w:val="23"/>
                <w:szCs w:val="23"/>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9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Discontinued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Logistical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shown above represent the results of Zenith’s business transactions with third parties.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Zenith only operated as a subsidiary of the Company for the first quarter of fiscal 2022, during which period Zenith charged Bassett $9,121 for logistical services provided to our wholesale segment. These shipping and handling costs are included in selling, general and administrative expenses in the accompanying condensed consolidated statements of income. We entered into a service agreement with J.B. Hunt for the continuation of these services for a period of seven years following the sale of Zenith. Subsequent to the sale, we incurred $22,721, $26,125 and $27,604 of expense during fiscal 2024, 2023 and 2022, respectively, for the performance of logistical services by J.B. Hunt.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 Affecting Net Income (Loss)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items affecting net income (loss) for fiscal 2024, 2023 and 2022 are as follows:</w:t>
      </w:r>
    </w:p>
    <w:p>
      <w:pPr>
        <w:spacing w:after="0" w:line="216" w:lineRule="exact"/>
        <w:rPr>
          <w:sz w:val="20"/>
          <w:szCs w:val="20"/>
          <w:color w:val="auto"/>
        </w:rPr>
      </w:pPr>
    </w:p>
    <w:tbl>
      <w:tblPr>
        <w:tblLayout w:type="fixed"/>
        <w:tblInd w:w="160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(1)</w:t>
            </w: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2,673</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(2)</w:t>
            </w:r>
          </w:p>
        </w:tc>
        <w:tc>
          <w:tcPr>
            <w:tcW w:w="10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costs (3)</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gains (cost) of company-owned life insurance (4)</w:t>
            </w:r>
          </w:p>
        </w:tc>
        <w:tc>
          <w:tcPr>
            <w:tcW w:w="10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8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(loss), net</w:t>
            </w: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640" w:hanging="313"/>
        <w:spacing w:after="0" w:line="25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income arising from our short-term investments and interest-bearing cash equivalents. The increase in interest income for fiscal 2024 as compared with fiscal 2023 was due primarily to higher interest rates paid on certificates of deposit. See Note 4 to the Consolidated Financial Statements for additional information regarding our investments in certificates of deposit.</w:t>
      </w:r>
    </w:p>
    <w:p>
      <w:pPr>
        <w:spacing w:after="0" w:line="2"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attributable to finance leases for computer and office equipment. See Note 15 to the Consolidated Financial Statements for additional information regarding our leases.</w:t>
      </w:r>
    </w:p>
    <w:p>
      <w:pPr>
        <w:ind w:left="640" w:hanging="313"/>
        <w:spacing w:after="0" w:line="24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net periodic pension costs not included in income from operations. See Note 10 to the Consolidated Financial Statements for additional information related to our defined benefit pension plans.</w:t>
      </w: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arising from death benefits from Company-owned life insurance of $1,441 in fiscal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recorded an income tax benefit of $4,675 on the loss from continuing operations for 2024. In 2023, we recorded income tax expense on the loss from continuing operations of $683 and in 2022, we recorded $8,702 of income tax expense on the income from continuing operations. Our effective tax rate of 32.5% for 2024 differs from the federal statutory rate of 21.0% due to the increases in the valuation allowance placed on deferred tax assets resulting from pre-tax losses in foreign tax jurisdictions associated with Noa Home, the nondeductible impairment of the Noa Home tradename, the tax benefit recorded for the capital loss associated with the cumulative investment in Noa Home due to the shutdown of the operations, and the effects of state income taxes and various permanent differences. Our effective tax rate of (27.5%) for 2023 differs from the federal statutory rate of 21.0% due to the non-taxable goodwill impairment and non-taxable gain on revaluation of contingent consideration both of which are associated with the acquisition of Noa Home, increases in the valuation allowance placed on deferred tax assets resulting from pre-tax losses in foreign tax jurisdictions associated with Noa Home, and the effects of state income taxes and various permanent differences.</w:t>
      </w:r>
    </w:p>
    <w:p>
      <w:pPr>
        <w:spacing w:after="0" w:line="18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have net deferred tax assets of $6,867 as of November 30, 2024, which, upon utilization, are expected to reduce our cash outlays for income taxes in future years. It will require approximately $31,700 of future taxable income to utilize our net deferred tax assets.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committed to maintaining a strong balance sheet in order to weather difficult industry conditions, to allow us to take advantage of opportunities as market conditions improve, and to execute our long-term retail strategies.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Cash provided by operations for the year ended November 30, 2024 was $4,050 compared to cash provided by operations of $18,724 for the year ended November 25, 2023, representing a decrease of $14,674 in cash flows from operations. This decrease was primarily the result of changes in working capital due to the timing impact of expenditures as a result of an additional week in the first quarter of 2024 coupled with larger net loss in fiscal 2024.</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overall cash position declined $12,993 during fiscal 2024. During fiscal 2024, we spent $5,211 on purchases of property and equipment primarily consisting of the upfit of the new Tampa, Florida and Houston, Texas stores that opened in the first quarter of 2024, final payments on the Austin, Texas store remodel, update of the façade of the Greensboro, North Carolina store location and expenditures related to various information technology and manufacturing plant projects. During the fourth quarter of fiscal 2024 ,we purchased a $2,500 CD which has been pledged as collateral against our merchant services agreement with a bank. We also paid $6,654 in dividends during fiscal 2024. During 2024, we spent $1,420 to repurchase shares under our existing stock repurchase program as compared to $4,176 in 2023. As of November 30, 2024, $20,403 remains available for future purchases under our stock repurchase plan. With cash and cash equivalents and short-term investments totaling $59,911 on hand at November 30, 2024, expected future operating cash flows and the availability under our credit line noted below, we believe we have sufficient liquidity to fund operations for the foreseeable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November 30, 2024, we had $6,013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7"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7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Since our used commitment was less than $8,250 at November 30, 2024, we were not required to test the Consolidated Fixed Charge Coverage Ratio or the Consolidated Lease Adjusted Leverage to EBITDAR Ratio. Had we been required to test those ratios, we would not have been able to achieve the required levels for either of these ratios. Consequently, our availability under the Credit Facility is currently limited to an additional $2,237.</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The total future minimum lease payments for leases with terms in excess of one year at November 30, 2024 is $128,530 the present value of which is $106,445 and is included in our accompanying consolidated balance sheet at November 30, 2024. We were contingently liable under licensee lease obligation guarantees in the amount of $5,131 at November 30, 2024. The remaining terms under these lease guarantees range from approximately one to five years. See Note 15 to our consolidated financial statements for a schedule of future cash payments on our lease obligations and additional details regarding our leases and lease guarantees.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post-employment benefits to certain current and former executives and management level employees of the Company. Included among these benefits are two defined-benefit plans with a combined projected benefit obligation of $6,917 at November 30, 2024. See Note 10 to our consolidated financial statements for a projection of future benefit payments under these plans from 2025 through 2034. We also have deferred compensation plans with a total liability of $5,055 at November 30, 2024, the current portion of which is $330. See Note 10 to our consolidated financial statements for additional information regarding these plans.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Share Repurchases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fiscal 2024, we declared and paid four quarterly dividends totaling $6,654, or $0.76 per share. During fiscal 2024, we repurchased 101,305 shares of our stock for $1,420 under our share repurchase program. The weighted-average effect of these share repurchases on basic earnings per share from continuing operations was less than $0.01 per share. On March 9, 2022, our Board of Directors increased the remaining limit of the repurchase plan to $40,000. The approximate dollar value that may yet be purchased pursuant to our stock repurchase program as of November 30, 2024 was $20,403.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anticipate that total capital expenditures for fiscal 2025 will be between $8 million and $12 million, which will be used for remodeling various retail stores and additional investments in information technology, including enhancements to our website. Our capital expenditure and working capital requirements in the foreseeable future may change depending on many factors, including but not limited to the overall performance of the store program, our rate of growth, our operating results and any adjustments in our operating plan needed in response to industry conditions, competition or unexpected events. We believe that our existing cash, together with cash from operations, will be sufficient to meet our capital expenditure and working capital requirements for the foreseeable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account for items measured at fair value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 Inputs</w:t>
      </w:r>
      <w:r>
        <w:rPr>
          <w:rFonts w:ascii="Times New Roman" w:cs="Times New Roman" w:eastAsia="Times New Roman" w:hAnsi="Times New Roman"/>
          <w:sz w:val="18"/>
          <w:szCs w:val="18"/>
          <w:color w:val="auto"/>
        </w:rPr>
        <w:t>– Quoted prices for identical instruments in active markets.</w:t>
      </w:r>
    </w:p>
    <w:p>
      <w:pPr>
        <w:spacing w:after="0" w:line="2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Level 2 Inputs</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r>
        <w:rPr>
          <w:rFonts w:ascii="Times New Roman" w:cs="Times New Roman" w:eastAsia="Times New Roman" w:hAnsi="Times New Roman"/>
          <w:sz w:val="18"/>
          <w:szCs w:val="18"/>
          <w:color w:val="auto"/>
        </w:rPr>
        <w:t>– Instruments with primarily unobservable value drivers.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believe that the carrying amounts of our current assets and current liabilities approximate fair value due to the short-term nature of these items. Our primary non-recurring fair value estimates, typically involving the valuation of business acquisitions (see Note 3 to the Consolidated Financial Statements), goodwill impairments (see Note 8 to the Consolidated Financial Statements) and asset impairments (see Note 14 to the Consolidated Financial Statements) have utilized Level 3 inputs.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We lease land and buildings that are primarily used in the operation of our retail BHF stores and distribution facilities as well as certain manufacturing facilities in our upholstery operations. We have guaranteed certain lease obligations of licensee operators as part of our retail strategy. See Note 15 to the Consolidated Financial Statements, included in Item 8 of this Annual Report on Form 10-K, for further discussion of lease guarantees, including descriptions of the terms of such commitments and methods used to mitigate risks associated with these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involved in various claims and litigation as well as environmental matters, which arise in the normal course of business. Although the final outcome of these legal and environmental matters cannot be determined, based on the facts presently known, it is our opinion that the final resolution of these matters will not have a material adverse effect on our financial position or future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accounting principles generally accepted in the United States of America (“GAAP”) which requires that certain estimates and assumptions be made that affect the amounts and disclosures reported in those financial statements and the related accompanying notes. Actual results could differ from these estimates and assumptions. We use our best judgment in valuing these estimates and may, as warranted, solicit external advice. Estimates are based on current facts and circumstances, prior experience and other assumptions believed to be reasonable. The following critical accounting policies, some of which are impacted significantly by judgments, assumptions and estimates, affect our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8" w:name="page29"/>
    <w:bookmarkEnd w:id="28"/>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when we transfer promised goods to our customers in an amount that reflects the consideration that we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in exchange for those goods. For our wholesale and retail segments, revenue is recognized when the risks and rewards of ownership and title to the product have transferred to the buyer.</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wholesale, transfer occurs and revenue is recognized upon the shipment of goods to independent dealers and licensee-owned BHF stores. We offer payment terms varying from 30 to 60 days for wholesale customers. Estimates for returns and allowances have been recorded as a reduction of revenue based on our historical return patterns. The contracts with our licensee store owners do not provide for any royalty or license fee to be paid to us.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$25,742 and $22,788 as of November 30, 2024 and November 25, 2023, respectively. Substantially all of the customer deposits held at November 25, 2023 related to performance obligations satisfied during fiscal 2024 and have therefore been recognized in revenue for the year ended November 30, 2024. Estimates for returns and allowances have been recorded as a reduction of revenue based on our historical return patterns.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We maintain an allowance for credit losses for estimated losses resulting from the inability of our customers to make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Our accounts receivable reserves were $1,097 and $535 at November 30, 2024 and November 25, 2023, respectively, representing 7.7% and 3.7% of our gross accounts receivable balances at those dates, respectively. The allowance for credit losses is based on a review of specifically identified customer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based on our expectations over the expected life of the receivables, which is generally ninety days or less. Although actual losses have not differed materially from our previous estimates, future losses could differ from our current estimates. Unforeseen events such as a licensee or customer bankruptcy filing could have a material impact on our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accounted for under the first-in, first out (“FIFO”) method are stated at the lower of cost or net realizable value, and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under the last-in, first out method (“LIFO”) is stated at the lower of cost or market. Cost is determined for domestic furniture inventories, excluding outdoor furniture products, using the LIFO method. The cost of imported inventories, domestic outdoor furniture products and Noa Home product inventories is determined on a FIFO basis. We estimate an inventory reserve for excess quantities and obsolete items based on specific identification and historical write-offs, taking into account future demand and market conditions. Our reserves for excess and obsolete inventory were $5,395 and $5,183 at November 30, 2024 and November 25, 2023, respectively, representing 8.9% and 7.6%, respectively, of our inventories on a LIFO basis. If actual demand or market conditions in the future are less favorable than those estimated, additional inventory write-downs may be required.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fair value of consideration given over the fair value of the tangible assets and liabilities and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of businesses acquired. The acquisition of assets and liabilities and the resulting goodwill is allocated to the respective reporting unit: Wood, Upholstery, Retail – Company-Owned Stores, and Noa Home. We review goodwill at the reporting unit level annually for impairment or more frequently if events or circumstances indicate that assets might be impaired.</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&amp; Other,</w:t>
      </w:r>
      <w:r>
        <w:rPr>
          <w:rFonts w:ascii="Times New Roman" w:cs="Times New Roman" w:eastAsia="Times New Roman" w:hAnsi="Times New Roman"/>
          <w:sz w:val="18"/>
          <w:szCs w:val="18"/>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(as amended by Accounting Standards Update No.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 (Topic 350):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The more likely than not threshold is defined as having a likelihood of more than 50 percent. If,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2024, we performed the qualitative assessment as described above with respect to our upholstery reporting unit and concluded that there was no impairment of the goodwill allocated to that reporting unit as of November 30, 2024. For the annual test of the goodwill performed as of the beginning of the fourth quarter of fiscal 2023, we concluded that there was no impairment of the goodwill allocated to our upholstery reporting unit, however with respect to our Noa Home reporting unit, we proceeded to the quantitative test and concluded that the goodwill allocated to that reporting unit as of November 25, 2023 was fully impaired as the difficult environment for companies selling furniture on the web resulted in Noa Home performing well below initial projections and expectations. For the annual test of goodwill performed as of the beginning of the fourth fiscal quarter of 2022, we performed the qualitative assessment as described above and concluded that there was no impairment of our goodwill as of November 26, 2022.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 Intangible assets acquired in a business combination and determined to have an indefinite useful life are not amortized but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During fiscal 2024, as a result of our decision to cease operations at Noa Home, we recognized a charge of $1,827 to fully impair the Noa Home trade name intangible asset. At November 30, 2024, our indefinite-lived intangible asset other than goodwill consisted of the trade name acquired in the acquisition of Lane Venture and had a carrying value of $6,848.</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 At November 30, 2024 our definite-lived intangible assets consist of customer relationships acquired in the acquisition of Lane Venture with a carrying value of $120.</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We periodically evaluate whether events or circumstances have occurred that indicate long-lived assets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of the asset. In the event the sum of the expected undiscounted future cash flows is less than the carrying value of the asset, an impairment loss equal to the excess of the asset’s carrying value over its fair value is recorded. 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Right of use assets under operating leases are written down to their estimated fair value. Our estimates of the fair value of the impaired right of use assets include estimates of discounted cash flows based upon current market rents and other inputs which we consider to be Level 3 inputs as specified in the fair value hierarchy in ASC Topic 820, Fair Value Measurement and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See Note 2 to our Consolidated Financial Statements regarding the impact or potential impact of recent accounting pronouncements upon our financial position and results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color w:val="auto"/>
        </w:rPr>
        <w:t>QUANTITATIVE AND QUALITATIVE DISCLOSURES ABOUT MARKET RISK</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purchases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2024. We were also exposed to foreign currency market risk through our investment in Noa Home. Our investment in Noa Home was subject to changes in the value of the Canadian dollar versus the U.S. dollar. Additionally, Noa Home was exposed to other local currency fluctuation risk through its operations in Australia, Singapore, the United States and the United Kingdom. During fiscal 2024, we recognized a charge of $962 resulting from the realization of Noa Home’s cumulative translation losses that were previously carried in accumulated other comprehensive income.</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exposed to market risk from changes in the cost of raw materials used in our manufacturing processes, principally wood, woven fabric, and foam products. The cost of foam products, which are petroleum-based, is sensitive to changes in the prices of oil and refined petroleum materials.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$24,127 and $24,279 at November 30, 2024 and November 25, 2023, respectively, for Company-owned stores, consisting of eight locations with a total of 203,465 square feet of space, could suffer significant impairment in value if we are forced to close additional stores and sell or lease the related properties during periods of weakness in certain markets. Additionally, if we are required to assume responsibility for payment under the lease obligations of $5,131 and $1,845 which we have guaranteed on behalf of licensees as of November 30, 2024 and November 25, 2023, respectively,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and warehouse facilities. At November 30, 2024, the unamortized balance of such right-of-use assets totaled $93,472. Should we have to close or otherwise abandon one of these leased locations, we could incur additional impairment charges if rental market conditions do not support a fair value for the right of use asset in excess of its carrying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color w:val="auto"/>
        </w:rPr>
        <w:t>FINANCIAL STATEMENTS AND SUPPLEMENTARY DATA</w:t>
      </w:r>
    </w:p>
    <w:p>
      <w:pPr>
        <w:spacing w:after="0" w:line="22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Bassett Furniture Industries, Incorporated and Subsidiaries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Bassett Furniture Industries, Incorporated and subsidiaries (the Company) as of November 30, 2024 and November 25, 2023, the related consolidated statements of operations, comprehensive income (loss), stockholders' equity and cash flows for each of the three years in the period ended November 30,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30, 2024 and November 25, 2023, and the results of its operations and its cash flows for each of the three years in the period ended November 30, 2024, in conformity with U.S. generally accepted accounting principles.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November 30, 2024, based on criteria established in Internal Control—Integrated Framework issued by the Committee of Sponsoring Organizations of the Treadway Commission (2013 framework), and our report dated February 10, 2025 expressed an unqualified opinion thereon.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ind w:left="1740"/>
        <w:spacing w:after="0"/>
        <w:rPr>
          <w:sz w:val="20"/>
          <w:szCs w:val="20"/>
          <w:color w:val="auto"/>
        </w:rPr>
      </w:pPr>
      <w:r>
        <w:rPr>
          <w:rFonts w:ascii="Times New Roman" w:cs="Times New Roman" w:eastAsia="Times New Roman" w:hAnsi="Times New Roman"/>
          <w:sz w:val="18"/>
          <w:szCs w:val="18"/>
          <w:b w:val="1"/>
          <w:bCs w:val="1"/>
          <w:i w:val="1"/>
          <w:iCs w:val="1"/>
          <w:color w:val="auto"/>
        </w:rPr>
        <w:t>Measurement of Wholesale Reserves for Excess and Obsolete Inventories</w:t>
      </w:r>
    </w:p>
    <w:p>
      <w:pPr>
        <w:spacing w:after="0" w:line="222" w:lineRule="exact"/>
        <w:rPr>
          <w:sz w:val="20"/>
          <w:szCs w:val="20"/>
          <w:color w:val="auto"/>
        </w:rPr>
      </w:pPr>
    </w:p>
    <w:p>
      <w:pPr>
        <w:ind w:left="60"/>
        <w:spacing w:after="0"/>
        <w:tabs>
          <w:tab w:leader="none" w:pos="17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November 30, 2024, the Company’s inventories were $54.9 million. As discussed in Note 2 and Note 6 to the consolidated</w:t>
      </w:r>
    </w:p>
    <w:p>
      <w:pPr>
        <w:spacing w:after="0" w:line="27" w:lineRule="exact"/>
        <w:rPr>
          <w:sz w:val="20"/>
          <w:szCs w:val="20"/>
          <w:color w:val="auto"/>
        </w:rPr>
      </w:pPr>
    </w:p>
    <w:p>
      <w:pPr>
        <w:jc w:val="both"/>
        <w:ind w:left="1740" w:hanging="1679"/>
        <w:spacing w:after="0" w:line="249" w:lineRule="auto"/>
        <w:tabs>
          <w:tab w:leader="none" w:pos="17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financial statements, cost for wholesale, domestic manufactured furniture inventories is determined using the last-in, first-out (“LIFO”) method and are stated at the lower of cost or market. The cost of imported inventories and domestic outdoor furniture products is determined using the first-in, first-out (“FIFO”) method and stated at the lower of cost or net realizable value. Wholesale reserves for excess and obsolete inventories are determined based upon specific identification, historical write-offs, recent and projected sales trends, and, for domestic manufactured furniture, the respective valuations at LIFO.</w:t>
      </w:r>
    </w:p>
    <w:p>
      <w:pPr>
        <w:spacing w:after="0" w:line="188" w:lineRule="exact"/>
        <w:rPr>
          <w:sz w:val="20"/>
          <w:szCs w:val="20"/>
          <w:color w:val="auto"/>
        </w:rPr>
      </w:pPr>
    </w:p>
    <w:p>
      <w:pPr>
        <w:ind w:left="1740" w:right="20"/>
        <w:spacing w:after="0" w:line="277" w:lineRule="auto"/>
        <w:rPr>
          <w:sz w:val="20"/>
          <w:szCs w:val="20"/>
          <w:color w:val="auto"/>
        </w:rPr>
      </w:pPr>
      <w:r>
        <w:rPr>
          <w:rFonts w:ascii="Times New Roman" w:cs="Times New Roman" w:eastAsia="Times New Roman" w:hAnsi="Times New Roman"/>
          <w:sz w:val="18"/>
          <w:szCs w:val="18"/>
          <w:color w:val="auto"/>
        </w:rPr>
        <w:t>Auditing management’s wholesale excess or obsolete inventories was complex due to the highly judgmental nature and estimation uncertainty in determining reserve percentages based on specific identification.</w:t>
      </w:r>
    </w:p>
    <w:p>
      <w:pPr>
        <w:spacing w:after="0" w:line="161" w:lineRule="exact"/>
        <w:rPr>
          <w:sz w:val="20"/>
          <w:szCs w:val="20"/>
          <w:color w:val="auto"/>
        </w:rPr>
      </w:pPr>
    </w:p>
    <w:p>
      <w:pPr>
        <w:jc w:val="right"/>
        <w:ind w:lef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r>
        <w:rPr>
          <w:rFonts w:ascii="Times New Roman" w:cs="Times New Roman" w:eastAsia="Times New Roman" w:hAnsi="Times New Roman"/>
          <w:sz w:val="18"/>
          <w:szCs w:val="18"/>
          <w:i w:val="1"/>
          <w:iCs w:val="1"/>
          <w:color w:val="auto"/>
        </w:rPr>
        <w:t xml:space="preserve"> Matter in Our Audit   </w:t>
      </w:r>
      <w:r>
        <w:rPr>
          <w:rFonts w:ascii="Times New Roman" w:cs="Times New Roman" w:eastAsia="Times New Roman" w:hAnsi="Times New Roman"/>
          <w:sz w:val="18"/>
          <w:szCs w:val="18"/>
          <w:color w:val="auto"/>
        </w:rPr>
        <w:t>determination of the wholesale reserves for excess and obsolete inventories. For example, we tested the control over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the calculation of wholesale reserves for excess and obsolete inventories, which included their review of the significant</w:t>
      </w:r>
    </w:p>
    <w:p>
      <w:pPr>
        <w:spacing w:after="0" w:line="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assumptions described above.</w:t>
      </w:r>
    </w:p>
    <w:p>
      <w:pPr>
        <w:spacing w:after="0" w:line="201" w:lineRule="exact"/>
        <w:rPr>
          <w:sz w:val="20"/>
          <w:szCs w:val="20"/>
          <w:color w:val="auto"/>
        </w:rPr>
      </w:pPr>
    </w:p>
    <w:p>
      <w:pPr>
        <w:jc w:val="both"/>
        <w:ind w:left="1740"/>
        <w:spacing w:after="0" w:line="250" w:lineRule="auto"/>
        <w:rPr>
          <w:sz w:val="20"/>
          <w:szCs w:val="20"/>
          <w:color w:val="auto"/>
        </w:rPr>
      </w:pPr>
      <w:r>
        <w:rPr>
          <w:rFonts w:ascii="Times New Roman" w:cs="Times New Roman" w:eastAsia="Times New Roman" w:hAnsi="Times New Roman"/>
          <w:sz w:val="18"/>
          <w:szCs w:val="18"/>
          <w:color w:val="auto"/>
        </w:rPr>
        <w:t>Our audit procedures to test the reserves for wholesale excess and obsolete inventories included, among others, testing the completeness and accuracy of the underlying data used in management’s analyses, including the specific identification of inventory categories. We evaluated the reasonableness of management’s assumptions by performing a retrospective review of historical assumptions to actual activity, including write-off history and changes in on-hand inventory quantities. We also evaluated the Company’s reserve for wholesale excess and obsolete inventories as compared to the wholesale inventory valuation at LIFO. We held discussions with senior financial and operational management to determine whether any strategic or operational changes in the business would impact expected demand for or related carrying value of inventory. We also performed substantive analytical procedures designed to predict the ending inventory reserve balance using historical reserve percentages adjusted for our knowledge of current year sales and inventory levels. We searched for and evaluated information that corroborated or contradicted the Company’s assumptions.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30, 2024 and November 25, 2023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67"/>
        </w:trPr>
        <w:tc>
          <w:tcPr>
            <w:tcW w:w="800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r>
      <w:tr>
        <w:trPr>
          <w:trHeight w:val="195"/>
        </w:trPr>
        <w:tc>
          <w:tcPr>
            <w:tcW w:w="8000" w:type="dxa"/>
            <w:vAlign w:val="bottom"/>
            <w:gridSpan w:val="3"/>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$1,097 and $535 as of November 30, 2024 and</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November 25, 2023, respectively</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r>
      <w:tr>
        <w:trPr>
          <w:trHeight w:val="213"/>
        </w:trPr>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Recoverable income taxes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Pr>
          <w:p>
            <w:pPr>
              <w:spacing w:after="0"/>
              <w:rPr>
                <w:sz w:val="18"/>
                <w:szCs w:val="18"/>
                <w:color w:val="auto"/>
              </w:rPr>
            </w:pPr>
          </w:p>
        </w:tc>
      </w:tr>
      <w:tr>
        <w:trPr>
          <w:trHeight w:val="207"/>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r>
      <w:tr>
        <w:trPr>
          <w:trHeight w:val="207"/>
        </w:trPr>
        <w:tc>
          <w:tcPr>
            <w:tcW w:w="48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5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r>
      <w:tr>
        <w:trPr>
          <w:trHeight w:val="213"/>
        </w:trPr>
        <w:tc>
          <w:tcPr>
            <w:tcW w:w="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r>
      <w:tr>
        <w:trPr>
          <w:trHeight w:val="213"/>
        </w:trPr>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r>
      <w:tr>
        <w:trPr>
          <w:trHeight w:val="213"/>
        </w:trPr>
        <w:tc>
          <w:tcPr>
            <w:tcW w:w="8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Pr>
          <w:p>
            <w:pPr>
              <w:spacing w:after="0"/>
              <w:rPr>
                <w:sz w:val="17"/>
                <w:szCs w:val="17"/>
                <w:color w:val="auto"/>
              </w:rPr>
            </w:pPr>
          </w:p>
        </w:tc>
      </w:tr>
      <w:tr>
        <w:trPr>
          <w:trHeight w:val="247"/>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194"/>
        </w:trPr>
        <w:tc>
          <w:tcPr>
            <w:tcW w:w="480" w:type="dxa"/>
            <w:vAlign w:val="bottom"/>
            <w:tcBorders>
              <w:top w:val="single" w:sz="8" w:color="CCEEFF"/>
            </w:tcBorders>
          </w:tcPr>
          <w:p>
            <w:pPr>
              <w:spacing w:after="0"/>
              <w:rPr>
                <w:sz w:val="16"/>
                <w:szCs w:val="16"/>
                <w:color w:val="auto"/>
              </w:rPr>
            </w:pPr>
          </w:p>
        </w:tc>
        <w:tc>
          <w:tcPr>
            <w:tcW w:w="2260" w:type="dxa"/>
            <w:vAlign w:val="bottom"/>
            <w:tcBorders>
              <w:top w:val="single" w:sz="8" w:color="CCEEFF"/>
            </w:tcBorders>
          </w:tcPr>
          <w:p>
            <w:pPr>
              <w:spacing w:after="0"/>
              <w:rPr>
                <w:sz w:val="16"/>
                <w:szCs w:val="16"/>
                <w:color w:val="auto"/>
              </w:rPr>
            </w:pPr>
          </w:p>
        </w:tc>
        <w:tc>
          <w:tcPr>
            <w:tcW w:w="52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3"/>
        </w:trPr>
        <w:tc>
          <w:tcPr>
            <w:tcW w:w="800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r>
      <w:tr>
        <w:trPr>
          <w:trHeight w:val="213"/>
        </w:trPr>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r>
      <w:tr>
        <w:trPr>
          <w:trHeight w:val="213"/>
        </w:trPr>
        <w:tc>
          <w:tcPr>
            <w:tcW w:w="8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r>
      <w:tr>
        <w:trPr>
          <w:trHeight w:val="207"/>
        </w:trPr>
        <w:tc>
          <w:tcPr>
            <w:tcW w:w="4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r>
      <w:tr>
        <w:trPr>
          <w:trHeight w:val="213"/>
        </w:trPr>
        <w:tc>
          <w:tcPr>
            <w:tcW w:w="80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r>
      <w:tr>
        <w:trPr>
          <w:trHeight w:val="207"/>
        </w:trPr>
        <w:tc>
          <w:tcPr>
            <w:tcW w:w="4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000" w:type="dxa"/>
            <w:vAlign w:val="bottom"/>
            <w:gridSpan w:val="3"/>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$5 par value; 50,000,000 shares authorized; issued and outstanding 8,736,046 at November</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 2024 and 8,768,221 at November 25, 2023</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r>
      <w:tr>
        <w:trPr>
          <w:trHeight w:val="213"/>
        </w:trPr>
        <w:tc>
          <w:tcPr>
            <w:tcW w:w="8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3"/>
        </w:trPr>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07"/>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20" w:type="dxa"/>
            <w:vAlign w:val="bottom"/>
          </w:tcPr>
          <w:p>
            <w:pPr>
              <w:spacing w:after="0"/>
              <w:rPr>
                <w:sz w:val="17"/>
                <w:szCs w:val="17"/>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November 30, 2024, November 25, 2023, and November 26,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7"/>
        </w:trPr>
        <w:tc>
          <w:tcPr>
            <w:tcW w:w="5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329,923</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390,136</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485,601</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183,648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237,262</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206,488</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248,339</w:t>
            </w:r>
          </w:p>
        </w:tc>
      </w:tr>
      <w:tr>
        <w:trPr>
          <w:trHeight w:val="213"/>
        </w:trPr>
        <w:tc>
          <w:tcPr>
            <w:tcW w:w="5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187,527</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205,227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218,069</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Loss upon realization of cumulative translation adjustment</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4,595</w:t>
            </w:r>
          </w:p>
        </w:tc>
      </w:tr>
      <w:tr>
        <w:trPr>
          <w:trHeight w:val="207"/>
        </w:trPr>
        <w:tc>
          <w:tcPr>
            <w:tcW w:w="5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(16,269)</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34,865</w:t>
            </w:r>
          </w:p>
        </w:tc>
      </w:tr>
      <w:tr>
        <w:trPr>
          <w:trHeight w:val="213"/>
        </w:trPr>
        <w:tc>
          <w:tcPr>
            <w:tcW w:w="5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2,673</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r>
      <w:tr>
        <w:trPr>
          <w:trHeight w:val="207"/>
        </w:trPr>
        <w:tc>
          <w:tcPr>
            <w:tcW w:w="5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(14,370)</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34,062</w:t>
            </w:r>
          </w:p>
        </w:tc>
      </w:tr>
      <w:tr>
        <w:trPr>
          <w:trHeight w:val="213"/>
        </w:trPr>
        <w:tc>
          <w:tcPr>
            <w:tcW w:w="5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(4,675)</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8,702</w:t>
            </w:r>
          </w:p>
        </w:tc>
      </w:tr>
      <w:tr>
        <w:trPr>
          <w:trHeight w:val="207"/>
        </w:trPr>
        <w:tc>
          <w:tcPr>
            <w:tcW w:w="5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(9,695)</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25,360</w:t>
            </w:r>
          </w:p>
        </w:tc>
      </w:tr>
      <w:tr>
        <w:trPr>
          <w:trHeight w:val="213"/>
        </w:trPr>
        <w:tc>
          <w:tcPr>
            <w:tcW w:w="5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operations of logistical services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1,712</w:t>
            </w:r>
          </w:p>
        </w:tc>
      </w:tr>
      <w:tr>
        <w:trPr>
          <w:trHeight w:val="21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disposal</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52,534</w:t>
            </w:r>
          </w:p>
        </w:tc>
      </w:tr>
      <w:tr>
        <w:trPr>
          <w:trHeight w:val="213"/>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14,261</w:t>
            </w:r>
          </w:p>
        </w:tc>
      </w:tr>
      <w:tr>
        <w:trPr>
          <w:trHeight w:val="207"/>
        </w:trPr>
        <w:tc>
          <w:tcPr>
            <w:tcW w:w="54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39,985</w:t>
            </w:r>
          </w:p>
        </w:tc>
      </w:tr>
      <w:tr>
        <w:trPr>
          <w:trHeight w:val="207"/>
        </w:trPr>
        <w:tc>
          <w:tcPr>
            <w:tcW w:w="54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(9,695)</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65,345</w:t>
            </w:r>
          </w:p>
        </w:tc>
      </w:tr>
      <w:tr>
        <w:trPr>
          <w:trHeight w:val="194"/>
        </w:trPr>
        <w:tc>
          <w:tcPr>
            <w:tcW w:w="546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3"/>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0"/>
        </w:trPr>
        <w:tc>
          <w:tcPr>
            <w:tcW w:w="54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194"/>
        </w:trPr>
        <w:tc>
          <w:tcPr>
            <w:tcW w:w="546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Regular dividends</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546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rPr>
              <w:t>Special dividend</w:t>
            </w:r>
          </w:p>
        </w:tc>
        <w:tc>
          <w:tcPr>
            <w:tcW w:w="118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35" w:name="page36"/>
    <w:bookmarkEnd w:id="35"/>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Bassett Furniture Industries, Incorporated and Subsidiaries For the years ended November 30, 2024, November 25, 2023, and November 25, 2022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7"/>
        </w:trPr>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(9,695)</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65,345</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1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Actuarial adjustment to</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Long Term Cash Awards (LTCA)</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associated with LTCA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195"/>
        </w:trPr>
        <w:tc>
          <w:tcPr>
            <w:tcW w:w="6140" w:type="dxa"/>
            <w:vAlign w:val="bottom"/>
            <w:shd w:val="clear" w:color="auto" w:fill="CCEEFF"/>
          </w:tcPr>
          <w:p>
            <w:pPr>
              <w:ind w:left="320"/>
              <w:spacing w:after="0" w:line="195" w:lineRule="exact"/>
              <w:rPr>
                <w:sz w:val="20"/>
                <w:szCs w:val="20"/>
                <w:color w:val="auto"/>
              </w:rPr>
            </w:pPr>
            <w:r>
              <w:rPr>
                <w:rFonts w:ascii="Times New Roman" w:cs="Times New Roman" w:eastAsia="Times New Roman" w:hAnsi="Times New Roman"/>
                <w:sz w:val="18"/>
                <w:szCs w:val="18"/>
                <w:color w:val="auto"/>
              </w:rPr>
              <w:t>Actuarial adjustment to supplemental executive retirement defined benefit plan</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6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(SERP)</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r>
      <w:tr>
        <w:trPr>
          <w:trHeight w:val="21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associated with SERP</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r>
      <w:tr>
        <w:trPr>
          <w:trHeight w:val="207"/>
        </w:trPr>
        <w:tc>
          <w:tcPr>
            <w:tcW w:w="6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6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w:t>
            </w:r>
          </w:p>
        </w:tc>
      </w:tr>
      <w:tr>
        <w:trPr>
          <w:trHeight w:val="207"/>
        </w:trPr>
        <w:tc>
          <w:tcPr>
            <w:tcW w:w="6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1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67,218</w:t>
            </w: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8"/>
        </w:trPr>
        <w:tc>
          <w:tcPr>
            <w:tcW w:w="9680" w:type="dxa"/>
            <w:vAlign w:val="bottom"/>
            <w:gridSpan w:val="8"/>
          </w:tcPr>
          <w:p>
            <w:pPr>
              <w:ind w:left="202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1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6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1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November 30, 2024, November 25, 2023, and November 26,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(9,695)</w:t>
            </w: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65,345</w:t>
            </w:r>
          </w:p>
        </w:tc>
      </w:tr>
      <w:tr>
        <w:trPr>
          <w:trHeight w:val="195"/>
        </w:trPr>
        <w:tc>
          <w:tcPr>
            <w:tcW w:w="6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11,309</w:t>
            </w:r>
          </w:p>
        </w:tc>
      </w:tr>
      <w:tr>
        <w:trPr>
          <w:trHeight w:val="213"/>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(52,534)</w:t>
            </w:r>
          </w:p>
        </w:tc>
      </w:tr>
      <w:tr>
        <w:trPr>
          <w:trHeight w:val="213"/>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goodwill impairment charge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(gain) on disposals of property and equipment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(4,595)</w:t>
            </w:r>
          </w:p>
        </w:tc>
      </w:tr>
      <w:tr>
        <w:trPr>
          <w:trHeight w:val="213"/>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3,648</w:t>
            </w:r>
          </w:p>
        </w:tc>
      </w:tr>
      <w:tr>
        <w:trPr>
          <w:trHeight w:val="213"/>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(2,442)</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r>
        <w:trPr>
          <w:trHeight w:val="213"/>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3"/>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3,169</w:t>
            </w:r>
          </w:p>
        </w:tc>
      </w:tr>
      <w:tr>
        <w:trPr>
          <w:trHeight w:val="213"/>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(9,536)</w:t>
            </w:r>
          </w:p>
        </w:tc>
      </w:tr>
      <w:tr>
        <w:trPr>
          <w:trHeight w:val="21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(2,427)</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5,944</w:t>
            </w:r>
          </w:p>
        </w:tc>
      </w:tr>
      <w:tr>
        <w:trPr>
          <w:trHeight w:val="213"/>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18,680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20,531</w:t>
            </w:r>
          </w:p>
        </w:tc>
      </w:tr>
      <w:tr>
        <w:trPr>
          <w:trHeight w:val="21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(13,175)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(16,588)</w:t>
            </w:r>
          </w:p>
        </w:tc>
      </w:tr>
      <w:tr>
        <w:trPr>
          <w:trHeight w:val="213"/>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(7,246)</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(4,073)</w:t>
            </w:r>
          </w:p>
        </w:tc>
      </w:tr>
      <w:tr>
        <w:trPr>
          <w:trHeight w:val="21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(20,637)</w:t>
            </w:r>
          </w:p>
        </w:tc>
        <w:tc>
          <w:tcPr>
            <w:tcW w:w="9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(20,196)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(22,949)</w:t>
            </w:r>
          </w:p>
        </w:tc>
      </w:tr>
      <w:tr>
        <w:trPr>
          <w:trHeight w:val="20"/>
        </w:trPr>
        <w:tc>
          <w:tcPr>
            <w:tcW w:w="6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18,724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(2,970)</w:t>
            </w:r>
          </w:p>
        </w:tc>
      </w:tr>
      <w:tr>
        <w:trPr>
          <w:trHeight w:val="207"/>
        </w:trPr>
        <w:tc>
          <w:tcPr>
            <w:tcW w:w="63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(5,211)</w:t>
            </w:r>
          </w:p>
        </w:tc>
        <w:tc>
          <w:tcPr>
            <w:tcW w:w="9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(17,489)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(21,296)</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8,226</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business acquisitions, net of cash acquired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(5,582)</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certificates of deposit</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(2,585)</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disposition of discontinued operations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84,534</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(8,768)</w:t>
            </w:r>
          </w:p>
        </w:tc>
        <w:tc>
          <w:tcPr>
            <w:tcW w:w="9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(17,763)</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65,842</w:t>
            </w:r>
          </w:p>
        </w:tc>
      </w:tr>
      <w:tr>
        <w:trPr>
          <w:trHeight w:val="207"/>
        </w:trPr>
        <w:tc>
          <w:tcPr>
            <w:tcW w:w="63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(6,654)</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(20,162)</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(1,420)</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(15,122)</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9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r>
      <w:tr>
        <w:trPr>
          <w:trHeight w:val="20"/>
        </w:trPr>
        <w:tc>
          <w:tcPr>
            <w:tcW w:w="6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(8,117)</w:t>
            </w:r>
          </w:p>
        </w:tc>
        <w:tc>
          <w:tcPr>
            <w:tcW w:w="9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(10,227)</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(35,563)</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6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9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(12,856)</w:t>
            </w:r>
          </w:p>
        </w:tc>
        <w:tc>
          <w:tcPr>
            <w:tcW w:w="9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(9,218)</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27,251</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34,374</w:t>
            </w:r>
          </w:p>
        </w:tc>
      </w:tr>
      <w:tr>
        <w:trPr>
          <w:trHeight w:val="20"/>
        </w:trPr>
        <w:tc>
          <w:tcPr>
            <w:tcW w:w="6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220" w:type="dxa"/>
            <w:vAlign w:val="bottom"/>
          </w:tcPr>
          <w:p>
            <w:pPr>
              <w:spacing w:after="0"/>
              <w:rPr>
                <w:sz w:val="17"/>
                <w:szCs w:val="17"/>
                <w:color w:val="auto"/>
              </w:rPr>
            </w:pP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52,407</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r>
      <w:tr>
        <w:trPr>
          <w:trHeight w:val="20"/>
        </w:trPr>
        <w:tc>
          <w:tcPr>
            <w:tcW w:w="6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37" w:name="page38"/>
    <w:bookmarkEnd w:id="37"/>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Bassett Furniture Industries, Incorporated and Subsidiaries For the years ended November 30, 2024, November 25, 2023, and November 26, 2022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660" w:type="dxa"/>
            <w:vAlign w:val="bottom"/>
            <w:gridSpan w:val="5"/>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266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27,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9,762,125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48,811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115,631</w:t>
            </w:r>
          </w:p>
        </w:tc>
        <w:tc>
          <w:tcPr>
            <w:tcW w:w="3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162,732</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65,345</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of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5"/>
        </w:trPr>
        <w:tc>
          <w:tcPr>
            <w:tcW w:w="328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Amortization of defined benefit plan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costs,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Actuarial adjustments to defined benefit</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plans, net of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($0.60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dividend ($1.50 per share)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59,024</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(869,310)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(15,141)</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26,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8,951,839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150,800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195,609</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195"/>
        </w:trPr>
        <w:tc>
          <w:tcPr>
            <w:tcW w:w="328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Amortization of defined benefit plan</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costs, net of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5"/>
        </w:trPr>
        <w:tc>
          <w:tcPr>
            <w:tcW w:w="328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Actuarial adjustments to defined benefit</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plans,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dividends ($0.68 per share)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74,421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(258,039)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25,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8,768,221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139,354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183,441</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(9,695)</w:t>
            </w:r>
          </w:p>
        </w:tc>
        <w:tc>
          <w:tcPr>
            <w:tcW w:w="0" w:type="dxa"/>
            <w:vAlign w:val="bottom"/>
          </w:tcPr>
          <w:p>
            <w:pPr>
              <w:spacing w:after="0"/>
              <w:rPr>
                <w:sz w:val="1"/>
                <w:szCs w:val="1"/>
                <w:color w:val="auto"/>
              </w:rPr>
            </w:pPr>
          </w:p>
        </w:tc>
      </w:tr>
      <w:tr>
        <w:trPr>
          <w:trHeight w:val="195"/>
        </w:trPr>
        <w:tc>
          <w:tcPr>
            <w:tcW w:w="328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Amortization of defined benefit plan</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costs, net of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5"/>
        </w:trPr>
        <w:tc>
          <w:tcPr>
            <w:tcW w:w="328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Actuarial adjustments to defined benefit</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plans,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dividends ($0.76 per share)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(6,654)</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79,490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(111,665)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30,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8,736,046</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43,681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122,847</w:t>
            </w:r>
          </w:p>
        </w:tc>
        <w:tc>
          <w:tcPr>
            <w:tcW w:w="3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167,327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940" w:type="dxa"/>
            <w:vAlign w:val="bottom"/>
            <w:gridSpan w:val="18"/>
          </w:tcPr>
          <w:p>
            <w:pPr>
              <w:ind w:left="202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38" w:name="page39"/>
    <w:bookmarkEnd w:id="38"/>
    <w:p>
      <w:pPr>
        <w:ind w:left="320" w:hanging="313"/>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Bassett Furniture Industries, Incorporated (together with its consolidated subsidiaries, “Bassett”, “we”, “our”, the “Company”) based in Bassett, Virginia, is a leading manufacturer, marketer and retailer of branded home furnishings. Bassett’s full range of furniture products and accessories, designed to provide quality, style and value, are sold through an exclusive nation-wide network of 87 retail stores known as Bassett Home Furnishings (referred to as “BHF”). Of the 87 stores, the Company owns and operates 58 stores (“Company-owned retail stores”) with the other 29 being independently owned (“licensee operated”). We also distribute our products through other multi-line furniture stores, many of which feature Bassett galleries or design centers. Products can also be purchased by the end consumer directly from our website.</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sourced approximately 20% of our wholesale products from various foreign countries, with the remaining volume produced at our five domestic manufacturing facilities.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 and Principles of Consolidation</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fiscal year ends on the last Saturday in November, which periodically results in a 53-week year. Fiscal 2024 contained 53 weeks while fiscal 2023 and 2022 each contained 52 weeks. The Consolidated Financial Statements include the accounts of Bassett Furniture Industries, Incorporated and our majority-owned subsidiaries in which we have a controlling interest. All significant intercompany balances and transactions are eliminated in consolidation. The financial statements have been prepared in accordance with generally accepted accounting principles in the United States ("GAAP"). Unless otherwise indicated, references in the Consolidated Financial Statements to fiscal 2024, 2023 and 2022 are to Bassett's fiscal year ended November 30, 2024, November 25, 2023 and November 26, 2022, respectively. References to the “ASC” included hereinafter refer to the Accounting Standards Codification established by the Financial Accounting Standards Board as the source of authoritative GAAP.</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analyzed our licensees under the requirements for variable interest entities (“VIEs”). All of these licensees operate as BHF stores and are furniture retailers. We sell furniture to these licensees, and in some cases have extended credit beyond normal terms, made lease guarantees, guaranteed loans, or loaned directly to the licensees. We have recorded reserves for potential exposures related to these licensees. See Note 15 for disclosure of leases and lease guarantees. Based on financial projections and best available information, all licensees have sufficient equity to carry out their principal operating activities without subordinated financial support. Furthermore, we believe that the power to direct the activities that most significantly impact the licensees’ operating performance continues to lie with the ownership of the licensee dealers. Our rights to assume control over or otherwise influence the licensees’ significant activities only exist pursuant to our license and security agreements and are in the nature of protective rights as contemplated under ASC Topic 810. We completed our assessment for other potential VIEs and concluded that there were none. We will continue to reassess the status of potential VIEs including when facts and circumstances surrounding each potential VIE change.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and third quarters of fiscal 2022, we were the primary beneficiary of one VIE by virtue of our control over the activities that most significantly impacted the entity’s economic performance. This VIE was created to affect a Section 1031 like-kind exchange involving the purchase of real property in the state of Florida and the sale of real property in the state of Texas (see Note 14). Subsequent to the completion of the exchange transactions during the third quarter of fiscal 2022, the sole equity interest in the VIE was transferred to Bassett and the entity is now consolidated as a wholly owned subsidiary.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2022, we entered into a definitive agreement to sell substantially all of the assets of our wholly-owned subsidiary, Zenith Freight Lines, LLC (“Zenith”) to J.B. Hunt Transport Services, Inc. (“J.B. Hunt”). The sale was completed on February 28, 2022. Accordingly, the operations of our logistical services segment as well as the gain realized upon disposal are presented in the accompanying condensed consolidated statements of income as discontinued operations. See Note 18 for additional information. Costs incurred by Bassett for logistical services performed for Bassett by Zenith are included in selling, general and administrative expenses.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 2022, we acquired 100% of the capital stock of Noa Home Inc. (“Noa Home”), a mid-priced e-commerce furniture retailer headquartered in Montreal, Canada. Noa Home had operations in Canada, Australia, Singapore and the United Kingdom. Since acquisition, Noa Home has been consolidated as a wholly-owned subsidiary. During the second quarter of fiscal 2024 we concluded that Noa Home was not likely to achieve profitability in the foreseeable future and decided to cease operations and sell the remaining inventory in an orderly manner. As of November 30, 2024 we have substantially completed the liquidation of Noa Home’s assets and liabilities. See Note 3 for additional information.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liabilities at the date of the financial statements and the reported amounts of revenues and expenses during the reporting period. Some of the more significant estimates include allowances for doubtful accounts, calculation of inventory reserves, the valuation of our reporting units for the purpose of testing the carrying value of goodwill, and the valuation of our right of use assets. We also utilize estimates in determining the valuation of income tax reserves, insurance reserves, and assumptions related to our post-employment benefit obligations. Actual results could differ from those estimates.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ASC Topic 606, Revenue from Contracts with Customers, requires a company to recognize revenue when it transfers promised goods or services to customers in an amount that reflects the consideration the company expects to receive in exchange for those goods or services. For our wholesale and retail segments, revenue is recognized when the risks and rewards of ownership and title to the product have transferred to the buyer.</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wholesale, transfer occurs and revenue is recognized upon the shipment of goods to independent dealers and licensee-owned BHF stores. We offer payment terms varying from 30 to 60 days for wholesale customers. Estimates for returns and allowances have been recorded as a reduction of revenue based on our historical return patterns. The contracts with our licensee store owners do not provide for any royalty or license fee to be paid to us.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$25,742 and $22,788 as of November 30, 2024 and November 25, 2023, respectively. Substantially all of the customer deposits held at November 25, 2023 related to performance obligations were satisfied during fiscal 2024 and have therefore been recognized in revenue for the year ended November 30, 2024. Estimates for returns and allowances have been recorded as a reduction of revenue based on our historical return patterns. The estimate for returns and allowances was $3,970 and $4,883 at November 30, 2024 and November 25, 2023, respectively, and is included with other accrued liabilities in the accompanying balance sheets.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November 30, 2024 and November 25, 2023, our balance of prepaid commissions included in other current assets was $2,928 and $2,245,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accounting and reporting under ASC 606, we apply the following policy elections and practical expedients:</w:t>
      </w:r>
    </w:p>
    <w:p>
      <w:pPr>
        <w:spacing w:after="0" w:line="25"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from revenue amounts collected from customers for sales tax.</w:t>
      </w:r>
    </w:p>
    <w:p>
      <w:pPr>
        <w:spacing w:after="0" w:line="14" w:lineRule="exact"/>
        <w:rPr>
          <w:rFonts w:ascii="Times New Roman" w:cs="Times New Roman" w:eastAsia="Times New Roman" w:hAnsi="Times New Roman"/>
          <w:sz w:val="18"/>
          <w:szCs w:val="18"/>
          <w:color w:val="auto"/>
        </w:rPr>
      </w:pPr>
    </w:p>
    <w:p>
      <w:pPr>
        <w:ind w:left="640" w:right="20" w:hanging="313"/>
        <w:spacing w:after="0" w:line="258"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adjust the promised amount of consideration for the effects of a significant financing component since the period of time between transfer of our goods or services and the collection of consideration from the customer is less than one year.</w:t>
      </w:r>
    </w:p>
    <w:p>
      <w:pPr>
        <w:ind w:left="640" w:right="640" w:hanging="313"/>
        <w:spacing w:after="0" w:line="255"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disclose the value of unsatisfied performance obligations because the transfer of goods or services is made within one year of the placement of customer orders.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for disaggregated revenue information.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and Short-Term Investments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considers cash on hand, demand deposits in banks and all highly liquid investments with an original maturity of three months or less to be cash and cash equivalents. Our short-term investments consist of certificates of deposit that have original maturities of twelve months or less but greater than three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Substantially all of our trade accounts receivable is due from customers located within the United States. 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Concentrations of Credit Risk and Major Customers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Financial instruments that subject us to credit risk consist primarily of investments, accounts and notes receivable and financial guarantees. Investments are managed within established guidelines to mitigate risks. Accounts and notes receivable and financial guarantees subject us to credit risk partially due to the concentration of amounts due from and guaranteed on behalf of independent licensee customers. At November 30, 2024 and November 25, 2023, our aggregate exposure from receivables and guarantees related to customers consisted of the following:</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57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 (Note 5)</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5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13,736</w:t>
            </w:r>
          </w:p>
        </w:tc>
      </w:tr>
      <w:tr>
        <w:trPr>
          <w:trHeight w:val="195"/>
        </w:trPr>
        <w:tc>
          <w:tcPr>
            <w:tcW w:w="5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Contingent obligations under lease and loan guarantees, less amounts</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2"/>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recognized (Note 15)</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1,819</w:t>
            </w:r>
          </w:p>
        </w:tc>
      </w:tr>
      <w:tr>
        <w:trPr>
          <w:trHeight w:val="21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57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5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credit risk exposure related to customers</w:t>
            </w:r>
          </w:p>
        </w:tc>
        <w:tc>
          <w:tcPr>
            <w:tcW w:w="9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160" w:type="dxa"/>
            <w:vAlign w:val="bottom"/>
          </w:tcPr>
          <w:p>
            <w:pPr>
              <w:spacing w:after="0"/>
              <w:rPr>
                <w:sz w:val="17"/>
                <w:szCs w:val="17"/>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15,636</w:t>
            </w:r>
          </w:p>
        </w:tc>
      </w:tr>
      <w:tr>
        <w:trPr>
          <w:trHeight w:val="20"/>
        </w:trPr>
        <w:tc>
          <w:tcPr>
            <w:tcW w:w="5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At November 30, 2024 and November 25, 2023, approximately 43% and 35%, respectively, of the aggregate risk exposure, net of reserves, shown above was attributable to five customers. In fiscal 2024, 2023 and 2022, no customer accounted for more than 10% of total consolidated net sales.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no foreign manufacturing operations. We define export sales from our wholesale segment as sales to any country or territory other than the United States or its territories or possessions. Our wholesale export sales were approximately $323, $406, and $731 in fiscal 2024, 2023, and 2022, respectively. All of our export sales are invoiced and settled in U.S. dollars.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Inventories (retail merchandise, finished goods, work in process and raw materials) accounted for under the first-in, first out (“FIFO”) method are stated at the lower of cost or net realizable value or, in the case of inventory accounted for under the last-in, first out (“LIFO”) method, at the lower of cost or market. Cost is determined for domestic manufactured furniture inventories using the LIFO method because we believe this methodology provides better matching of revenue and expenses. The cost of imported inventories as well as Lane Venture, Bassett Outdoor and Noa Home product inventories are determined on a first-in, first-out (“FIFO”) basis. Inventories accounted for under the LIFO method represented 50% and 51% of total inventory before reserves at November 30, 2024 and November 25, 2023, respectively. We estimate inventory reserves for excess quantities and obsolete items based on specific identification and historical write-offs, taking into account future demand and market conditions. If actual demand or market conditions in the future are less favorable than those estimated, additional inventory write-downs may be required.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and equipment is comprised of all land, buildings and leasehold improvements and machinery and equipment used in the manufacturing and warehousing of furniture, our Company-owned retail operations, our logistical services operations, and corporate administration. This property and equipment is stated at cost less accumulated depreciation. Depreciation is computed over the estimated useful lives of the respective assets utilizing the straight-line method. Buildings and improvements are generally depreciated over a period of 10 to 39 years. Machinery and equipment are generally depreciated over a period of 5 to 10 years. Leasehold improvements are amortized based on the underlying lease term, or the asset’s estimated useful life, whichever is shorter.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given over the fair value of the tangible assets and liabilities and identifiable intangible assets of businesses acquired. The acquisition of assets and liabilities and the resulting goodwill is allocated to the respective reporting unit: Wood, Upholstery, Retail or Noa Home. We review goodwill at the reporting unit level annually for impairment or more frequently if events or circumstances indicate that assets might be impaired.</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accordance with ASC Topic 350,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Goodwill &amp; Other,</w:t>
      </w:r>
      <w:r>
        <w:rPr>
          <w:rFonts w:ascii="Times New Roman" w:cs="Times New Roman" w:eastAsia="Times New Roman" w:hAnsi="Times New Roman"/>
          <w:sz w:val="17"/>
          <w:szCs w:val="17"/>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2024, we performed the qualitative assessment as described above with respect to our upholstery reporting unit and concluded that there was no impairment of goodwill. For the annual test of goodwill performed as of the beginning of the fourth quarter of fiscal 2023, we performed the qualitative assessment as described above with respect to our upholstery reporting unit and concluded that there was no impairment of the goodwill allocated to that reporting unit as of November 25, 2023. However, with respect to our Noa Home reporting unit, we proceeded to the quantitative test and concluded that the goodwill allocated to that reporting unit as of November 25, 2023 was fully impaired. For the annual test of goodwill performed as of the beginning of the fourth fiscal quarter of 2022, we performed the qualitative assessment as described above and concluded that there was no impairment of our goodwill as of November 26, 2022.</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(see Note 4),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 See Note 8 for additional information regarding the results of our goodwill impairment test performed as of the beginning of the fourth quarter of fiscal 2023.</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Effective as of the beginning of fiscal 2020, we adopted ASU 2016-02, Leases (Topic 842) and all related amendments. The guidance requires lessees to recognize substantially all leases on their balance sheet as a right-of-use (“ROU”) asset and a lease liability.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We determine if a contract contains a lease at inception based on our right to control the use of an identified asset and our right to obtain substantially all of the economic benefits from the use of that identified asset. Our real estate lease terms range from one to 15 years and generally have renewal options of between five and 15 years. We assess these options to determine if we are reasonably certain of exercising these options based on all relevant economic and financial factors. Any options that meet this criteria are included in the lease term at lease commencement.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8"/>
          <w:szCs w:val="18"/>
          <w:color w:val="auto"/>
        </w:rPr>
        <w:t>Most of our leases do not have an interest rate implicit in the lease. As a result, for purposes of measuring our ROU asset and lease liability, we determine our incremental borrowing rate by applying a spread above the U.S. Treasury borrowing rates. In the case an interest rate is implicit in a lease we will use that rate as the discount rate for that lease. Some of our leases contain variable rent payments based on a Consumer Price Index or percentage of sales. Due to the variable nature of these costs, they are not included in the measurement of the ROU asset and lease liability.</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adopted the standard utilizing the transition election to not restate comparative periods for the impact of adopting the standard and recognizing the cumulative impact of adoption in the opening balance of retained earnings. We elected the package of transition expedients available for expired or existing contracts, which allowed the carry-forward of historical assessments of (1) whether contracts are or contain leases, (2) lease classification and (3) initial direct costs. In addition, we have elected the practical expedient to not separate lease and non-lease components when determining the ROU asset and lease liability and have elected the practical expedient related to land easements, allowing us to carry forward our accounting treatment for land easements on existing agreements. We have also elected the hindsight practical expedient to determine the lease term for existing leases. In our application of hindsight, we evaluated the performance of the leased stores and the associated markets in relation to our overall real estate strategies, which resulted in the determination that most renewal options would not be reasonably certain in determining the expected lease term. We have made an accounting policy election to not recognize ROU assets and lease liabilities on the balance sheet for those leases with initial terms of one year or less and instead such lease obligations will be expensed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for additional information regarding our leases.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acquired in a business combination and determined to have an indefinite useful life are not amortized but are 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During the second quarter of fiscal 2024, in conjunction with our decision to close Noa Home and cease operations by the end of fiscal 2024, we fully impaired the carrying value of the intangible asset for the Noa Home trade name.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 Lived Assets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periodically evaluate whether events or circumstances have occurred that indicate long-lived assets may not be 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and eventual disposition of the asset. In the event the sum of the expected undiscounted future cash flows is less than the carrying value of the asset, an impairment loss equal to the excess of the asset’s carrying value over its fair value is recorded. Fair value is determined based on discounted cash flows or appraised values depending on the nature of the assets. The long-term nature of these assets requires the estimation of cash inflows and outflows several years into the future.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ROU assets under operating leases are written down to their estimated fair value. Our estimates of the fair value of the impaired ROU assets included estimates of discounted cash flows based upon current market rents and other inputs which we consider to be Level 3 inputs as specified in the fair value hierarchy in ASC Topic 820, Fair Value Measurement and Disclosure (see Note 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income taxes under the liability method which requires that we recognize deferred tax assets and liabilities for the future tax consequences attributable to differences between the financial statement carrying amount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Despite our belief that our liability for unrecognized tax benefits is adequate, it is often difficult to predict the final outcome or the timing of the resolution of any particular tax matters. We may adjust these liabilities as relevant circumstances evolve, such as guidance from the relevant tax authority or our tax advisors, or resolution of issues in the courts. These adjustments are recognized as a component of income tax expense in the period in which they are identified.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our deferred income tax assets to determine if valuation allowances are required or should be adjusted. A valuation allowance is established against our deferred tax assets based on consideration of all available evidence, both positive and negative, using a “more likely than not” standard. This assessment considers, among other matters, the nature, frequency and severity of recent losses, forecasts of future profitability, the duration of statutory carryforward or carryback periods, our experience with tax attributes expiring unused and tax planning alternatives. In making such judgments, significant weight is given to evidence that can be objectively verified. See Note 13 for additional information regarding our income taxes.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Costs incurred to deliver wholesale merchandise to customers are recorded in selling, general and administrative expense and totaled $22,721, $26,125, and $33,029 for fiscal 2024, 2023 and 2022, respectively. Costs incurred to deliver retail merchandise to customers, including the cost of operating regional distribution warehouses, are also recorded in selling, general and administrative expense and totaled $20,342, $23,399, and $23,812 for fiscal 2024, 2023 and 2022, respectively.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Costs incurred for producing and distributing advertising and advertising materials are expensed when incurred and are included in selling, general and administrative expenses. Advertising costs totaled $13,256, $19,106, and $16,698 in fiscal 2024, 2023, and 2022, respectively.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Reserves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self-funded insurance programs in place to cover workers’ compensation and health insurance. These insurance programs are subject to various stop-loss limitations. We accrue estimated losses using historical loss experience. Although we believe that the insurance reserves are adequate, the reserve estimates are based on historical experience, which may not be indicative of current and future losses. We adjust insurance reserves, as needed, in the event that future loss experience differs from historical loss patterns.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Refer to the supplemental lease disclosures in Note 15 for cash flow impacts of leasing transactions during fiscal 2024, 2023 and 2022. At November 30, 2024, $273 of our fiscal 2024 purchases of property and equipment were unpaid and included in accounts payable in the accompanying balance sheet. Otherwise, there were no material non-cash investing or financing activities during fiscal 2024, 2023 or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Pronouncements Not Yet Adopted</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November 30, 2024 we do not hold any investments in equity securities, therefore we do not currently expect that this guidance will have a material impact upon our financial position and results of operations.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amendments in ASU 2023-07 will become effective for us for our 2025 fiscal year and for interim periods beginning with our 2026 fiscal year. Early adoption is permitted. We do not expect that this guidance will have a material impact upon our financial position and results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provided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5" w:name="page46"/>
    <w:bookmarkEnd w:id="45"/>
    <w:p>
      <w:pPr>
        <w:ind w:left="320" w:hanging="313"/>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 2022, we acquired 100% of the capital stock of Noa Home, a mid-priced e-commerce furniture retailer headquartered in Montreal, Canada. Noa Home had operations in Canada, Australia, Singapore and the United Kingdom. The initial purchase price (denominated in Canadian dollars) of approximately C$7,700 included cash payments of C$2,000 paid to the co-founders of Noa Home and approximately C$5,700 for the repayment of existing debt owed by Noa Home. Per the terms of the agreement at the acquisition date, the Noa Home co-founders also had the opportunity to receive additional cash payments totaling approximately C$1,330 per year for the three fiscal years following the year of acquisition based on established increases in net revenues and achieving certain internal EBITDA goal.</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the acquisition method of accounting, the fair value of the consideration transferred was allocated to the tangible and intangible assets acquired and the liabilities assumed based on their estimated fair values as of the acquisition date with the remaining unallocated amount recorded as goodwill. The allocation of the purchase price (translated into U.S. dollars as of the acquisition date) is as follows:</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 in exchange for 100% of Noa Home:</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5,878</w:t>
            </w:r>
          </w:p>
        </w:tc>
      </w:tr>
      <w:tr>
        <w:trPr>
          <w:trHeight w:val="21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of contingent consideration payable</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fair value of consideration paid or payable</w:t>
            </w:r>
          </w:p>
        </w:tc>
        <w:tc>
          <w:tcPr>
            <w:tcW w:w="56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7,253</w:t>
            </w:r>
          </w:p>
        </w:tc>
      </w:tr>
      <w:tr>
        <w:trPr>
          <w:trHeight w:val="20"/>
        </w:trPr>
        <w:tc>
          <w:tcPr>
            <w:tcW w:w="7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7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the fair value of consideration transferred:</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 acquired:</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r>
      <w:tr>
        <w:trPr>
          <w:trHeight w:val="213"/>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1,585</w:t>
            </w:r>
          </w:p>
        </w:tc>
      </w:tr>
      <w:tr>
        <w:trPr>
          <w:trHeight w:val="21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13"/>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&amp; equipment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21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 - trade name</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Pr>
          <w:p>
            <w:pPr>
              <w:spacing w:after="0"/>
              <w:rPr>
                <w:sz w:val="18"/>
                <w:szCs w:val="18"/>
                <w:color w:val="auto"/>
              </w:rPr>
            </w:pP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5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4,282</w:t>
            </w:r>
          </w:p>
        </w:tc>
      </w:tr>
      <w:tr>
        <w:trPr>
          <w:trHeight w:val="21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r>
      <w:tr>
        <w:trPr>
          <w:trHeight w:val="21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(1,059)</w:t>
            </w:r>
          </w:p>
        </w:tc>
      </w:tr>
      <w:tr>
        <w:trPr>
          <w:trHeight w:val="213"/>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79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(2,744)</w:t>
            </w: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17"/>
                <w:szCs w:val="17"/>
                <w:color w:val="auto"/>
              </w:rPr>
            </w:pPr>
          </w:p>
        </w:tc>
      </w:tr>
      <w:tr>
        <w:trPr>
          <w:trHeight w:val="213"/>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80" w:type="dxa"/>
            <w:vAlign w:val="bottom"/>
          </w:tcPr>
          <w:p>
            <w:pPr>
              <w:spacing w:after="0"/>
              <w:rPr>
                <w:sz w:val="18"/>
                <w:szCs w:val="18"/>
                <w:color w:val="auto"/>
              </w:rPr>
            </w:pPr>
          </w:p>
        </w:tc>
      </w:tr>
      <w:tr>
        <w:trPr>
          <w:trHeight w:val="247"/>
        </w:trPr>
        <w:tc>
          <w:tcPr>
            <w:tcW w:w="7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6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was determined based on the residual difference between the fair value of the consideration transferred and the value assigned to the tangible and intangible assets and liabilities recognized in connection with the acquisition and is deductible for US tax purposes. Among the factors that contributed to a purchase price resulting in the recognition of goodwill were the expected synergies arising from combining the Company’s manufacturing and distribution capabilities with Noa Home’s position in the international e-commerce market for home furnishings and accessories. As part of our annual test for impairment of goodwill as of the beginning of the fourth quarter of fiscal 2023, all of the goodwill recognized at acquisition was fully impaired. See Note 8 for additional information regarding the impairment.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portion of the fair value of the consideration transferred in the amount of $1,929 was assigned to the identifiable intangible asset associated with the Noa Home trade name. At the time of acquisition, this intangible asset was considered to have an indefinite life and therefore was not amortized but was tested for impairment annually or between annual tests if an indicator of impairment existed. During the second quarter of fiscal 2024 we concluded that Hoa Home was not likely to achieve profitability in the foreseeable future and decided to cease operations by selling the remaining inventory in an orderly fashion through the end of fiscal 2024. Therefore, at the end of the second quarter of fiscal 2024 we fully impaired the trade name intangible asset, which at the time of the impairment had a carrying value of $1,827 reflecting currency translation adjustments through the date of the impairment.</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fair values of consideration transferred and net assets acquired were determined using a combination of Level 2 and Level 3 inputs as specified in the fair value hierarchy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See Note 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18"/>
          <w:szCs w:val="18"/>
          <w:color w:val="auto"/>
        </w:rPr>
        <w:t>Subsequent to the acquisition date, the parties concluded that the targets originally set forth by which the Noa Home co-founders were to earn the contingent consideration would likely not be met within the initially anticipated time frame. Therefore, we have agreed to replace the contingent consideration with two fixed payments of C$200 each, the first of which was paid in June of 2023 with the second paid in December of 2024. As a result of the write-down of the contingent consideration payable that was recognized at the acquisition date, we recorded a gain of $1,013 during fiscal 2023.</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pro forma impact of the acquisition has not been presented because it was not material to our consolidated results of operations for the fiscal year ended November 26,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Investments and Fair Value Measurements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accounts receivable, and accounts payable. Because of their short maturities, the carrying amounts of cash and cash equivalents, short-term investments in certificates of deposit,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short-term investments of $20,360 and $17,775 at November 30, 2024 and November 25, 2023 consisted of certificates of deposit (CDs) with original terms of six to twelve months, bearing interest at rates ranging from 0.7% to 5.28%. At November 30, 2024, the weighted average remaining time to maturity of the CDs was approximately three months and the weighted average yield of the CDs was approximately 4.3%. Except as noted below, each CD is placed with a federally insured financial institution and all deposits are within Federal deposit insurance limits. As the CDs mature, we expect to reinvest them in CDs of similar maturities of up to one year. Due to the nature of these investments and their relatively short maturities, the carrying amount of the short-term investments at November 30, 2024 and November 25, 2023 approximates their fair value.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investment in CDs at November 30, 2024 includes one CD in the amount of $2,500 which was placed with a financial institution that provides merchant services for our retail segment. This CD has been pledged as security for the merchant services agreement. The CD has a six-month term, an interest rate of 2.0% and the requirement to maintain the pledge will be reassessed prior to the end of fiscal 2025, therefore the CD is classified as a current asset with our other CDs. This CD is in excess of the $250 Federal deposit insurance limit.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Company accounts for items measured at fair value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 Inputs</w:t>
      </w:r>
      <w:r>
        <w:rPr>
          <w:rFonts w:ascii="Times New Roman" w:cs="Times New Roman" w:eastAsia="Times New Roman" w:hAnsi="Times New Roman"/>
          <w:sz w:val="18"/>
          <w:szCs w:val="18"/>
          <w:color w:val="auto"/>
        </w:rPr>
        <w:t>– Quoted prices for identical instruments in active markets.</w:t>
      </w:r>
    </w:p>
    <w:p>
      <w:pPr>
        <w:spacing w:after="0" w:line="2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Level 2 Inputs</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r>
        <w:rPr>
          <w:rFonts w:ascii="Times New Roman" w:cs="Times New Roman" w:eastAsia="Times New Roman" w:hAnsi="Times New Roman"/>
          <w:sz w:val="18"/>
          <w:szCs w:val="18"/>
          <w:color w:val="auto"/>
        </w:rPr>
        <w:t>– Instruments with primarily unobservable value drivers.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believe that the carrying amounts of our current assets and current liabilities approximate fair value due to the short-term nature of these items. Our primary non-recurring fair value estimates typically involve the following: business acquisitions (Note 3) which involve a combination of Level 2 and Level 3 inputs to determine the fair value of contingent consideration and net assets acquired, including identified intangible assets; goodwill impairment testing (Note 8), which involves Level 3 inputs; and asset impairments (Note 14) which utilize Level 3 inputs.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 of the following: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60" w:type="dxa"/>
            <w:vAlign w:val="bottom"/>
          </w:tcPr>
          <w:p>
            <w:pPr>
              <w:spacing w:after="0"/>
              <w:rPr>
                <w:sz w:val="24"/>
                <w:szCs w:val="24"/>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November 25, 2023</w:t>
            </w:r>
          </w:p>
        </w:tc>
        <w:tc>
          <w:tcPr>
            <w:tcW w:w="80" w:type="dxa"/>
            <w:vAlign w:val="bottom"/>
          </w:tcPr>
          <w:p>
            <w:pPr>
              <w:spacing w:after="0"/>
              <w:rPr>
                <w:sz w:val="24"/>
                <w:szCs w:val="24"/>
                <w:color w:val="auto"/>
              </w:rPr>
            </w:pPr>
          </w:p>
        </w:tc>
      </w:tr>
      <w:tr>
        <w:trPr>
          <w:trHeight w:val="207"/>
        </w:trPr>
        <w:tc>
          <w:tcPr>
            <w:tcW w:w="64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14,278</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14,271</w:t>
            </w:r>
          </w:p>
        </w:tc>
      </w:tr>
      <w:tr>
        <w:trPr>
          <w:trHeight w:val="213"/>
        </w:trPr>
        <w:tc>
          <w:tcPr>
            <w:tcW w:w="6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6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accounts receivable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13,181</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13,736</w:t>
            </w:r>
          </w:p>
        </w:tc>
      </w:tr>
      <w:tr>
        <w:trPr>
          <w:trHeight w:val="20"/>
        </w:trPr>
        <w:tc>
          <w:tcPr>
            <w:tcW w:w="64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0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r>
      <w:tr>
        <w:trPr>
          <w:trHeight w:val="207"/>
        </w:trPr>
        <w:tc>
          <w:tcPr>
            <w:tcW w:w="6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the year</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1,261</w:t>
            </w:r>
          </w:p>
        </w:tc>
      </w:tr>
      <w:tr>
        <w:trPr>
          <w:trHeight w:val="213"/>
        </w:trPr>
        <w:tc>
          <w:tcPr>
            <w:tcW w:w="6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Additions (recoveries) charged to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r>
      <w:tr>
        <w:trPr>
          <w:trHeight w:val="213"/>
        </w:trPr>
        <w:tc>
          <w:tcPr>
            <w:tcW w:w="6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to allowance, net</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(945)</w:t>
            </w:r>
          </w:p>
        </w:tc>
      </w:tr>
      <w:tr>
        <w:trPr>
          <w:trHeight w:val="20"/>
        </w:trPr>
        <w:tc>
          <w:tcPr>
            <w:tcW w:w="64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the year</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17"/>
                <w:szCs w:val="17"/>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6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 See Note 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20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November 25, 2023</w:t>
            </w:r>
          </w:p>
        </w:tc>
        <w:tc>
          <w:tcPr>
            <w:tcW w:w="80" w:type="dxa"/>
            <w:vAlign w:val="bottom"/>
          </w:tcPr>
          <w:p>
            <w:pPr>
              <w:spacing w:after="0"/>
              <w:rPr>
                <w:sz w:val="24"/>
                <w:szCs w:val="24"/>
                <w:color w:val="auto"/>
              </w:rPr>
            </w:pPr>
          </w:p>
        </w:tc>
      </w:tr>
      <w:tr>
        <w:trPr>
          <w:trHeight w:val="207"/>
        </w:trPr>
        <w:tc>
          <w:tcPr>
            <w:tcW w:w="64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27,521</w:t>
            </w:r>
          </w:p>
        </w:tc>
      </w:tr>
      <w:tr>
        <w:trPr>
          <w:trHeight w:val="213"/>
        </w:trPr>
        <w:tc>
          <w:tcPr>
            <w:tcW w:w="6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637</w:t>
            </w:r>
          </w:p>
        </w:tc>
      </w:tr>
      <w:tr>
        <w:trPr>
          <w:trHeight w:val="213"/>
        </w:trPr>
        <w:tc>
          <w:tcPr>
            <w:tcW w:w="6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18,655</w:t>
            </w:r>
          </w:p>
        </w:tc>
      </w:tr>
      <w:tr>
        <w:trPr>
          <w:trHeight w:val="213"/>
        </w:trPr>
        <w:tc>
          <w:tcPr>
            <w:tcW w:w="6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33,090</w:t>
            </w:r>
          </w:p>
        </w:tc>
        <w:tc>
          <w:tcPr>
            <w:tcW w:w="80" w:type="dxa"/>
            <w:vAlign w:val="bottom"/>
          </w:tcPr>
          <w:p>
            <w:pPr>
              <w:spacing w:after="0"/>
              <w:rPr>
                <w:sz w:val="18"/>
                <w:szCs w:val="18"/>
                <w:color w:val="auto"/>
              </w:rPr>
            </w:pPr>
          </w:p>
        </w:tc>
      </w:tr>
      <w:tr>
        <w:trPr>
          <w:trHeight w:val="207"/>
        </w:trPr>
        <w:tc>
          <w:tcPr>
            <w:tcW w:w="64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72,025</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79,903</w:t>
            </w:r>
          </w:p>
        </w:tc>
      </w:tr>
      <w:tr>
        <w:trPr>
          <w:trHeight w:val="213"/>
        </w:trPr>
        <w:tc>
          <w:tcPr>
            <w:tcW w:w="6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5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(11,665)</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(11,738)</w:t>
            </w:r>
          </w:p>
        </w:tc>
      </w:tr>
      <w:tr>
        <w:trPr>
          <w:trHeight w:val="213"/>
        </w:trPr>
        <w:tc>
          <w:tcPr>
            <w:tcW w:w="6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(5,183)</w:t>
            </w:r>
          </w:p>
        </w:tc>
      </w:tr>
      <w:tr>
        <w:trPr>
          <w:trHeight w:val="207"/>
        </w:trPr>
        <w:tc>
          <w:tcPr>
            <w:tcW w:w="640" w:type="dxa"/>
            <w:vAlign w:val="bottom"/>
          </w:tcPr>
          <w:p>
            <w:pPr>
              <w:spacing w:after="0"/>
              <w:rPr>
                <w:sz w:val="17"/>
                <w:szCs w:val="17"/>
                <w:color w:val="auto"/>
              </w:rPr>
            </w:pPr>
          </w:p>
        </w:tc>
        <w:tc>
          <w:tcPr>
            <w:tcW w:w="6220" w:type="dxa"/>
            <w:vAlign w:val="bottom"/>
            <w:tcBorders>
              <w:top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20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62,982</w:t>
            </w:r>
          </w:p>
        </w:tc>
        <w:tc>
          <w:tcPr>
            <w:tcW w:w="80" w:type="dxa"/>
            <w:vAlign w:val="bottom"/>
            <w:tcBorders>
              <w:top w:val="single" w:sz="8" w:color="CCEEFF"/>
            </w:tcBorders>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source a significant amount of our wholesale product from other countries. During 2024, 2023 and 2022, purchases from our three largest vendors primarily located in Vietnam were $11,689, $15,601 and $33,253 respectively.</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Wholesale Segment</w:t>
            </w:r>
          </w:p>
        </w:tc>
        <w:tc>
          <w:tcPr>
            <w:tcW w:w="22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Retail Segment</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26, 2022</w:t>
            </w:r>
          </w:p>
        </w:tc>
        <w:tc>
          <w:tcPr>
            <w:tcW w:w="17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640" w:type="dxa"/>
            <w:vAlign w:val="bottom"/>
            <w:tcBorders>
              <w:left w:val="single" w:sz="8" w:color="CCEEFF"/>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(776)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November 25, 2023</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30, 2024</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640" w:type="dxa"/>
            <w:vAlign w:val="bottom"/>
            <w:tcBorders>
              <w:left w:val="single" w:sz="8" w:color="CCEEFF"/>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60" w:type="dxa"/>
            <w:vAlign w:val="bottom"/>
          </w:tcPr>
          <w:p>
            <w:pPr>
              <w:spacing w:after="0"/>
              <w:rPr>
                <w:sz w:val="24"/>
                <w:szCs w:val="24"/>
                <w:color w:val="auto"/>
              </w:rPr>
            </w:pPr>
          </w:p>
        </w:tc>
        <w:tc>
          <w:tcPr>
            <w:tcW w:w="14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10,866</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5"/>
              </w:rPr>
              <w:t>125,290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105,667</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106,613</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240,838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5"/>
              </w:rPr>
              <w:t>242,769</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(163,791)</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(158,788)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83,981</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net book value of our property and equipment by reportable segment is a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32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60" w:type="dxa"/>
            <w:vAlign w:val="bottom"/>
          </w:tcPr>
          <w:p>
            <w:pPr>
              <w:spacing w:after="0"/>
              <w:rPr>
                <w:sz w:val="24"/>
                <w:szCs w:val="24"/>
                <w:color w:val="auto"/>
              </w:rPr>
            </w:pPr>
          </w:p>
        </w:tc>
        <w:tc>
          <w:tcPr>
            <w:tcW w:w="14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23,155</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44,799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16,027</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83,981</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Depreciation expense associated with the property and equipment shown above was included in income from operations in our consolidated statements of operations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(wholesale segment)</w:t>
            </w:r>
          </w:p>
        </w:tc>
        <w:tc>
          <w:tcPr>
            <w:tcW w:w="1360" w:type="dxa"/>
            <w:vAlign w:val="bottom"/>
            <w:gridSpan w:val="2"/>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 segment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segment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5,502</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Total included in selling, general and administrative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7,960</w:t>
            </w:r>
          </w:p>
        </w:tc>
        <w:tc>
          <w:tcPr>
            <w:tcW w:w="320" w:type="dxa"/>
            <w:vAlign w:val="bottom"/>
          </w:tcPr>
          <w:p>
            <w:pPr>
              <w:spacing w:after="0"/>
              <w:rPr>
                <w:sz w:val="16"/>
                <w:szCs w:val="16"/>
                <w:color w:val="auto"/>
              </w:rPr>
            </w:pP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7,904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Total depreciation expense included in income from</w:t>
            </w:r>
          </w:p>
        </w:tc>
        <w:tc>
          <w:tcPr>
            <w:tcW w:w="320" w:type="dxa"/>
            <w:vAlign w:val="bottom"/>
            <w:vMerge w:val="restart"/>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vMerge w:val="restart"/>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34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10,084</w:t>
            </w:r>
          </w:p>
        </w:tc>
        <w:tc>
          <w:tcPr>
            <w:tcW w:w="320" w:type="dxa"/>
            <w:vAlign w:val="bottom"/>
            <w:vMerge w:val="restart"/>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9,986</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4180" w:type="dxa"/>
            <w:vAlign w:val="bottom"/>
            <w:shd w:val="clear" w:color="auto" w:fill="CCEEFF"/>
          </w:tcPr>
          <w:p>
            <w:pPr>
              <w:ind w:left="480"/>
              <w:spacing w:after="0" w:line="192" w:lineRule="exact"/>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640" w:type="dxa"/>
            <w:vAlign w:val="bottom"/>
          </w:tcPr>
          <w:p>
            <w:pPr>
              <w:spacing w:after="0"/>
              <w:rPr>
                <w:sz w:val="24"/>
                <w:szCs w:val="24"/>
                <w:color w:val="auto"/>
              </w:rPr>
            </w:pPr>
          </w:p>
        </w:tc>
        <w:tc>
          <w:tcPr>
            <w:tcW w:w="41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4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 the following: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3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November 30, 2024</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3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251"/>
              <w:spacing w:after="0" w:line="184" w:lineRule="exact"/>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r>
      <w:tr>
        <w:trPr>
          <w:trHeight w:val="236"/>
        </w:trPr>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r>
      <w:tr>
        <w:trPr>
          <w:trHeight w:val="20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7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920" w:type="dxa"/>
            <w:vAlign w:val="bottom"/>
            <w:gridSpan w:val="2"/>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3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3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Pr>
          <w:p>
            <w:pPr>
              <w:spacing w:after="0"/>
              <w:rPr>
                <w:sz w:val="18"/>
                <w:szCs w:val="18"/>
                <w:color w:val="auto"/>
              </w:rPr>
            </w:pPr>
          </w:p>
        </w:tc>
      </w:tr>
      <w:tr>
        <w:trPr>
          <w:trHeight w:val="213"/>
        </w:trPr>
        <w:tc>
          <w:tcPr>
            <w:tcW w:w="3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3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tc>
        <w:tc>
          <w:tcPr>
            <w:tcW w:w="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07"/>
        </w:trPr>
        <w:tc>
          <w:tcPr>
            <w:tcW w:w="3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November 25, 2023</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3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251"/>
              <w:spacing w:after="0" w:line="184" w:lineRule="exact"/>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r>
      <w:tr>
        <w:trPr>
          <w:trHeight w:val="236"/>
        </w:trPr>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r>
      <w:tr>
        <w:trPr>
          <w:trHeight w:val="20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7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920" w:type="dxa"/>
            <w:vAlign w:val="bottom"/>
            <w:gridSpan w:val="2"/>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3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80" w:type="dxa"/>
            <w:vAlign w:val="bottom"/>
            <w:shd w:val="clear" w:color="auto" w:fill="CCEEFF"/>
          </w:tcPr>
          <w:p>
            <w:pPr>
              <w:spacing w:after="0"/>
              <w:rPr>
                <w:sz w:val="18"/>
                <w:szCs w:val="18"/>
                <w:color w:val="auto"/>
              </w:rPr>
            </w:pPr>
          </w:p>
        </w:tc>
      </w:tr>
      <w:tr>
        <w:trPr>
          <w:trHeight w:val="213"/>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tcPr>
          <w:p>
            <w:pPr>
              <w:spacing w:after="0"/>
              <w:rPr>
                <w:sz w:val="18"/>
                <w:szCs w:val="18"/>
                <w:color w:val="auto"/>
              </w:rPr>
            </w:pPr>
          </w:p>
        </w:tc>
      </w:tr>
      <w:tr>
        <w:trPr>
          <w:trHeight w:val="207"/>
        </w:trPr>
        <w:tc>
          <w:tcPr>
            <w:tcW w:w="3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8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performed the annual test for impairment of the carrying value of our goodwill as of the beginning of the fourth quarter of fiscal 2024. Based on the initial qualitative analysis performed under ASC Topic 350, we concluded that is was not more likely than not that the carrying value of our upholstery reporting unit within our wholesale segment exceeded its fair value. We performed the annual test for impairment of the carrying value of our goodwill as of the beginning of the fourth quarter of fiscal 2023. Based on the initial qualitative analysis performed under ASC Topic 350, we concluded that it was not more likely than not that the carrying value of our upholstery reporting unit within our wholesale segment exceeded its fair value. However, due to the actual and expected future underperformance of our Noa Home reporting unit relative to management's original expectations, we performed a strategic review of the operations as of the beginning of the fourth quarter and concluded that Noa Home should exit the Australian market and focus more on the North American market. Coupled with the financial underperformance and the exit of Australia, we performed a quantitative test of the carrying value of the goodwill recognized as part of the 2022 acquisition of Noa Home and concluded that it was necessary to fully impair the carrying value of the Noa Home goodwill, resulting in a non-cash impairment charge of $5,409 in fiscal 2023.</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determination of the fair value of our reporting units is based on a combination of a market approach, that considers benchmark company market multiples and comparable transactions occurring within the last two years and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(see Note 4) The valuation of the Noa Home reporting unit was primarily based on the market approach due to significant uncertainty in the future cash flows of Noa Home. Under the income approach, we determine fair value based on the present value of the most recent cash flow projections for each reporting unit as of the date of the analysis and calculate a terminal value utilizing a terminal growth rate. The significant assumptions under this approach include, among others: income projections, which are dependent on future sales, new product introductions, customer behavior, competitor pricing,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Changes in the carrying amounts of goodwill by reportable segment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5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26,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5,554</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12,771</w:t>
            </w:r>
          </w:p>
        </w:tc>
      </w:tr>
      <w:tr>
        <w:trPr>
          <w:trHeight w:val="213"/>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r>
      <w:tr>
        <w:trPr>
          <w:trHeight w:val="213"/>
        </w:trPr>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Full impairment of Noa Home goodwill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r>
      <w:tr>
        <w:trPr>
          <w:trHeight w:val="207"/>
        </w:trPr>
        <w:tc>
          <w:tcPr>
            <w:tcW w:w="57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25, 2023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r>
      <w:tr>
        <w:trPr>
          <w:trHeight w:val="213"/>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changes in fiscal 2024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57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November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220" w:type="dxa"/>
            <w:vAlign w:val="bottom"/>
          </w:tcPr>
          <w:p>
            <w:pPr>
              <w:spacing w:after="0"/>
              <w:rPr>
                <w:sz w:val="18"/>
                <w:szCs w:val="18"/>
                <w:color w:val="auto"/>
              </w:rPr>
            </w:pP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impairment losses were $9,306, $9,306 and $3,897 at November 30, 2024, November 25, 2023 and November 26, 2022,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useful lives of our finite-lived intangible assets and remaining amortization periods as of November 30, 2024 are as follows:</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3"/>
        </w:trPr>
        <w:tc>
          <w:tcPr>
            <w:tcW w:w="5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3"/>
        </w:trPr>
        <w:tc>
          <w:tcPr>
            <w:tcW w:w="5680" w:type="dxa"/>
            <w:vAlign w:val="bottom"/>
          </w:tcPr>
          <w:p>
            <w:pPr>
              <w:spacing w:after="0"/>
              <w:rPr>
                <w:sz w:val="18"/>
                <w:szCs w:val="18"/>
                <w:color w:val="auto"/>
              </w:rPr>
            </w:pPr>
          </w:p>
        </w:tc>
        <w:tc>
          <w:tcPr>
            <w:tcW w:w="13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6"/>
              </w:rPr>
              <w:t>Useful Life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Period in</w:t>
            </w:r>
          </w:p>
        </w:tc>
      </w:tr>
      <w:tr>
        <w:trPr>
          <w:trHeight w:val="236"/>
        </w:trPr>
        <w:tc>
          <w:tcPr>
            <w:tcW w:w="5680" w:type="dxa"/>
            <w:vAlign w:val="bottom"/>
          </w:tcPr>
          <w:p>
            <w:pPr>
              <w:spacing w:after="0"/>
              <w:rPr>
                <w:sz w:val="20"/>
                <w:szCs w:val="20"/>
                <w:color w:val="auto"/>
              </w:rPr>
            </w:pPr>
          </w:p>
        </w:tc>
        <w:tc>
          <w:tcPr>
            <w:tcW w:w="13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07"/>
        </w:trPr>
        <w:tc>
          <w:tcPr>
            <w:tcW w:w="56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trade name intangible asset at November 30, 2024 is associated with Lane Venture. Because it is our intention to maintain and grow this brand, it is considered to be an indefinite-lived intangible asset. At November 25, 2023 our trade name intangible assets also included an asset for the Noa Home trade name which had been considered an indefinite-lived intangible asset upon acquisition in 2022. However, in connection with our decision to cease operations at Noa Home and liquidate its assets, the carrying value of the Noa Home trade name was fully impaired during the second quarter of fiscal 2024. The amortization expense associated with finite-lived intangible assets during fiscal 2024, 2023 and 2022 was $57 each year and is included in selling, general and administrative expense in our consolidated statement of operations. All expense arising from the amortization of intangible assets is associated with our wholesale segment. Estimated future amortization expense for intangible assets that exist at November 30, 2024 is as follows:</w:t>
      </w:r>
    </w:p>
    <w:p>
      <w:pPr>
        <w:spacing w:after="0" w:line="205"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73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Bank Credit Facility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November 30, 2024, we had $6,013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7" w:lineRule="exact"/>
        <w:rPr>
          <w:sz w:val="20"/>
          <w:szCs w:val="20"/>
          <w:color w:val="auto"/>
        </w:rPr>
      </w:pPr>
    </w:p>
    <w:p>
      <w:pPr>
        <w:ind w:left="5540" w:right="2960" w:hanging="5213"/>
        <w:spacing w:after="0" w:line="555"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1" w:name="page52"/>
    <w:bookmarkEnd w:id="51"/>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Since our used commitment was less than $8,250 at November 30, 2024, we were not required to test the Consolidated Fixed Charge Coverage Ratio or the Consolidated Lease Adjusted Leverage to EBITDAR Ratio. Had we been required to test those ratios, we would not have been able to achieve the required levels for either of these ratios. Consequently, our availability under the Credit Facility is currently limited to an additional $2,237.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fiscal 2024, 2023 and 2022 was not material.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Post-Employment Benefit Obligations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Savings Plan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1, 2017, our Board of Directors, upon the recommendation of the Organization, Compensation and Nominating Committee (the “Committee”), adopted the Bassett Furniture Industries, Incorporated Management Savings Plan (the “Plan”). The Plan is an unfunded, nonqualified deferred compensation plan maintained for the benefit of certain highly compensated or management level employees.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Plan is an account-based plan under which (i) participants may defer voluntarily the payment of current compensation to future years (“participant deferrals”) and (ii) the Company may make annual awards to participants payable in future years (“Company contributions”). The Plan permits each participant to defer up to 75% of base salary and up to 100% of any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Plan. Each participant’s account will be adjusted to reflect gains and losses based on the performance of the selected investment alternatives. A participant may receive distributions from the Plan:</w:t>
      </w:r>
    </w:p>
    <w:p>
      <w:pPr>
        <w:spacing w:after="0" w:line="1" w:lineRule="exact"/>
        <w:rPr>
          <w:sz w:val="20"/>
          <w:szCs w:val="20"/>
          <w:color w:val="auto"/>
        </w:rPr>
      </w:pPr>
    </w:p>
    <w:p>
      <w:pPr>
        <w:jc w:val="both"/>
        <w:ind w:firstLine="7"/>
        <w:spacing w:after="0" w:line="248"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 Expense (credits) associated with deferred compensation under the Plan was $925, $46 and $(16) for fiscal 2024, 2023 and 2022, respectively. Our liability for Company contributions and participant deferrals at November 30, 2024 and November 25, 2023 was $3,486 and $2,661, respectively, and is included in post-employment benefit obligations in our consolidated balance sheets.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2, 2017, we made Long Term Cash Awards (“LTC Awards”) totaling $2,000 under the Plan to certain management employees in the amount of $400 each.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 During fiscal 2024, 2023 and 2022, we invested $343, $1,019 and $853 in life insurance policies covering all participants in the Plan. At November 30, 2024, these policies have a net death benefit of $15,885 for which the Company is the sole beneficiary. These policies are intended to provide a potential source of funds to meet the obligations arising from the deferred compensation and LTC Awards under the Plan and serve as an economic hedge of the financial impact of changes in the liabilities. They are held in an irrevocable trust but are subject to claims of creditors in the event of the Company’s insolvency.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Retirement Income Plan</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Upon retirement, the Supplemental Plan provides for lifetime monthly payments in an amount equal to 65% of the participant’s final average compensation as defined in the Supplemental Plan, which is reduced by certain social security benefits to be received and other benefits provided by us. The Supplemental Plan also provides a death benefit that is calculated as (a) prior to retirement death, which pays the beneficiary 50% of final average annual compensation for a period of 120 months, or (b) post-retirement death, which pays the beneficiary 200% of final average compensation in a single payment. We own life insurance policies on these executives with a current net death benefit of $1,587 at November 30, 2024. We expect that any death benefit payable out of the plan would be substantially offset by the proceeds received from our life insurance policy upon the death of the executive. Funding for the remaining cash flows is expected to be provided through operations. There are no benefits payable as a result of a termination of employment for any reason other than death or retirement, other than a change of control provision which provides for the immediate vesting and payment of the retirement benefit under the Supplemental Plan in the event of an employment termination resulting from a change of control.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Aggregated summarized information for the Supplemental Plan and the LTC Awards, measured as of the end of each year presented,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lef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6,979</w:t>
            </w:r>
          </w:p>
        </w:tc>
        <w:tc>
          <w:tcPr>
            <w:tcW w:w="140" w:type="dxa"/>
            <w:vAlign w:val="bottom"/>
          </w:tcPr>
          <w:p>
            <w:pPr>
              <w:spacing w:after="0"/>
              <w:rPr>
                <w:sz w:val="18"/>
                <w:szCs w:val="18"/>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(gains) and losses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left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7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6,917</w:t>
            </w:r>
          </w:p>
        </w:tc>
        <w:tc>
          <w:tcPr>
            <w:tcW w:w="140" w:type="dxa"/>
            <w:vAlign w:val="bottom"/>
            <w:tcBorders>
              <w:right w:val="single" w:sz="8" w:color="CCEEFF"/>
            </w:tcBorders>
            <w:shd w:val="clear" w:color="auto" w:fill="CCEEFF"/>
          </w:tcPr>
          <w:p>
            <w:pPr>
              <w:spacing w:after="0"/>
              <w:rPr>
                <w:sz w:val="22"/>
                <w:szCs w:val="22"/>
                <w:color w:val="auto"/>
              </w:rPr>
            </w:pPr>
          </w:p>
        </w:tc>
        <w:tc>
          <w:tcPr>
            <w:tcW w:w="520" w:type="dxa"/>
            <w:vAlign w:val="bottom"/>
            <w:tcBorders>
              <w:left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7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Discount rate used to value the ending benefit obligations: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5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18"/>
                <w:szCs w:val="18"/>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520" w:type="dxa"/>
            <w:vAlign w:val="bottom"/>
            <w:tcBorders>
              <w:left w:val="single" w:sz="8" w:color="CCEEFF"/>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amounts recognized</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6,877</w:t>
            </w:r>
          </w:p>
        </w:tc>
        <w:tc>
          <w:tcPr>
            <w:tcW w:w="140" w:type="dxa"/>
            <w:vAlign w:val="bottom"/>
          </w:tcPr>
          <w:p>
            <w:pPr>
              <w:spacing w:after="0"/>
              <w:rPr>
                <w:sz w:val="17"/>
                <w:szCs w:val="17"/>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0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 before income tax</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effects: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lef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tcPr>
          <w:p>
            <w:pPr>
              <w:spacing w:after="0"/>
              <w:rPr>
                <w:sz w:val="17"/>
                <w:szCs w:val="17"/>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gridSpan w:val="2"/>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20" w:type="dxa"/>
            <w:vAlign w:val="bottom"/>
            <w:tcBorders>
              <w:lef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Total recognized in net periodic benefit cost and accumulated other comprehensive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6"/>
                <w:szCs w:val="16"/>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6"/>
                <w:szCs w:val="16"/>
                <w:color w:val="auto"/>
              </w:rPr>
            </w:pPr>
          </w:p>
        </w:tc>
        <w:tc>
          <w:tcPr>
            <w:tcW w:w="5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Pension Cost: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5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5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other loss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w:t>
            </w:r>
          </w:p>
        </w:tc>
        <w:tc>
          <w:tcPr>
            <w:tcW w:w="520" w:type="dxa"/>
            <w:vAlign w:val="bottom"/>
            <w:tcBorders>
              <w:left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Assumptions used to determine net periodic pension cost:</w:t>
            </w: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future compensation levels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(with mortality):</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2025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 2026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2027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 2028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2029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 2030 through 2034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53" w:name="page54"/>
    <w:bookmarkEnd w:id="53"/>
    <w:p>
      <w:pPr>
        <w:jc w:val="both"/>
        <w:spacing w:after="0" w:line="277" w:lineRule="auto"/>
        <w:rPr>
          <w:sz w:val="20"/>
          <w:szCs w:val="20"/>
          <w:color w:val="auto"/>
        </w:rPr>
      </w:pPr>
      <w:r>
        <w:rPr>
          <w:rFonts w:ascii="Times New Roman" w:cs="Times New Roman" w:eastAsia="Times New Roman" w:hAnsi="Times New Roman"/>
          <w:sz w:val="18"/>
          <w:szCs w:val="18"/>
          <w:color w:val="auto"/>
        </w:rPr>
        <w:t>Of the $1,066 net gain recognized in accumulated other comprehensive income at November 30, 2024, $65 of amortization is expected to be recognized as a component of net periodic pension cost during fiscal 2025.</w:t>
      </w:r>
    </w:p>
    <w:p>
      <w:pPr>
        <w:spacing w:after="0" w:line="163"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loss, net in our consolidated statements of operations.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Compensation Plan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and certain former executives and provides for voluntary deferral of compensation. This plan has been frozen with no additional participants or benefits permitted. We recognized expense of $79, $204, and $154 in fiscal 2024, 2023, and 2022, respectively, associated with the plan. Our liability under this plan was $1,568 and $1,655 as of November 30, 2024 and November 25, 2023, respectively. The non-current portion of this obligation is included in post-employment benefit obligations in our consolidated balance sheets, with the current portion included in accrued compensation and benefits.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Contribution Plan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 qualified defined contribution plan (Employee Savings/Retirement Plan) that covers substantially all employees who elect to participate and have fulfilled the necessary service requirements. Employee contributions to the Plan are matched at the rate of 25% of up to 8% of gross pay, regardless of years of service. Expense for employer matching contributions was $943, $998 and $1,108 during fiscal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 (Loss)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activity in accumulated other comprehensive income (loss) for the fiscal years ended November 30, 2024 and November 25, 2023, which is comprised of post-retirement benefit costs related to our SERP and LTC Awards as well as cumulative translation adjustments arising from our investment in Noa Home, is as follows: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26, 2022</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amortization reclassified from accumulated other comprehensive loss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7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25, 2023</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pension amortization reclassified from accumulated other comprehensive loss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r>
      <w:tr>
        <w:trPr>
          <w:trHeight w:val="213"/>
        </w:trPr>
        <w:tc>
          <w:tcPr>
            <w:tcW w:w="67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Foreign currency translation adjustment </w:t>
            </w:r>
            <w:r>
              <w:rPr>
                <w:rFonts w:ascii="Times New Roman" w:cs="Times New Roman" w:eastAsia="Times New Roman" w:hAnsi="Times New Roman"/>
                <w:sz w:val="24"/>
                <w:szCs w:val="24"/>
                <w:color w:val="auto"/>
                <w:vertAlign w:val="superscript"/>
              </w:rPr>
              <w:t>(1)</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Tax effects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6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1440" w:right="220" w:hanging="312"/>
        <w:spacing w:after="0" w:line="277" w:lineRule="auto"/>
        <w:tabs>
          <w:tab w:leader="none" w:pos="1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transfer of $962 of cumulative translation loss out of accumulated other comprehensive loss into the fiscal 2024 loss from operations upon the substantial completion of the liquidation of Noa Home (See Note 14).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12. Capital Stock and Stock Compensation</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account for our stock-based employee and director compensation plans in accordance with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ASC 718 requires recognition of the cost of employee services received in exchange for an award of equity instruments in the financial statements over the period the employee is required to perform the services in exchange for the award (presumptively the vesting period) which we recognize on a straight-line basis. Compensation expense related to restricted stock and stock options included in selling, general and administrative expenses in our consolidated statements of operations for fiscal 2024, 2023 and 2022 was as follows:</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3380" w:type="dxa"/>
            <w:vAlign w:val="bottom"/>
          </w:tcPr>
          <w:p>
            <w:pPr>
              <w:spacing w:after="0"/>
              <w:rPr>
                <w:sz w:val="20"/>
                <w:szCs w:val="20"/>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7"/>
        </w:trPr>
        <w:tc>
          <w:tcPr>
            <w:tcW w:w="3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9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804</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Compensation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Plan</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10, 2021, our shareholders approved the Bassett Furniture Industries, Incorporated 2021 Stock Incentive Plan (the “2021 Plan”). All present and future non-employee directors, key employees and outside consultants for the Company are eligible to receive incentive awards under the 2021 Plan. Our Organization, Compensation and Nominating Committee (the “OCN Committee”) selects eligible key employees and outside consultants to receive awards under the 2021 Plan in its discretion. Our Board of Directors or any committee designated by the Board of Directors selects eligible non-employee directors to receive awards under the 2021 Plan in its discretion. Five hundred thousand (500,000) shares of common stock are reserved for issuance under the 2021 Plan. Participants may receive the following types of incentive awards under the 2021 Plan: stock options, stock appreciation rights, payment shares, restricted stock, restricted stock units and performance shares. Stock options may be incentive stock options or non-qualified stock options. Stock appreciation rights may be granted in tandem with stock options or as a freestanding award. Non-employee directors and outside consultants are eligible to receive restricted stock and restricted stock units only. The full terms of the 2021 Plan have been filed as an exhibit to our Schedule 14A filed with the United States Securities and Exchange Commission on February 8, 2021.</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elected to account for forfeitures as they occur. Compensation cost for awards with graded vesting schedules are accounted for on a straight-line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Shares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outstanding non-vested restricted shares during the year ended November 30, 2024 were as follows: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3"/>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3"/>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3"/>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 Per</w:t>
            </w:r>
          </w:p>
        </w:tc>
      </w:tr>
      <w:tr>
        <w:trPr>
          <w:trHeight w:val="236"/>
        </w:trPr>
        <w:tc>
          <w:tcPr>
            <w:tcW w:w="67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07"/>
        </w:trPr>
        <w:tc>
          <w:tcPr>
            <w:tcW w:w="67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shares outstanding at November 25, 2023</w:t>
            </w:r>
          </w:p>
        </w:tc>
        <w:tc>
          <w:tcPr>
            <w:tcW w:w="1520" w:type="dxa"/>
            <w:vAlign w:val="bottom"/>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6"/>
              </w:rPr>
              <w:t>92,313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6"/>
              </w:rPr>
              <w:t>48,109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16.62</w:t>
            </w:r>
          </w:p>
        </w:tc>
      </w:tr>
      <w:tr>
        <w:trPr>
          <w:trHeight w:val="213"/>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gridSpan w:val="2"/>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(46,013)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17.29</w:t>
            </w:r>
          </w:p>
        </w:tc>
      </w:tr>
      <w:tr>
        <w:trPr>
          <w:trHeight w:val="207"/>
        </w:trPr>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restricted shares outstanding at November 30, 2024</w:t>
            </w:r>
          </w:p>
        </w:tc>
        <w:tc>
          <w:tcPr>
            <w:tcW w:w="1520" w:type="dxa"/>
            <w:vAlign w:val="bottom"/>
            <w:tcBorders>
              <w:top w:val="single" w:sz="8" w:color="auto"/>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color w:val="auto"/>
                <w:w w:val="96"/>
              </w:rPr>
              <w:t>94,409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15.77</w:t>
            </w:r>
          </w:p>
        </w:tc>
      </w:tr>
      <w:tr>
        <w:trPr>
          <w:trHeight w:val="20"/>
        </w:trPr>
        <w:tc>
          <w:tcPr>
            <w:tcW w:w="6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fiscal 2024, 46,013 restricted shares were vested and released, of which 30,900 shares had been granted to employees and 15,113 shares had been granted to directors. During fiscal 2024, 2023 and 2022, 10,360 shares, 5,985 shares and 1,225 shares, respectively, were withheld to cover withholding taxes of $161, $109 and $19, respectively, arising from the vesting of restricted shares. During fiscal 2024, 2023 and 2022, excess tax benefits of $9, $10 and $1, respectively, were recognized within income tax expense upon the release of vested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55" w:name="page56"/>
    <w:bookmarkEnd w:id="55"/>
    <w:p>
      <w:pPr>
        <w:jc w:val="both"/>
        <w:spacing w:after="0" w:line="277" w:lineRule="auto"/>
        <w:rPr>
          <w:sz w:val="20"/>
          <w:szCs w:val="20"/>
          <w:color w:val="auto"/>
        </w:rPr>
      </w:pPr>
      <w:r>
        <w:rPr>
          <w:rFonts w:ascii="Times New Roman" w:cs="Times New Roman" w:eastAsia="Times New Roman" w:hAnsi="Times New Roman"/>
          <w:sz w:val="18"/>
          <w:szCs w:val="18"/>
          <w:color w:val="auto"/>
        </w:rPr>
        <w:t>Additional information regarding our outstanding non-vested restricted shares, which are all subject to service conditions, at November 30, 2024 is as follows:</w:t>
      </w:r>
    </w:p>
    <w:p>
      <w:pPr>
        <w:spacing w:after="0" w:line="159"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6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3"/>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 Value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6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Restriction</w:t>
            </w:r>
          </w:p>
        </w:tc>
      </w:tr>
      <w:tr>
        <w:trPr>
          <w:trHeight w:val="213"/>
        </w:trPr>
        <w:tc>
          <w:tcPr>
            <w:tcW w:w="26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at Grant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60" w:type="dxa"/>
            <w:vAlign w:val="bottom"/>
          </w:tcPr>
          <w:p>
            <w:pPr>
              <w:spacing w:after="0"/>
              <w:rPr>
                <w:sz w:val="18"/>
                <w:szCs w:val="18"/>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36"/>
        </w:trPr>
        <w:tc>
          <w:tcPr>
            <w:tcW w:w="26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0"/>
                <w:szCs w:val="20"/>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420"/>
        </w:trPr>
        <w:tc>
          <w:tcPr>
            <w:tcW w:w="2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2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January 12,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15.82</w:t>
            </w:r>
          </w:p>
        </w:tc>
        <w:tc>
          <w:tcPr>
            <w:tcW w:w="144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r>
      <w:tr>
        <w:trPr>
          <w:trHeight w:val="213"/>
        </w:trPr>
        <w:tc>
          <w:tcPr>
            <w:tcW w:w="2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January 11,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17.55</w:t>
            </w:r>
          </w:p>
        </w:tc>
        <w:tc>
          <w:tcPr>
            <w:tcW w:w="14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tcPr>
          <w:p>
            <w:pPr>
              <w:jc w:val="right"/>
              <w:ind w:right="45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r>
      <w:tr>
        <w:trPr>
          <w:trHeight w:val="213"/>
        </w:trPr>
        <w:tc>
          <w:tcPr>
            <w:tcW w:w="2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March 6,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w:t>
            </w:r>
          </w:p>
        </w:tc>
        <w:tc>
          <w:tcPr>
            <w:tcW w:w="144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r>
      <w:tr>
        <w:trPr>
          <w:trHeight w:val="213"/>
        </w:trPr>
        <w:tc>
          <w:tcPr>
            <w:tcW w:w="2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October 29,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14.11</w:t>
            </w:r>
          </w:p>
        </w:tc>
        <w:tc>
          <w:tcPr>
            <w:tcW w:w="14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tcPr>
          <w:p>
            <w:pPr>
              <w:jc w:val="right"/>
              <w:ind w:right="45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r>
      <w:tr>
        <w:trPr>
          <w:trHeight w:val="207"/>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Unrecognized compensation cost related to these non-vested restricted shares at November 30, 2024 is $752, all of which is expected to be recognized in fiscal 2025 through fiscal 2027.</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of 2017 we adopted and implemented the 2017 Employee Stock Purchase Plan (“2017 ESPP”) that allows eligible employees to purchase a limited number of shares of our stock at 85% of market value. Under the 2017 ESPP we sold 30,436, 28,063 and 30,074 shares to employees during fiscal 2024, 2023 and 2022, respectively, which resulted in an immaterial amount of compensation expense. There are 43,961 shares remaining available for sale under the 2017 ESPP at November 30,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from continuing operations are as follows:</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32"/>
        </w:trPr>
        <w:tc>
          <w:tcPr>
            <w:tcW w:w="50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0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w:t>
            </w:r>
          </w:p>
        </w:tc>
        <w:tc>
          <w:tcPr>
            <w:tcW w:w="1060" w:type="dxa"/>
            <w:vAlign w:val="bottom"/>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5,659</w:t>
            </w:r>
          </w:p>
        </w:tc>
      </w:tr>
      <w:tr>
        <w:trPr>
          <w:trHeight w:val="213"/>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2,154</w:t>
            </w:r>
          </w:p>
        </w:tc>
      </w:tr>
      <w:tr>
        <w:trPr>
          <w:trHeight w:val="213"/>
        </w:trPr>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(1,781)</w:t>
            </w:r>
          </w:p>
        </w:tc>
        <w:tc>
          <w:tcPr>
            <w:tcW w:w="10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w:t>
            </w: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w:t>
            </w:r>
          </w:p>
        </w:tc>
      </w:tr>
      <w:tr>
        <w:trPr>
          <w:trHeight w:val="213"/>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(4,675)</w:t>
            </w:r>
          </w:p>
        </w:tc>
        <w:tc>
          <w:tcPr>
            <w:tcW w:w="1060" w:type="dxa"/>
            <w:vAlign w:val="bottom"/>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8,702</w:t>
            </w:r>
          </w:p>
        </w:tc>
      </w:tr>
      <w:tr>
        <w:trPr>
          <w:trHeight w:val="20"/>
        </w:trPr>
        <w:tc>
          <w:tcPr>
            <w:tcW w:w="50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the effective income tax rate, as a percentage of income before income taxes,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7"/>
        </w:trPr>
        <w:tc>
          <w:tcPr>
            <w:tcW w:w="32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20" w:type="dxa"/>
            <w:vAlign w:val="bottom"/>
          </w:tcPr>
          <w:p>
            <w:pPr>
              <w:spacing w:after="0"/>
              <w:rPr>
                <w:sz w:val="17"/>
                <w:szCs w:val="17"/>
                <w:color w:val="auto"/>
              </w:rPr>
            </w:pPr>
          </w:p>
        </w:tc>
      </w:tr>
      <w:tr>
        <w:trPr>
          <w:trHeight w:val="213"/>
        </w:trPr>
        <w:tc>
          <w:tcPr>
            <w:tcW w:w="3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goodwill, restructuring and other charges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gain on revaluation of contingent consideration</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 carryback</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7"/>
        </w:trPr>
        <w:tc>
          <w:tcPr>
            <w:tcW w:w="3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08"/>
        </w:trPr>
        <w:tc>
          <w:tcPr>
            <w:tcW w:w="320" w:type="dxa"/>
            <w:vAlign w:val="bottom"/>
          </w:tcPr>
          <w:p>
            <w:pPr>
              <w:spacing w:after="0"/>
              <w:rPr>
                <w:sz w:val="24"/>
                <w:szCs w:val="24"/>
                <w:color w:val="auto"/>
              </w:rPr>
            </w:pPr>
          </w:p>
        </w:tc>
        <w:tc>
          <w:tcPr>
            <w:tcW w:w="5980" w:type="dxa"/>
            <w:vAlign w:val="bottom"/>
            <w:gridSpan w:val="2"/>
          </w:tcPr>
          <w:p>
            <w:pPr>
              <w:ind w:left="522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3"/>
        </w:trPr>
        <w:tc>
          <w:tcPr>
            <w:tcW w:w="32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56" w:name="page57"/>
    <w:bookmarkEnd w:id="56"/>
    <w:p>
      <w:pPr>
        <w:jc w:val="both"/>
        <w:spacing w:after="0" w:line="262" w:lineRule="auto"/>
        <w:rPr>
          <w:sz w:val="20"/>
          <w:szCs w:val="20"/>
          <w:color w:val="auto"/>
        </w:rPr>
      </w:pPr>
      <w:r>
        <w:rPr>
          <w:rFonts w:ascii="Times New Roman" w:cs="Times New Roman" w:eastAsia="Times New Roman" w:hAnsi="Times New Roman"/>
          <w:sz w:val="18"/>
          <w:szCs w:val="18"/>
          <w:color w:val="auto"/>
        </w:rPr>
        <w:t>Excess tax benefits in the amount of $9, $10 and $1 were recognized as a component of income tax expense during fiscal 2024, 2023 and 2022, respectively, resulting from the exercise of stock options and the release of restricted shares. The fiscal 2023 adjustment for impairment of non-deductible goodwill reflect the fact that there was no tax basis related to the impaired goodwill.</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income tax effects of temporary differences and carryforwards, which give rise to significant portions of the deferred income tax assets and deferred income tax liabilities, are as follows:</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678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25, 2023</w:t>
            </w:r>
          </w:p>
        </w:tc>
      </w:tr>
      <w:tr>
        <w:trPr>
          <w:trHeight w:val="20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r>
      <w:tr>
        <w:trPr>
          <w:trHeight w:val="213"/>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3,847</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2,426</w:t>
            </w:r>
          </w:p>
        </w:tc>
      </w:tr>
      <w:tr>
        <w:trPr>
          <w:trHeight w:val="213"/>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net operating loss and credit carryforwards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1,791</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29,185</w:t>
            </w:r>
          </w:p>
        </w:tc>
      </w:tr>
      <w:tr>
        <w:trPr>
          <w:trHeight w:val="213"/>
        </w:trPr>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38,955</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39,052</w:t>
            </w:r>
          </w:p>
        </w:tc>
      </w:tr>
      <w:tr>
        <w:trPr>
          <w:trHeight w:val="21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(2,264)</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w:t>
            </w:r>
          </w:p>
        </w:tc>
      </w:tr>
      <w:tr>
        <w:trPr>
          <w:trHeight w:val="207"/>
        </w:trPr>
        <w:tc>
          <w:tcPr>
            <w:tcW w:w="67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5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36,691</w:t>
            </w:r>
          </w:p>
        </w:tc>
        <w:tc>
          <w:tcPr>
            <w:tcW w:w="2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80" w:type="dxa"/>
            <w:vAlign w:val="bottom"/>
            <w:tcBorders>
              <w:top w:val="single" w:sz="8" w:color="CCEEFF"/>
            </w:tcBorders>
          </w:tcPr>
          <w:p>
            <w:pPr>
              <w:spacing w:after="0"/>
              <w:rPr>
                <w:sz w:val="17"/>
                <w:szCs w:val="17"/>
                <w:color w:val="auto"/>
              </w:rPr>
            </w:pPr>
          </w:p>
        </w:tc>
      </w:tr>
      <w:tr>
        <w:trPr>
          <w:trHeight w:val="213"/>
        </w:trPr>
        <w:tc>
          <w:tcPr>
            <w:tcW w:w="6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5,894</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w:t>
            </w:r>
          </w:p>
        </w:tc>
      </w:tr>
      <w:tr>
        <w:trPr>
          <w:trHeight w:val="213"/>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25,239</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r>
      <w:tr>
        <w:trPr>
          <w:trHeight w:val="207"/>
        </w:trPr>
        <w:tc>
          <w:tcPr>
            <w:tcW w:w="67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32,616</w:t>
            </w:r>
          </w:p>
        </w:tc>
      </w:tr>
      <w:tr>
        <w:trPr>
          <w:trHeight w:val="207"/>
        </w:trPr>
        <w:tc>
          <w:tcPr>
            <w:tcW w:w="67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4,645</w:t>
            </w:r>
          </w:p>
        </w:tc>
      </w:tr>
      <w:tr>
        <w:trPr>
          <w:trHeight w:val="20"/>
        </w:trPr>
        <w:tc>
          <w:tcPr>
            <w:tcW w:w="6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foreign net operating loss carryforwards attributable to Noa Home (see Note 3) of $10,780 resulting in a deferred tax asset of $2,264 upon which we have placed a full valuation allowance. During fiscal 2024, we generated federal net operating loss carryforwards of $5,152 and state net operating loss carryforwards of $530.</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Income tax refunds received, net of taxes paid, during fiscal 2024 and 2023 were $658 and $263, respectively. Income taxes paid, net of refunds received, during fiscal 2022 was $20,176.</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regularly evaluate, assess and adjust our accrued liabilities for unrecognized tax benefits in light of changing facts and circumstances, which could cause the effective tax rate to fluctuate from period to period. Our liabilities for uncertain tax positions are not material.</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federal and state tax positions and in the determination of its tax provision. Despite our belief that the liability for unrecognized tax benefits is adequate, it is often difficult to predict the final outcome or the timing of the resolution of any particular tax matter. We may adjust these liabilities as relevant circumstances evolve, such as guidance from the relevant tax authority, or resolution of issues in the courts. These adjustments are recognized as a component of income tax expense in the period in which they are identified. The Company also cannot predict when or if any other future tax payments related to these tax positions may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subject to examination for tax years 2021 through 2024 for all of our major tax jurisdictions.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14. Other Gains and Losses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we recognized non-cash charges for asset impairments totaling $5,515 which consisted of the following:</w:t>
      </w:r>
    </w:p>
    <w:p>
      <w:pPr>
        <w:spacing w:after="0" w:line="220" w:lineRule="exact"/>
        <w:rPr>
          <w:sz w:val="20"/>
          <w:szCs w:val="20"/>
          <w:color w:val="auto"/>
        </w:rPr>
      </w:pPr>
    </w:p>
    <w:p>
      <w:pPr>
        <w:jc w:val="both"/>
        <w:ind w:left="640" w:hanging="313"/>
        <w:spacing w:after="0" w:line="254"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50"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decided to cease operations by selling the remaining inventory in an orderly fashion through then end of fiscal 2024. $1,827 of these charges are for the full impairment of the Noa Home trade name intangible asset, and $74 relates to the full impairment of customized software used in the Noa Home operations.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estimates of the fair value of the impaired right-of-use assets included estimates of discounted cash flows based upon current market rents and other inputs which we consider to be Level 3 inputs as specified in the fair value hierarchy in ASC Topic 820, Fair Value Measurement and Disclosure.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Contract Abandonment</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fiscal 2024, we recognized a charge of $1,240 to accrue the remaining minimum charges payable under a contract for logistical services which our wholesale segment ceased utilizing during the third fiscal quarter of 2024. These minimum payments will continue through January of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Upon Realization of Cumulative Translation Adjustment</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connection with the liquidation of the Noa Home business, we recognized a pre-tax charge of $962 during the fourth quarter of fiscal 2024 for the realization of cumulative translation adjustments previously carried in accumulated other comprehensive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the fourth quarter of fiscal 2024 we recognized a restructuring charge of $440 representing accrued severance pay for certain affected employees. At November 30, 2024, $432 of the accrual remained in other current liabilities and is expected to be paid out by the end of the second quarter of fiscal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regarding the $5,409 non-cash charge during fiscal 2023 to impair goodwill associated with Noa Home.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Revaluation of Contingent Consideration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regarding a $1,013 gain during fiscal 2023 resulting from the revaluation of contingent consideration owed to the former owners of Noa Home.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Dispositions of Retail Store Locations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third quarter of fiscal 2022, we sold one of our Company-owned store locations in Houston, Texas for $8,217 net of closing costs, resulting in a gain of $4,595 during the year ended November 26, 2022.</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sale, together with our purchase of real property in Tampa, Florida for $7,668 in cash during the second quarter of fiscal 2022 was treated as an exchange of like-kind property under Section 1031 of the Internal Revenue Code of 1986, as amended, for the purpose of deferring approximately $4,300 of the taxable gain arising from the sale of the Houston property. A VIE was established during the second quarter of fiscal 2022 for purposes of acquiring the Tampa, Florida property, of which the Company was the primary beneficiary by virtue of our control over the activities that most significantly impact the entity's economic performance. Subsequent to the completion of the exchange transactions during the third quarter of fiscal 2022, the sole equity interest in the VIE was transferred to Bassett and the entity is now consolidated as a wholly owned subsidiary.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Other loss, net for the fiscal 2022 includes a gain of $1,441 arising from death benefits from Company-owned life insurance.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 and Lease Guarantees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“Leases” under Note 2 for a discussion of our accounting policies and elections under Topic 842.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leases as of November 30, 2024 and November 25, 2023 is as follows:</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36"/>
        </w:trPr>
        <w:tc>
          <w:tcPr>
            <w:tcW w:w="4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November 30, 2024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November 25, 2023</w:t>
            </w:r>
          </w:p>
        </w:tc>
      </w:tr>
      <w:tr>
        <w:trPr>
          <w:trHeight w:val="20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5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use assets</w:t>
            </w:r>
          </w:p>
        </w:tc>
        <w:tc>
          <w:tcPr>
            <w:tcW w:w="304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93,624</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100,888</w:t>
            </w:r>
          </w:p>
        </w:tc>
      </w:tr>
      <w:tr>
        <w:trPr>
          <w:trHeight w:val="213"/>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18,050</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r>
      <w:tr>
        <w:trPr>
          <w:trHeight w:val="21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88,395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97,357</w:t>
            </w:r>
          </w:p>
        </w:tc>
      </w:tr>
      <w:tr>
        <w:trPr>
          <w:trHeight w:val="213"/>
        </w:trPr>
        <w:tc>
          <w:tcPr>
            <w:tcW w:w="4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 of use assets (1)</w:t>
            </w:r>
          </w:p>
        </w:tc>
        <w:tc>
          <w:tcPr>
            <w:tcW w:w="304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 short-term (2)</w:t>
            </w:r>
          </w:p>
        </w:tc>
        <w:tc>
          <w:tcPr>
            <w:tcW w:w="2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3"/>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long-term (3)</w:t>
            </w:r>
          </w:p>
        </w:tc>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95" w:lineRule="exact"/>
        <w:rPr>
          <w:sz w:val="20"/>
          <w:szCs w:val="20"/>
          <w:color w:val="auto"/>
        </w:rPr>
      </w:pPr>
    </w:p>
    <w:p>
      <w:pPr>
        <w:ind w:left="1120" w:hanging="313"/>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&amp; equipment, net in our consolidated balance sheet.</w:t>
      </w:r>
    </w:p>
    <w:p>
      <w:pPr>
        <w:spacing w:after="0" w:line="33" w:lineRule="exact"/>
        <w:rPr>
          <w:rFonts w:ascii="Times New Roman" w:cs="Times New Roman" w:eastAsia="Times New Roman" w:hAnsi="Times New Roman"/>
          <w:sz w:val="18"/>
          <w:szCs w:val="18"/>
          <w:color w:val="auto"/>
        </w:rPr>
      </w:pPr>
    </w:p>
    <w:p>
      <w:pPr>
        <w:ind w:left="1120" w:hanging="313"/>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current liabilities and accrued expenses in our consolidated balance sheet.</w:t>
      </w:r>
    </w:p>
    <w:p>
      <w:pPr>
        <w:spacing w:after="0" w:line="33" w:lineRule="exact"/>
        <w:rPr>
          <w:rFonts w:ascii="Times New Roman" w:cs="Times New Roman" w:eastAsia="Times New Roman" w:hAnsi="Times New Roman"/>
          <w:sz w:val="18"/>
          <w:szCs w:val="18"/>
          <w:color w:val="auto"/>
        </w:rPr>
      </w:pPr>
    </w:p>
    <w:p>
      <w:pPr>
        <w:ind w:left="1120" w:hanging="313"/>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and accrued expenses in our consolidated balance sheet.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right-of-use assets under operating leases by segment as of November 30, 2024 and November 25, 2023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November 30, 2024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November 25, 2023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464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4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86,763</w:t>
            </w:r>
          </w:p>
        </w:tc>
        <w:tc>
          <w:tcPr>
            <w:tcW w:w="5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92,190</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4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right of use assets</w:t>
            </w:r>
          </w:p>
        </w:tc>
        <w:tc>
          <w:tcPr>
            <w:tcW w:w="464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93,624</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100,888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100" w:type="dxa"/>
            <w:vAlign w:val="bottom"/>
            <w:vMerge w:val="restart"/>
          </w:tcPr>
          <w:p>
            <w:pPr>
              <w:jc w:val="right"/>
              <w:ind w:right="2371"/>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575"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lease cost for 2024, 2023 and 2022 were as follows:</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586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r>
      <w:tr>
        <w:trPr>
          <w:trHeight w:val="20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24,065</w:t>
            </w: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24,287</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24,399</w:t>
            </w:r>
          </w:p>
        </w:tc>
      </w:tr>
      <w:tr>
        <w:trPr>
          <w:trHeight w:val="21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r>
      <w:tr>
        <w:trPr>
          <w:trHeight w:val="21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 (net of abatements received)</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9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w:t>
            </w:r>
          </w:p>
        </w:tc>
      </w:tr>
      <w:tr>
        <w:trPr>
          <w:trHeight w:val="20"/>
        </w:trPr>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4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23,983</w:t>
            </w:r>
          </w:p>
        </w:tc>
        <w:tc>
          <w:tcPr>
            <w:tcW w:w="92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24,155</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24,390</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lease disclosures as of November 30, 2024, November 25, 2023 and November 26, 2022 and for the fiscal years then ended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2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07"/>
        </w:trPr>
        <w:tc>
          <w:tcPr>
            <w:tcW w:w="8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26, 2022:</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26,913</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13"/>
        </w:trPr>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23,171</w:t>
            </w:r>
          </w:p>
        </w:tc>
        <w:tc>
          <w:tcPr>
            <w:tcW w:w="16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25, 2023:</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26,854</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r>
      <w:tr>
        <w:trPr>
          <w:trHeight w:val="213"/>
        </w:trPr>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21,921</w:t>
            </w:r>
          </w:p>
        </w:tc>
        <w:tc>
          <w:tcPr>
            <w:tcW w:w="16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30, 2024:</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26,558</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r>
      <w:tr>
        <w:trPr>
          <w:trHeight w:val="213"/>
        </w:trPr>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11,050</w:t>
            </w:r>
          </w:p>
        </w:tc>
        <w:tc>
          <w:tcPr>
            <w:tcW w:w="16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26, 2022:</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25, 2023:</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30, 2024:</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5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r>
      <w:tr>
        <w:trPr>
          <w:trHeight w:val="428"/>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Future payments under our leases and the present value of the obligations as of November 30, 2024 are as follows: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6"/>
        </w:trPr>
        <w:tc>
          <w:tcPr>
            <w:tcW w:w="8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46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Financing Leases</w:t>
            </w:r>
          </w:p>
        </w:tc>
      </w:tr>
      <w:tr>
        <w:trPr>
          <w:trHeight w:val="207"/>
        </w:trPr>
        <w:tc>
          <w:tcPr>
            <w:tcW w:w="8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8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19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24,283</w:t>
            </w:r>
          </w:p>
        </w:tc>
        <w:tc>
          <w:tcPr>
            <w:tcW w:w="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24,840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8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23,078</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19,739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8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13,042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8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23,548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840" w:type="dxa"/>
            <w:vAlign w:val="bottom"/>
          </w:tcPr>
          <w:p>
            <w:pPr>
              <w:spacing w:after="0"/>
              <w:rPr>
                <w:sz w:val="17"/>
                <w:szCs w:val="17"/>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128,530</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84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interest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22,085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840" w:type="dxa"/>
            <w:vAlign w:val="bottom"/>
          </w:tcPr>
          <w:p>
            <w:pPr>
              <w:spacing w:after="0"/>
              <w:rPr>
                <w:sz w:val="21"/>
                <w:szCs w:val="21"/>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106,445</w:t>
            </w:r>
          </w:p>
        </w:tc>
        <w:tc>
          <w:tcPr>
            <w:tcW w:w="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8"/>
        </w:trPr>
        <w:tc>
          <w:tcPr>
            <w:tcW w:w="84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125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3"/>
        </w:trPr>
        <w:tc>
          <w:tcPr>
            <w:tcW w:w="84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60" w:name="page61"/>
    <w:bookmarkEnd w:id="60"/>
    <w:p>
      <w:pPr>
        <w:jc w:val="both"/>
        <w:spacing w:after="0" w:line="262" w:lineRule="auto"/>
        <w:rPr>
          <w:sz w:val="20"/>
          <w:szCs w:val="20"/>
          <w:color w:val="auto"/>
        </w:rPr>
      </w:pPr>
      <w:r>
        <w:rPr>
          <w:rFonts w:ascii="Times New Roman" w:cs="Times New Roman" w:eastAsia="Times New Roman" w:hAnsi="Times New Roman"/>
          <w:sz w:val="18"/>
          <w:szCs w:val="18"/>
          <w:color w:val="auto"/>
        </w:rPr>
        <w:t>We sublease a small number of our leased locations to certain of our licensees for operation as BHF network stores. The terms of these leases generally match those of the lease we have with the lessor. In addition, we sublease space in certain closed store locations that are still under lease. Minimum future lease payments due to us under these subleases are as follows: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future rental income</w:t>
            </w: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1,700</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part of the strategy for our store program, we have guaranteed certain lease obligations of licensee operators. The remaining term under these lease guarantees extends for six years. We were contingently liable under licensee lease obligation guarantees in the amount of $5,131 and $1,845 at November 30, 2024 and November 25, 2023,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default by an independent dealer under the guaranteed lease, we believe that the risk of loss is mitigated through a combination of options that include, but are not limited to, arranging for a replacement dealer, liquidating the collateral, and pursuing payment under the personal guarantees of the independent dealer. The proceeds of the above options are estimated to cover the maximum amount of our future payments under the guarantee obligations, net of reserves. The fair value of lease guarantees (an estimate of the cost to the Company to perform on these guarantees) at November 30, 2024 and November 25, 2023, were not material.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involved in various claims and actions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Earnings (Loss) Per Share</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continuing operations: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(9,695)</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25,360</w:t>
            </w:r>
          </w:p>
        </w:tc>
        <w:tc>
          <w:tcPr>
            <w:tcW w:w="0" w:type="dxa"/>
            <w:vAlign w:val="bottom"/>
          </w:tcPr>
          <w:p>
            <w:pPr>
              <w:spacing w:after="0"/>
              <w:rPr>
                <w:sz w:val="1"/>
                <w:szCs w:val="1"/>
                <w:color w:val="auto"/>
              </w:rPr>
            </w:pPr>
          </w:p>
        </w:tc>
      </w:tr>
      <w:tr>
        <w:trPr>
          <w:trHeight w:val="194"/>
        </w:trPr>
        <w:tc>
          <w:tcPr>
            <w:tcW w:w="6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Denominator for basic income per share - weighted average shares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8,733,215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8,784,759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9,394,873</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8,107</w:t>
            </w:r>
          </w:p>
        </w:tc>
        <w:tc>
          <w:tcPr>
            <w:tcW w:w="0" w:type="dxa"/>
            <w:vAlign w:val="bottom"/>
          </w:tcPr>
          <w:p>
            <w:pPr>
              <w:spacing w:after="0"/>
              <w:rPr>
                <w:sz w:val="1"/>
                <w:szCs w:val="1"/>
                <w:color w:val="auto"/>
              </w:rPr>
            </w:pPr>
          </w:p>
        </w:tc>
      </w:tr>
      <w:tr>
        <w:trPr>
          <w:trHeight w:val="188"/>
        </w:trPr>
        <w:tc>
          <w:tcPr>
            <w:tcW w:w="6120" w:type="dxa"/>
            <w:vAlign w:val="bottom"/>
            <w:tcBorders>
              <w:top w:val="single" w:sz="8" w:color="CCEEFF"/>
            </w:tcBorders>
          </w:tcPr>
          <w:p>
            <w:pPr>
              <w:ind w:left="640"/>
              <w:spacing w:after="0" w:line="189" w:lineRule="exact"/>
              <w:rPr>
                <w:sz w:val="20"/>
                <w:szCs w:val="20"/>
                <w:color w:val="auto"/>
              </w:rPr>
            </w:pPr>
            <w:r>
              <w:rPr>
                <w:rFonts w:ascii="Times New Roman" w:cs="Times New Roman" w:eastAsia="Times New Roman" w:hAnsi="Times New Roman"/>
                <w:sz w:val="18"/>
                <w:szCs w:val="18"/>
                <w:color w:val="auto"/>
              </w:rPr>
              <w:t>Denominator for diluted income per share — weighted average shares and</w:t>
            </w: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8,733,215</w:t>
            </w: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8,784,759</w:t>
            </w: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9,402,980</w:t>
            </w:r>
          </w:p>
        </w:tc>
        <w:tc>
          <w:tcPr>
            <w:tcW w:w="100" w:type="dxa"/>
            <w:vAlign w:val="bottom"/>
            <w:tcBorders>
              <w:top w:val="single" w:sz="8" w:color="CCEEFF"/>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20" w:type="dxa"/>
            <w:vAlign w:val="bottom"/>
          </w:tcPr>
          <w:p>
            <w:pPr>
              <w:ind w:left="800"/>
              <w:spacing w:after="0" w:line="192" w:lineRule="exact"/>
              <w:rPr>
                <w:sz w:val="20"/>
                <w:szCs w:val="20"/>
                <w:color w:val="auto"/>
              </w:rPr>
            </w:pPr>
            <w:r>
              <w:rPr>
                <w:rFonts w:ascii="Times New Roman" w:cs="Times New Roman" w:eastAsia="Times New Roman" w:hAnsi="Times New Roman"/>
                <w:sz w:val="18"/>
                <w:szCs w:val="18"/>
                <w:color w:val="auto"/>
              </w:rPr>
              <w:t>assumed conversions</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 income (loss) per share - continuing operations: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Diluted income (loss) per share - continuing operations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discontinued operations: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39,985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Denominator for basic income per share - weighted average shares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8,784,759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9,394,873</w:t>
            </w:r>
          </w:p>
        </w:tc>
        <w:tc>
          <w:tcPr>
            <w:tcW w:w="0" w:type="dxa"/>
            <w:vAlign w:val="bottom"/>
          </w:tcPr>
          <w:p>
            <w:pPr>
              <w:spacing w:after="0"/>
              <w:rPr>
                <w:sz w:val="1"/>
                <w:szCs w:val="1"/>
                <w:color w:val="auto"/>
              </w:rPr>
            </w:pPr>
          </w:p>
        </w:tc>
      </w:tr>
      <w:tr>
        <w:trPr>
          <w:trHeight w:val="213"/>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8,107</w:t>
            </w: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Denominator for diluted income per share — weighted average shares and</w:t>
            </w:r>
          </w:p>
        </w:tc>
        <w:tc>
          <w:tcPr>
            <w:tcW w:w="2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8,733,215</w:t>
            </w: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8,784,759</w:t>
            </w: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9,402,980</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120" w:type="dxa"/>
            <w:vAlign w:val="bottom"/>
            <w:tcBorders>
              <w:bottom w:val="single" w:sz="8" w:color="CCEEFF"/>
            </w:tcBorders>
            <w:shd w:val="clear" w:color="auto" w:fill="CCEEFF"/>
          </w:tcPr>
          <w:p>
            <w:pPr>
              <w:ind w:left="800"/>
              <w:spacing w:after="0" w:line="192" w:lineRule="exact"/>
              <w:rPr>
                <w:sz w:val="20"/>
                <w:szCs w:val="20"/>
                <w:color w:val="auto"/>
              </w:rPr>
            </w:pPr>
            <w:r>
              <w:rPr>
                <w:rFonts w:ascii="Times New Roman" w:cs="Times New Roman" w:eastAsia="Times New Roman" w:hAnsi="Times New Roman"/>
                <w:sz w:val="18"/>
                <w:szCs w:val="18"/>
                <w:color w:val="auto"/>
              </w:rPr>
              <w:t>assumed conversions</w:t>
            </w: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 income per share - discontinued operations</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194"/>
        </w:trPr>
        <w:tc>
          <w:tcPr>
            <w:tcW w:w="6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 income per share - discontinued operations</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*Due to the net loss in 2024 and 2023, the potentially dilutive securities would have been anti-dilutive and are therefore excluded.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2024, 2023 and 2022, the following potentially dilutive shares were excluded from the computations as their effect was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7"/>
        </w:trPr>
        <w:tc>
          <w:tcPr>
            <w:tcW w:w="320" w:type="dxa"/>
            <w:vAlign w:val="bottom"/>
          </w:tcPr>
          <w:p>
            <w:pPr>
              <w:spacing w:after="0"/>
              <w:rPr>
                <w:sz w:val="17"/>
                <w:szCs w:val="17"/>
                <w:color w:val="auto"/>
              </w:rPr>
            </w:pPr>
          </w:p>
        </w:tc>
        <w:tc>
          <w:tcPr>
            <w:tcW w:w="6860" w:type="dxa"/>
            <w:vAlign w:val="bottom"/>
            <w:gridSpan w:val="2"/>
            <w:shd w:val="clear" w:color="auto" w:fill="CCEEFF"/>
          </w:tcPr>
          <w:p>
            <w:pPr>
              <w:jc w:val="right"/>
              <w:ind w:right="4891"/>
              <w:spacing w:after="0"/>
              <w:rPr>
                <w:sz w:val="20"/>
                <w:szCs w:val="20"/>
                <w:color w:val="auto"/>
              </w:rPr>
            </w:pPr>
            <w:r>
              <w:rPr>
                <w:rFonts w:ascii="Times New Roman" w:cs="Times New Roman" w:eastAsia="Times New Roman" w:hAnsi="Times New Roman"/>
                <w:sz w:val="18"/>
                <w:szCs w:val="18"/>
                <w:color w:val="auto"/>
                <w:w w:val="98"/>
              </w:rPr>
              <w:t>Unvested restricted shares</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94,409</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92,313</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r>
      <w:tr>
        <w:trPr>
          <w:trHeight w:val="428"/>
        </w:trPr>
        <w:tc>
          <w:tcPr>
            <w:tcW w:w="320" w:type="dxa"/>
            <w:vAlign w:val="bottom"/>
          </w:tcPr>
          <w:p>
            <w:pPr>
              <w:spacing w:after="0"/>
              <w:rPr>
                <w:sz w:val="24"/>
                <w:szCs w:val="24"/>
                <w:color w:val="auto"/>
              </w:rPr>
            </w:pPr>
          </w:p>
        </w:tc>
        <w:tc>
          <w:tcPr>
            <w:tcW w:w="59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58</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3"/>
        </w:trPr>
        <w:tc>
          <w:tcPr>
            <w:tcW w:w="3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1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18. Discontinued Operations</w:t>
      </w:r>
    </w:p>
    <w:p>
      <w:pPr>
        <w:spacing w:after="0" w:line="22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On January 31, 2022, we entered into a definitive agreement to sell substantially all of the assets of Zenith to J.B. Hunt. The sale was completed on February 28, 2022, at which time we received the following net proceeds:</w:t>
      </w:r>
    </w:p>
    <w:p>
      <w:pPr>
        <w:sectPr>
          <w:pgSz w:w="11900" w:h="16838" w:orient="portrait"/>
          <w:cols w:equalWidth="0" w:num="1">
            <w:col w:w="11240"/>
          </w:cols>
          <w:pgMar w:left="320" w:top="811" w:right="339" w:bottom="1440" w:gutter="0" w:footer="0" w:header="0"/>
        </w:sectPr>
      </w:pP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Sales price prior to post-closing 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-119380</wp:posOffset>
            </wp:positionV>
            <wp:extent cx="6769735"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9735" cy="135255"/>
                    </a:xfrm>
                    <a:prstGeom prst="rect">
                      <a:avLst/>
                    </a:prstGeom>
                    <a:noFill/>
                  </pic:spPr>
                </pic:pic>
              </a:graphicData>
            </a:graphic>
          </wp:anchor>
        </w:drawing>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3810</wp:posOffset>
            </wp:positionV>
            <wp:extent cx="6769735" cy="13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9735" cy="135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7"/>
          <w:szCs w:val="17"/>
          <w:color w:val="auto"/>
        </w:rPr>
        <w:t>Amount held in escrow for contingencies related to representations and warranties (1)</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Seller expenses paid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3810</wp:posOffset>
            </wp:positionV>
            <wp:extent cx="6769735" cy="144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9735" cy="14414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Working capital adjustment paid to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147955</wp:posOffset>
            </wp:positionV>
            <wp:extent cx="6769735" cy="161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9735" cy="161290"/>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proceeds from the sale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000" w:hanging="99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86,939</w:t>
      </w:r>
    </w:p>
    <w:p>
      <w:pPr>
        <w:spacing w:after="0" w:line="220"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1,000</w:t>
      </w:r>
    </w:p>
    <w:p>
      <w:pPr>
        <w:spacing w:after="0" w:line="25"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418</w:t>
      </w:r>
    </w:p>
    <w:p>
      <w:pPr>
        <w:spacing w:after="0" w:line="6"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987</w:t>
      </w:r>
    </w:p>
    <w:p>
      <w:pPr>
        <w:spacing w:after="0" w:line="214" w:lineRule="exact"/>
        <w:rPr>
          <w:sz w:val="20"/>
          <w:szCs w:val="20"/>
          <w:color w:val="auto"/>
        </w:rPr>
      </w:pPr>
    </w:p>
    <w:p>
      <w:pPr>
        <w:ind w:left="1000" w:hanging="99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84,534</w:t>
      </w:r>
    </w:p>
    <w:p>
      <w:pPr>
        <w:spacing w:after="0" w:line="240" w:lineRule="exact"/>
        <w:rPr>
          <w:sz w:val="20"/>
          <w:szCs w:val="20"/>
          <w:color w:val="auto"/>
        </w:rPr>
      </w:pPr>
    </w:p>
    <w:p>
      <w:pPr>
        <w:sectPr>
          <w:pgSz w:w="11900" w:h="16838" w:orient="portrait"/>
          <w:cols w:equalWidth="0" w:num="2">
            <w:col w:w="8640" w:space="720"/>
            <w:col w:w="1880"/>
          </w:cols>
          <w:pgMar w:left="320" w:top="811" w:right="339" w:bottom="1440" w:gutter="0" w:footer="0" w:header="0"/>
          <w:type w:val="continuous"/>
        </w:sectPr>
      </w:pPr>
    </w:p>
    <w:p>
      <w:pPr>
        <w:spacing w:after="0" w:line="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 This was held in escrow until the first anniversary of the sale, at which time the full amount was released to the Company on March 2, 2023.</w:t>
      </w:r>
    </w:p>
    <w:p>
      <w:pPr>
        <w:spacing w:after="0" w:line="2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sales price was subject to customary post-closing working capital adjustments which were paid during the second half of fiscal 2022 and resulted in a pre-tax gain from the sale of Zenith of $52,534.</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operations of our logistical services segment, which consisted entirely of the operations of Zenith, are presented in the accompanying consolidated statements of operations as discontinued operations.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Following the sale of Zenith, certain of Zenith’s liabilities primarily representing reserves and accrued liabilities for pre-disposal workers’ compensation, health insurance and auto liability claims were retained by Bassett. The remaining balance of these reserves and accruals totaled $114 and $358 at November 30, 2024 and November 25, 2023, respectively, and are included in accrued compensation and benefits and other current liabilities and accrued expenses in the accompanying condensed consolidated balance sheets.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major classes of line items constituting income of the discontinued operations, as reported in the consolidated statements of operations for fiscal 2022 (there was no income from discontinued operations in 2024 or 2023):</w:t>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6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 line items constituting pretax income of discontinued operations:</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Logistical services revenue</w:t>
            </w:r>
          </w:p>
        </w:tc>
        <w:tc>
          <w:tcPr>
            <w:tcW w:w="148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16,776</w:t>
            </w:r>
          </w:p>
        </w:tc>
      </w:tr>
      <w:tr>
        <w:trPr>
          <w:trHeight w:val="213"/>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logistical services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15,001</w:t>
            </w:r>
          </w:p>
        </w:tc>
      </w:tr>
      <w:tr>
        <w:trPr>
          <w:trHeight w:val="213"/>
        </w:trPr>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loss, net</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07"/>
        </w:trPr>
        <w:tc>
          <w:tcPr>
            <w:tcW w:w="6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operations of logistical services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1,712</w:t>
            </w:r>
          </w:p>
        </w:tc>
      </w:tr>
      <w:tr>
        <w:trPr>
          <w:trHeight w:val="21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disposal</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52,534</w:t>
            </w:r>
          </w:p>
        </w:tc>
      </w:tr>
      <w:tr>
        <w:trPr>
          <w:trHeight w:val="20"/>
        </w:trPr>
        <w:tc>
          <w:tcPr>
            <w:tcW w:w="6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54,246</w:t>
            </w:r>
          </w:p>
        </w:tc>
      </w:tr>
      <w:tr>
        <w:trPr>
          <w:trHeight w:val="21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14,261</w:t>
            </w:r>
          </w:p>
        </w:tc>
      </w:tr>
      <w:tr>
        <w:trPr>
          <w:trHeight w:val="207"/>
        </w:trPr>
        <w:tc>
          <w:tcPr>
            <w:tcW w:w="6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39,985</w:t>
            </w:r>
          </w:p>
        </w:tc>
      </w:tr>
      <w:tr>
        <w:trPr>
          <w:trHeight w:val="20"/>
        </w:trPr>
        <w:tc>
          <w:tcPr>
            <w:tcW w:w="6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amounts for revenue and costs of logistical services shown above represent the results of Zenith’s business transactions with third parties. Zenith also charged Bassett for logistical services provided to our wholesale segment in the amount of $9,121 during 2022 prior to disposal. We have entered into a service agreement with J.B. Hunt for the continuation of these services for a period of seven years following the sale of Zenith. Subsequent to the sale, we incurred $22,721, $26,125 and $27,604 of expense during fiscal 2024, 2023 and 2022, respectively, for the performance of logistical services.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type w:val="continuous"/>
        </w:sectPr>
      </w:pPr>
    </w:p>
    <w:bookmarkStart w:id="63" w:name="page64"/>
    <w:bookmarkEnd w:id="63"/>
    <w:p>
      <w:pPr>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cash flows generated by discontinued operations during 2022 (there were no cash flows from discontinued operation in 2024 or 2023):</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236"/>
        </w:trPr>
        <w:tc>
          <w:tcPr>
            <w:tcW w:w="7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 (1)</w:t>
            </w:r>
          </w:p>
        </w:tc>
        <w:tc>
          <w:tcPr>
            <w:tcW w:w="80" w:type="dxa"/>
            <w:vAlign w:val="bottom"/>
          </w:tcPr>
          <w:p>
            <w:pPr>
              <w:spacing w:after="0"/>
              <w:rPr>
                <w:sz w:val="20"/>
                <w:szCs w:val="20"/>
                <w:color w:val="auto"/>
              </w:rPr>
            </w:pPr>
          </w:p>
        </w:tc>
      </w:tr>
      <w:tr>
        <w:trPr>
          <w:trHeight w:val="20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1,681</w:t>
            </w:r>
          </w:p>
        </w:tc>
      </w:tr>
      <w:tr>
        <w:trPr>
          <w:trHeight w:val="21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w:t>
            </w:r>
          </w:p>
        </w:tc>
      </w:tr>
      <w:tr>
        <w:trPr>
          <w:trHeight w:val="207"/>
        </w:trPr>
        <w:tc>
          <w:tcPr>
            <w:tcW w:w="73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discontinued operations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1,229</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1600" w:hanging="312"/>
        <w:spacing w:after="0"/>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net proceeds from the sale of Zenith.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18" w:lineRule="exact"/>
        <w:rPr>
          <w:sz w:val="20"/>
          <w:szCs w:val="20"/>
          <w:color w:val="auto"/>
        </w:rPr>
      </w:pPr>
    </w:p>
    <w:p>
      <w:pPr>
        <w:jc w:val="both"/>
        <w:ind w:left="640" w:hanging="313"/>
        <w:spacing w:after="0" w:line="264"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 furniture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40" w:hanging="313"/>
        <w:spacing w:after="0" w:line="264"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November 30, 2024, November 25, 2023 and November 26, 2022, the only such operating segment included in Corporate and other is Noa Home, which was acquired on September 2, 2022. All sales reported in our Corporate and other category are attributable to Noa Home, which generated substantially all of its sales outside of the United States. During the second fiscal quarter of 2024 we concluded that Noa Home was not likely to achieve profitability in the foreseeable future and have ceased operations as of November 30, 2024 by selling the remaining inventory in an orderly fashion over the second half of fiscal 2024.</w:t>
      </w:r>
    </w:p>
    <w:p>
      <w:pPr>
        <w:spacing w:after="0" w:line="1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former logistical services segment which represented the operations of Zenith is presented as a discontinued operation in the accompanying condensed consolidated statements of operations (see Note 18).</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following table presents segment information for each of the last three fiscal years:</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236"/>
        </w:trPr>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207,462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248,911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324,569</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(87,021)</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(103,519)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(125,889)</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145,392</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198,680</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204,563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285,119</w:t>
            </w: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Other - Noa Home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8,804</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390,136</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485,601</w:t>
            </w:r>
          </w:p>
        </w:tc>
        <w:tc>
          <w:tcPr>
            <w:tcW w:w="0" w:type="dxa"/>
            <w:vAlign w:val="bottom"/>
          </w:tcPr>
          <w:p>
            <w:pPr>
              <w:spacing w:after="0"/>
              <w:rPr>
                <w:sz w:val="1"/>
                <w:szCs w:val="1"/>
                <w:color w:val="auto"/>
              </w:rPr>
            </w:pPr>
          </w:p>
        </w:tc>
      </w:tr>
      <w:tr>
        <w:trPr>
          <w:trHeight w:val="194"/>
        </w:trPr>
        <w:tc>
          <w:tcPr>
            <w:tcW w:w="56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25,357</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30,699</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41,979</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(28,456)</w:t>
            </w: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(29,926)</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(30,997)</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Inter-company elimination</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1,591</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(5,515)</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upon realization of cumulative translation adjustment</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income (loss) from continuing operations</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(16,269)</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34,865</w:t>
            </w:r>
          </w:p>
        </w:tc>
        <w:tc>
          <w:tcPr>
            <w:tcW w:w="0" w:type="dxa"/>
            <w:vAlign w:val="bottom"/>
          </w:tcPr>
          <w:p>
            <w:pPr>
              <w:spacing w:after="0"/>
              <w:rPr>
                <w:sz w:val="1"/>
                <w:szCs w:val="1"/>
                <w:color w:val="auto"/>
              </w:rPr>
            </w:pPr>
          </w:p>
        </w:tc>
      </w:tr>
      <w:tr>
        <w:trPr>
          <w:trHeight w:val="213"/>
        </w:trPr>
        <w:tc>
          <w:tcPr>
            <w:tcW w:w="5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Consolidated income (loss) from continuing operations before income</w:t>
            </w:r>
          </w:p>
        </w:tc>
        <w:tc>
          <w:tcPr>
            <w:tcW w:w="3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(14,370)</w:t>
            </w:r>
          </w:p>
        </w:tc>
        <w:tc>
          <w:tcPr>
            <w:tcW w:w="320" w:type="dxa"/>
            <w:vAlign w:val="bottom"/>
            <w:vMerge w:val="restart"/>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(2,488)</w:t>
            </w:r>
          </w:p>
        </w:tc>
        <w:tc>
          <w:tcPr>
            <w:tcW w:w="320" w:type="dxa"/>
            <w:vAlign w:val="bottom"/>
            <w:vMerge w:val="restart"/>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34,062</w:t>
            </w:r>
          </w:p>
        </w:tc>
        <w:tc>
          <w:tcPr>
            <w:tcW w:w="0" w:type="dxa"/>
            <w:vAlign w:val="bottom"/>
          </w:tcPr>
          <w:p>
            <w:pPr>
              <w:spacing w:after="0"/>
              <w:rPr>
                <w:sz w:val="1"/>
                <w:szCs w:val="1"/>
                <w:color w:val="auto"/>
              </w:rPr>
            </w:pPr>
          </w:p>
        </w:tc>
      </w:tr>
      <w:tr>
        <w:trPr>
          <w:trHeight w:val="192"/>
        </w:trPr>
        <w:tc>
          <w:tcPr>
            <w:tcW w:w="5660" w:type="dxa"/>
            <w:vAlign w:val="bottom"/>
          </w:tcPr>
          <w:p>
            <w:pPr>
              <w:ind w:left="320"/>
              <w:spacing w:after="0" w:line="192" w:lineRule="exact"/>
              <w:rPr>
                <w:sz w:val="20"/>
                <w:szCs w:val="20"/>
                <w:color w:val="auto"/>
              </w:rPr>
            </w:pPr>
            <w:r>
              <w:rPr>
                <w:rFonts w:ascii="Times New Roman" w:cs="Times New Roman" w:eastAsia="Times New Roman" w:hAnsi="Times New Roman"/>
                <w:sz w:val="18"/>
                <w:szCs w:val="18"/>
                <w:color w:val="auto"/>
              </w:rPr>
              <w:t>taxes</w:t>
            </w:r>
          </w:p>
        </w:tc>
        <w:tc>
          <w:tcPr>
            <w:tcW w:w="3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2,455</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4,850</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11,309</w:t>
            </w:r>
          </w:p>
        </w:tc>
        <w:tc>
          <w:tcPr>
            <w:tcW w:w="0" w:type="dxa"/>
            <w:vAlign w:val="bottom"/>
          </w:tcPr>
          <w:p>
            <w:pPr>
              <w:spacing w:after="0"/>
              <w:rPr>
                <w:sz w:val="1"/>
                <w:szCs w:val="1"/>
                <w:color w:val="auto"/>
              </w:rPr>
            </w:pPr>
          </w:p>
        </w:tc>
      </w:tr>
      <w:tr>
        <w:trPr>
          <w:trHeight w:val="194"/>
        </w:trPr>
        <w:tc>
          <w:tcPr>
            <w:tcW w:w="56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2,295</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10,549</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5,317</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21,296</w:t>
            </w:r>
          </w:p>
        </w:tc>
        <w:tc>
          <w:tcPr>
            <w:tcW w:w="0" w:type="dxa"/>
            <w:vAlign w:val="bottom"/>
          </w:tcPr>
          <w:p>
            <w:pPr>
              <w:spacing w:after="0"/>
              <w:rPr>
                <w:sz w:val="1"/>
                <w:szCs w:val="1"/>
                <w:color w:val="auto"/>
              </w:rPr>
            </w:pPr>
          </w:p>
        </w:tc>
      </w:tr>
      <w:tr>
        <w:trPr>
          <w:trHeight w:val="194"/>
        </w:trPr>
        <w:tc>
          <w:tcPr>
            <w:tcW w:w="56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88,533</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99,004</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125,433</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158,084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166,604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162,222</w:t>
            </w:r>
          </w:p>
        </w:tc>
        <w:tc>
          <w:tcPr>
            <w:tcW w:w="0" w:type="dxa"/>
            <w:vAlign w:val="bottom"/>
          </w:tcPr>
          <w:p>
            <w:pPr>
              <w:spacing w:after="0"/>
              <w:rPr>
                <w:sz w:val="1"/>
                <w:szCs w:val="1"/>
                <w:color w:val="auto"/>
              </w:rPr>
            </w:pPr>
          </w:p>
        </w:tc>
      </w:tr>
      <w:tr>
        <w:trPr>
          <w:trHeight w:val="213"/>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104,816</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118,618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370,424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406,273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for disaggregated revenue information regarding sales of furniture and accessories by product type for the wholesale and retail segments.</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40"/>
          </w:cols>
          <w:pgMar w:left="320" w:top="575"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20. Revenue Recognition</w:t>
      </w:r>
    </w:p>
    <w:p>
      <w:pPr>
        <w:spacing w:after="0" w:line="22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fiscal years 2024, 2023 and 2022, excluding intercompany transactions between our segments, is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Corporate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Corporate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Corporate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8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Retail</w:t>
            </w:r>
          </w:p>
        </w:tc>
        <w:tc>
          <w:tcPr>
            <w:tcW w:w="180" w:type="dxa"/>
            <w:vAlign w:val="bottom"/>
          </w:tcPr>
          <w:p>
            <w:pPr>
              <w:spacing w:after="0"/>
              <w:rPr>
                <w:sz w:val="12"/>
                <w:szCs w:val="12"/>
                <w:color w:val="auto"/>
              </w:rPr>
            </w:pPr>
          </w:p>
        </w:tc>
        <w:tc>
          <w:tcPr>
            <w:tcW w:w="700" w:type="dxa"/>
            <w:vAlign w:val="bottom"/>
          </w:tcPr>
          <w:p>
            <w:pPr>
              <w:jc w:val="center"/>
              <w:ind w:right="109"/>
              <w:spacing w:after="0" w:line="147" w:lineRule="exact"/>
              <w:rPr>
                <w:sz w:val="20"/>
                <w:szCs w:val="20"/>
                <w:color w:val="auto"/>
              </w:rPr>
            </w:pPr>
            <w:r>
              <w:rPr>
                <w:rFonts w:ascii="Times New Roman" w:cs="Times New Roman" w:eastAsia="Times New Roman" w:hAnsi="Times New Roman"/>
                <w:sz w:val="14"/>
                <w:szCs w:val="14"/>
                <w:color w:val="auto"/>
              </w:rPr>
              <w:t>&amp;</w:t>
            </w:r>
          </w:p>
        </w:tc>
        <w:tc>
          <w:tcPr>
            <w:tcW w:w="6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2"/>
                <w:szCs w:val="12"/>
                <w:color w:val="auto"/>
              </w:rPr>
            </w:pPr>
          </w:p>
        </w:tc>
        <w:tc>
          <w:tcPr>
            <w:tcW w:w="70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98"/>
              </w:rPr>
              <w:t>Wholesale</w:t>
            </w:r>
          </w:p>
        </w:tc>
        <w:tc>
          <w:tcPr>
            <w:tcW w:w="78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Retail</w:t>
            </w:r>
          </w:p>
        </w:tc>
        <w:tc>
          <w:tcPr>
            <w:tcW w:w="180" w:type="dxa"/>
            <w:vAlign w:val="bottom"/>
          </w:tcPr>
          <w:p>
            <w:pPr>
              <w:spacing w:after="0"/>
              <w:rPr>
                <w:sz w:val="12"/>
                <w:szCs w:val="12"/>
                <w:color w:val="auto"/>
              </w:rPr>
            </w:pPr>
          </w:p>
        </w:tc>
        <w:tc>
          <w:tcPr>
            <w:tcW w:w="700" w:type="dxa"/>
            <w:vAlign w:val="bottom"/>
          </w:tcPr>
          <w:p>
            <w:pPr>
              <w:jc w:val="center"/>
              <w:ind w:right="109"/>
              <w:spacing w:after="0" w:line="147" w:lineRule="exact"/>
              <w:rPr>
                <w:sz w:val="20"/>
                <w:szCs w:val="20"/>
                <w:color w:val="auto"/>
              </w:rPr>
            </w:pPr>
            <w:r>
              <w:rPr>
                <w:rFonts w:ascii="Times New Roman" w:cs="Times New Roman" w:eastAsia="Times New Roman" w:hAnsi="Times New Roman"/>
                <w:sz w:val="14"/>
                <w:szCs w:val="14"/>
                <w:color w:val="auto"/>
              </w:rPr>
              <w:t>&amp;</w:t>
            </w:r>
          </w:p>
        </w:tc>
        <w:tc>
          <w:tcPr>
            <w:tcW w:w="6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8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Retail</w:t>
            </w:r>
          </w:p>
        </w:tc>
        <w:tc>
          <w:tcPr>
            <w:tcW w:w="220" w:type="dxa"/>
            <w:vAlign w:val="bottom"/>
          </w:tcPr>
          <w:p>
            <w:pPr>
              <w:spacing w:after="0"/>
              <w:rPr>
                <w:sz w:val="12"/>
                <w:szCs w:val="12"/>
                <w:color w:val="auto"/>
              </w:rPr>
            </w:pPr>
          </w:p>
        </w:tc>
        <w:tc>
          <w:tcPr>
            <w:tcW w:w="660" w:type="dxa"/>
            <w:vAlign w:val="bottom"/>
          </w:tcPr>
          <w:p>
            <w:pPr>
              <w:jc w:val="center"/>
              <w:ind w:right="169"/>
              <w:spacing w:after="0" w:line="147" w:lineRule="exact"/>
              <w:rPr>
                <w:sz w:val="20"/>
                <w:szCs w:val="20"/>
                <w:color w:val="auto"/>
              </w:rPr>
            </w:pPr>
            <w:r>
              <w:rPr>
                <w:rFonts w:ascii="Times New Roman" w:cs="Times New Roman" w:eastAsia="Times New Roman" w:hAnsi="Times New Roman"/>
                <w:sz w:val="14"/>
                <w:szCs w:val="14"/>
                <w:color w:val="auto"/>
                <w:w w:val="91"/>
              </w:rPr>
              <w:t>&amp;</w:t>
            </w:r>
          </w:p>
        </w:tc>
        <w:tc>
          <w:tcPr>
            <w:tcW w:w="6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rPr>
              <w:t>Other (2)</w:t>
            </w: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rPr>
              <w:t>Other (2)</w:t>
            </w:r>
          </w:p>
        </w:tc>
        <w:tc>
          <w:tcPr>
            <w:tcW w:w="6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5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Bassett Custom</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79,344</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$ 111,943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$ 191,287</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89,005</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$ 134,000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$ 223,005</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124,565</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$ 163,755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$ 288,320</w:t>
            </w: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Upholstery</w:t>
            </w:r>
          </w:p>
        </w:tc>
        <w:tc>
          <w:tcPr>
            <w:tcW w:w="10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Bassett Leather</w:t>
            </w: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15,705</w:t>
            </w:r>
          </w:p>
        </w:tc>
        <w:tc>
          <w:tcPr>
            <w:tcW w:w="8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4,990</w:t>
            </w:r>
          </w:p>
        </w:tc>
        <w:tc>
          <w:tcPr>
            <w:tcW w:w="180" w:type="dxa"/>
            <w:vAlign w:val="bottom"/>
          </w:tcPr>
          <w:p>
            <w:pPr>
              <w:spacing w:after="0"/>
              <w:rPr>
                <w:sz w:val="12"/>
                <w:szCs w:val="12"/>
                <w:color w:val="auto"/>
              </w:rPr>
            </w:pPr>
          </w:p>
        </w:tc>
        <w:tc>
          <w:tcPr>
            <w:tcW w:w="7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20,695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26,701</w:t>
            </w:r>
          </w:p>
        </w:tc>
        <w:tc>
          <w:tcPr>
            <w:tcW w:w="7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1,951</w:t>
            </w:r>
          </w:p>
        </w:tc>
        <w:tc>
          <w:tcPr>
            <w:tcW w:w="180" w:type="dxa"/>
            <w:vAlign w:val="bottom"/>
          </w:tcPr>
          <w:p>
            <w:pPr>
              <w:spacing w:after="0"/>
              <w:rPr>
                <w:sz w:val="12"/>
                <w:szCs w:val="12"/>
                <w:color w:val="auto"/>
              </w:rPr>
            </w:pPr>
          </w:p>
        </w:tc>
        <w:tc>
          <w:tcPr>
            <w:tcW w:w="7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28,652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35,953</w:t>
            </w:r>
          </w:p>
        </w:tc>
        <w:tc>
          <w:tcPr>
            <w:tcW w:w="8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1,707</w:t>
            </w:r>
          </w:p>
        </w:tc>
        <w:tc>
          <w:tcPr>
            <w:tcW w:w="220" w:type="dxa"/>
            <w:vAlign w:val="bottom"/>
          </w:tcPr>
          <w:p>
            <w:pPr>
              <w:spacing w:after="0"/>
              <w:rPr>
                <w:sz w:val="12"/>
                <w:szCs w:val="12"/>
                <w:color w:val="auto"/>
              </w:rPr>
            </w:pPr>
          </w:p>
        </w:tc>
        <w:tc>
          <w:tcPr>
            <w:tcW w:w="6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37,660</w:t>
            </w:r>
          </w:p>
        </w:tc>
        <w:tc>
          <w:tcPr>
            <w:tcW w:w="0" w:type="dxa"/>
            <w:vAlign w:val="bottom"/>
          </w:tcPr>
          <w:p>
            <w:pPr>
              <w:spacing w:after="0"/>
              <w:rPr>
                <w:sz w:val="1"/>
                <w:szCs w:val="1"/>
                <w:color w:val="auto"/>
              </w:rPr>
            </w:pPr>
          </w:p>
        </w:tc>
      </w:tr>
      <w:tr>
        <w:trPr>
          <w:trHeight w:val="147"/>
        </w:trPr>
        <w:tc>
          <w:tcPr>
            <w:tcW w:w="1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Bassett Custom Wood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14,075</w:t>
            </w:r>
          </w:p>
        </w:tc>
        <w:tc>
          <w:tcPr>
            <w:tcW w:w="80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32,201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46,276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17,357</w:t>
            </w:r>
          </w:p>
        </w:tc>
        <w:tc>
          <w:tcPr>
            <w:tcW w:w="7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36,732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54,089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22,534</w:t>
            </w:r>
          </w:p>
        </w:tc>
        <w:tc>
          <w:tcPr>
            <w:tcW w:w="80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43,208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65,742</w:t>
            </w:r>
          </w:p>
        </w:tc>
        <w:tc>
          <w:tcPr>
            <w:tcW w:w="0" w:type="dxa"/>
            <w:vAlign w:val="bottom"/>
          </w:tcPr>
          <w:p>
            <w:pPr>
              <w:spacing w:after="0"/>
              <w:rPr>
                <w:sz w:val="1"/>
                <w:szCs w:val="1"/>
                <w:color w:val="auto"/>
              </w:rPr>
            </w:pPr>
          </w:p>
        </w:tc>
      </w:tr>
      <w:tr>
        <w:trPr>
          <w:trHeight w:val="147"/>
        </w:trPr>
        <w:tc>
          <w:tcPr>
            <w:tcW w:w="1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Bassett Casegoods</w:t>
            </w: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11,317</w:t>
            </w:r>
          </w:p>
        </w:tc>
        <w:tc>
          <w:tcPr>
            <w:tcW w:w="8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26,179</w:t>
            </w:r>
          </w:p>
        </w:tc>
        <w:tc>
          <w:tcPr>
            <w:tcW w:w="180" w:type="dxa"/>
            <w:vAlign w:val="bottom"/>
          </w:tcPr>
          <w:p>
            <w:pPr>
              <w:spacing w:after="0"/>
              <w:rPr>
                <w:sz w:val="12"/>
                <w:szCs w:val="12"/>
                <w:color w:val="auto"/>
              </w:rPr>
            </w:pPr>
          </w:p>
        </w:tc>
        <w:tc>
          <w:tcPr>
            <w:tcW w:w="7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37,496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12,329</w:t>
            </w:r>
          </w:p>
        </w:tc>
        <w:tc>
          <w:tcPr>
            <w:tcW w:w="7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32,252</w:t>
            </w:r>
          </w:p>
        </w:tc>
        <w:tc>
          <w:tcPr>
            <w:tcW w:w="180" w:type="dxa"/>
            <w:vAlign w:val="bottom"/>
          </w:tcPr>
          <w:p>
            <w:pPr>
              <w:spacing w:after="0"/>
              <w:rPr>
                <w:sz w:val="12"/>
                <w:szCs w:val="12"/>
                <w:color w:val="auto"/>
              </w:rPr>
            </w:pPr>
          </w:p>
        </w:tc>
        <w:tc>
          <w:tcPr>
            <w:tcW w:w="7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44,581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15,628</w:t>
            </w:r>
          </w:p>
        </w:tc>
        <w:tc>
          <w:tcPr>
            <w:tcW w:w="80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40,146</w:t>
            </w:r>
          </w:p>
        </w:tc>
        <w:tc>
          <w:tcPr>
            <w:tcW w:w="220" w:type="dxa"/>
            <w:vAlign w:val="bottom"/>
          </w:tcPr>
          <w:p>
            <w:pPr>
              <w:spacing w:after="0"/>
              <w:rPr>
                <w:sz w:val="12"/>
                <w:szCs w:val="12"/>
                <w:color w:val="auto"/>
              </w:rPr>
            </w:pPr>
          </w:p>
        </w:tc>
        <w:tc>
          <w:tcPr>
            <w:tcW w:w="6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55,774</w:t>
            </w:r>
          </w:p>
        </w:tc>
        <w:tc>
          <w:tcPr>
            <w:tcW w:w="0" w:type="dxa"/>
            <w:vAlign w:val="bottom"/>
          </w:tcPr>
          <w:p>
            <w:pPr>
              <w:spacing w:after="0"/>
              <w:rPr>
                <w:sz w:val="1"/>
                <w:szCs w:val="1"/>
                <w:color w:val="auto"/>
              </w:rPr>
            </w:pPr>
          </w:p>
        </w:tc>
      </w:tr>
      <w:tr>
        <w:trPr>
          <w:trHeight w:val="124"/>
        </w:trPr>
        <w:tc>
          <w:tcPr>
            <w:tcW w:w="15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Accessories, mattresses</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29,250</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4,919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31,005</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8,804</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39,809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36,303</w:t>
            </w: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1,802</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38,105</w:t>
            </w:r>
          </w:p>
        </w:tc>
        <w:tc>
          <w:tcPr>
            <w:tcW w:w="0" w:type="dxa"/>
            <w:vAlign w:val="bottom"/>
          </w:tcPr>
          <w:p>
            <w:pPr>
              <w:spacing w:after="0"/>
              <w:rPr>
                <w:sz w:val="1"/>
                <w:szCs w:val="1"/>
                <w:color w:val="auto"/>
              </w:rPr>
            </w:pPr>
          </w:p>
        </w:tc>
      </w:tr>
      <w:tr>
        <w:trPr>
          <w:trHeight w:val="156"/>
        </w:trPr>
        <w:tc>
          <w:tcPr>
            <w:tcW w:w="15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and other (1)</w:t>
            </w: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40" w:type="dxa"/>
            <w:vAlign w:val="bottom"/>
            <w:tcBorders>
              <w:top w:val="single" w:sz="8" w:color="CCEEFF"/>
            </w:tcBorders>
          </w:tcPr>
          <w:p>
            <w:pPr>
              <w:spacing w:after="0" w:line="118" w:lineRule="exact"/>
              <w:rPr>
                <w:sz w:val="20"/>
                <w:szCs w:val="20"/>
                <w:color w:val="auto"/>
              </w:rPr>
            </w:pPr>
            <w:r>
              <w:rPr>
                <w:rFonts w:ascii="Times New Roman" w:cs="Times New Roman" w:eastAsia="Times New Roman" w:hAnsi="Times New Roman"/>
                <w:sz w:val="13"/>
                <w:szCs w:val="13"/>
                <w:color w:val="auto"/>
              </w:rPr>
              <w:t>Consolidated Furniture</w:t>
            </w: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120,441</w:t>
            </w:r>
          </w:p>
        </w:tc>
        <w:tc>
          <w:tcPr>
            <w:tcW w:w="8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$ 204,563</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4,919</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$ 329,923</w:t>
            </w: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145,392</w:t>
            </w:r>
          </w:p>
        </w:tc>
        <w:tc>
          <w:tcPr>
            <w:tcW w:w="7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$ 235,940</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8,804</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$ 390,136</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198,680</w:t>
            </w:r>
          </w:p>
        </w:tc>
        <w:tc>
          <w:tcPr>
            <w:tcW w:w="8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$ 285,119</w:t>
            </w:r>
          </w:p>
        </w:tc>
        <w:tc>
          <w:tcPr>
            <w:tcW w:w="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1,802</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$ 485,601</w:t>
            </w: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and Accessories revenue</w:t>
            </w:r>
          </w:p>
        </w:tc>
        <w:tc>
          <w:tcPr>
            <w:tcW w:w="1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right="240" w:hanging="313"/>
        <w:spacing w:after="0" w:line="258"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ind w:left="640" w:right="80" w:hanging="313"/>
        <w:spacing w:after="0" w:line="255"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fourth quarter of fiscal 2022, our Corporate and other reconciling category includes the sales of Noa Home, which was acquired on September 2, 2022 (see Note 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color w:val="auto"/>
        </w:rPr>
        <w:t>CHANGES IN AND DISAGREEMENTS WITH ACCOUNTANTS ON ACCOUNTING AND FINANCIAL DISCLOSURE</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color w:val="auto"/>
        </w:rPr>
        <w:t>CONTROLS AND PROCEDURES</w:t>
      </w:r>
    </w:p>
    <w:p>
      <w:pPr>
        <w:spacing w:after="0" w:line="224"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principal executive officer and principal financial officer have evaluated the effectiveness of our “disclosure controls and procedures” (“Disclosure Controls”). Disclosure Controls, as defined in Rule 13a-15(e) of the Securities Exchange Act of 1934, as amended (the “Exchange Act”), are procedures that are designed to provide reasonable assurance that information required to be disclosed in our reports filed under the Exchange Act, such as this Annual Report, is recorded, processed, summarized and reported within the time periods specified in the Securities and Exchange Commission’s rules and forms. Disclosure Controls are also designed with the objective of ensuring that such information is accumulated and communicated to our management, including the CEO and CFO, as appropriate to allow timely decisions regarding required disclosure. Our management, including the CEO and CFO, does not expect that our Disclosure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Based upon their controls evaluation, our CEO and CFO have concluded that our Disclosure Controls are effective at a reasonable assurance level.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in accordance with Exchange Act Rule 13a-</w:t>
      </w:r>
    </w:p>
    <w:p>
      <w:pPr>
        <w:spacing w:after="0" w:line="25" w:lineRule="exact"/>
        <w:rPr>
          <w:sz w:val="20"/>
          <w:szCs w:val="20"/>
          <w:color w:val="auto"/>
        </w:rPr>
      </w:pPr>
    </w:p>
    <w:p>
      <w:pPr>
        <w:jc w:val="both"/>
        <w:ind w:left="640" w:firstLine="7"/>
        <w:spacing w:after="0" w:line="248" w:lineRule="auto"/>
        <w:tabs>
          <w:tab w:leader="none" w:pos="9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participation of our CEO and CFO, our management conducted an evaluation of the effectiveness of our internal control over financial reporting as of November 30, 2024 based on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 over financial reporting was effective as of November 30, 2024, based on those criteria.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92"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Ernst &amp; Young LLP, the Company’s independent registered public accounting firm, has issued an attestation report on the effectiveness of the Company’s internal control over financial reporting.</w:t>
      </w:r>
    </w:p>
    <w:p>
      <w:pPr>
        <w:spacing w:after="0" w:line="3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during our fourth fiscal quarter that have materially affected, or are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Bassett Furniture Industries, Incorporated and Subsidiaries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Bassett Furniture Industries, Incorporated and subsidiaries’ internal control over financial reporting as of November 30, 2024, based on criteria established in Internal Control—Integrated Framework issued by the Committee of Sponsoring Organizations of the Treadway Commission (2013 framework) (the COSO criteria). In our opinion, Bassett Furniture Industries, Incorporated and subsidiaries (the Company) maintained, in all material respects, effective internal control over financial reporting as of November 30, 2024, based on the COSO criteria.</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November 30, 2024 and November 25, 2023, the related consolidated statements of operations, comprehensive income (loss), stockholders' equity and cash flows for each of the three years in the period ended November 30, 2024, and the related notes and financial statement schedule listed in the Index at Item 15(a)(2) and our report dated February 10, 2025 expressed an unqualified opinion thereon.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color w:val="auto"/>
        </w:rPr>
        <w:t>. OTHER INFORMATION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color w:val="auto"/>
        </w:rPr>
        <w:t>DISCLOSURE REGARDING FOREIGN JURISDICTIONS THAT PREVENT INSPECTIONS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color w:val="auto"/>
        </w:rPr>
        <w:t>DIRECTORS AND EXECUTIVE OFFICERS OF THE REGISTRANT</w:t>
      </w:r>
    </w:p>
    <w:p>
      <w:pPr>
        <w:spacing w:after="0" w:line="224"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“Election of Directors” and “Board and Board Committee Information,” is incorporated herein by reference thereto. Please see section entitled “Information about our Executive Officers” in Item 4B of Part I of this report for information concerning executive officers.</w:t>
      </w:r>
    </w:p>
    <w:p>
      <w:pPr>
        <w:spacing w:after="0" w:line="176"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8"/>
          <w:szCs w:val="18"/>
          <w:color w:val="auto"/>
        </w:rPr>
        <w:t>The Registrant has a code of ethics that applies to all of its employees, officers and directors. The code of ethics is available on the Registrant’s website at www.bassettfurniture.com and the Registrant will post any amendments to, or waivers, from, the code of ethics on that website.</w:t>
      </w:r>
    </w:p>
    <w:p>
      <w:pPr>
        <w:spacing w:after="0" w:line="163"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the registrant's securities by directors, senior management, and employees. A copy of the insider trading policy is filed as an exhibit to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color w:val="auto"/>
        </w:rPr>
        <w:t>EXECUTIVE COMPENSATION</w:t>
      </w:r>
    </w:p>
    <w:p>
      <w:pPr>
        <w:spacing w:after="0" w:line="224"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“Organization, Compensation and Nominating Committee Report,” “Compensation Discussion and Analysis,” “Executive Compensation,” and “Director Compensation” is incorporated herein by reference thereto.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color w:val="auto"/>
        </w:rPr>
        <w:t>SECURITY OWNERSHIP OF CERTAIN BENEFICIAL OWNERS AND MANAGEMENT AND RELATED STOCKHOLDER MATTERS</w:t>
      </w:r>
    </w:p>
    <w:p>
      <w:pPr>
        <w:spacing w:after="0" w:line="224"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headings “Principal Stockholders and Holdings of Management” and “Equity Compensation Plan Information” is incorporated herein by reference thereto.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color w:val="auto"/>
        </w:rPr>
        <w:t>CERTAIN RELATIONSHIPS AND RELATED TRANSACTIONS</w:t>
      </w:r>
    </w:p>
    <w:p>
      <w:pPr>
        <w:spacing w:after="0" w:line="224"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“Board and Board Committee Information” and “Other Transactions” is incorporated herein by reference thereto.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color w:val="auto"/>
        </w:rPr>
        <w:t>PRINCIPAL ACCOUNTING FEES AND SERVICES</w:t>
      </w:r>
    </w:p>
    <w:p>
      <w:pPr>
        <w:spacing w:after="0" w:line="22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information to be contained in the Proxy Statement under the caption “Audit and Other Fees” is incorporated herein by reference thereto.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color w:val="auto"/>
        </w:rPr>
        <w:t>EXHIBITS, FINANCIAL STATEMENT SCHEDULES</w:t>
      </w:r>
    </w:p>
    <w:p>
      <w:pPr>
        <w:spacing w:after="0" w:line="224" w:lineRule="exact"/>
        <w:rPr>
          <w:sz w:val="20"/>
          <w:szCs w:val="20"/>
          <w:color w:val="auto"/>
        </w:rPr>
      </w:pPr>
    </w:p>
    <w:p>
      <w:pPr>
        <w:ind w:left="700" w:hanging="693"/>
        <w:spacing w:after="0" w:line="262" w:lineRule="auto"/>
        <w:tabs>
          <w:tab w:leader="none" w:pos="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Bassett Furniture Industries, Incorporated and Subsidiaries Audited Consolidated Financial Statements for the years ended November 30, 2024, November 25, 2023 and November 26, 2022; Report of Ernst &amp; Young LLP, Independent Registered Public Accounting Firm (PCAOB ID 42); Report of Ernst &amp; Young LLP, Independent Registered Public Accounting Firm, on Internal Control Over Financial Reporting (PCAOB ID 42).</w:t>
      </w:r>
    </w:p>
    <w:p>
      <w:pPr>
        <w:spacing w:after="0" w:line="176" w:lineRule="exact"/>
        <w:rPr>
          <w:rFonts w:ascii="Times New Roman" w:cs="Times New Roman" w:eastAsia="Times New Roman" w:hAnsi="Times New Roman"/>
          <w:sz w:val="18"/>
          <w:szCs w:val="18"/>
          <w:color w:val="auto"/>
        </w:rPr>
      </w:pPr>
    </w:p>
    <w:p>
      <w:pPr>
        <w:ind w:left="700" w:hanging="346"/>
        <w:spacing w:after="0"/>
        <w:tabs>
          <w:tab w:leader="none" w:pos="7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21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Schedule II- Analysis of Valuation and Qualifying Accounts for the years ended November 30, 2024, November 25, 2023 and November 26, 2022</w:t>
      </w:r>
    </w:p>
    <w:p>
      <w:pPr>
        <w:spacing w:after="0" w:line="231" w:lineRule="exact"/>
        <w:rPr>
          <w:rFonts w:ascii="Times New Roman" w:cs="Times New Roman" w:eastAsia="Times New Roman" w:hAnsi="Times New Roman"/>
          <w:sz w:val="18"/>
          <w:szCs w:val="18"/>
          <w:color w:val="auto"/>
        </w:rPr>
      </w:pPr>
    </w:p>
    <w:p>
      <w:pPr>
        <w:ind w:left="700" w:hanging="346"/>
        <w:spacing w:after="0"/>
        <w:tabs>
          <w:tab w:leader="none" w:pos="7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Exhibits</w:t>
      </w:r>
    </w:p>
    <w:p>
      <w:pPr>
        <w:spacing w:after="0" w:line="220" w:lineRule="exact"/>
        <w:rPr>
          <w:sz w:val="20"/>
          <w:szCs w:val="20"/>
          <w:color w:val="auto"/>
        </w:rPr>
      </w:pPr>
    </w:p>
    <w:p>
      <w:pPr>
        <w:ind w:left="1480"/>
        <w:spacing w:after="0"/>
        <w:tabs>
          <w:tab w:leader="none" w:pos="2120" w:val="left"/>
        </w:tabs>
        <w:rPr>
          <w:sz w:val="20"/>
          <w:szCs w:val="20"/>
          <w:color w:val="auto"/>
        </w:rPr>
      </w:pPr>
      <w:r>
        <w:rPr>
          <w:rFonts w:ascii="Times New Roman" w:cs="Times New Roman" w:eastAsia="Times New Roman" w:hAnsi="Times New Roman"/>
          <w:sz w:val="18"/>
          <w:szCs w:val="18"/>
          <w:color w:val="auto"/>
        </w:rPr>
        <w:t>3A.</w:t>
      </w:r>
      <w:r>
        <w:rPr>
          <w:sz w:val="20"/>
          <w:szCs w:val="20"/>
          <w:color w:val="auto"/>
        </w:rPr>
        <w:tab/>
      </w:r>
      <w:r>
        <w:rPr>
          <w:rFonts w:ascii="Times New Roman" w:cs="Times New Roman" w:eastAsia="Times New Roman" w:hAnsi="Times New Roman"/>
          <w:sz w:val="18"/>
          <w:szCs w:val="18"/>
          <w:color w:val="auto"/>
        </w:rPr>
        <w:t>Articles of Incorporation as amended are incorporated herein by reference to Form 10-Q for the fiscal quarter ended February</w:t>
      </w:r>
    </w:p>
    <w:p>
      <w:pPr>
        <w:spacing w:after="0" w:line="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28, 1994.</w:t>
      </w:r>
    </w:p>
    <w:p>
      <w:pPr>
        <w:spacing w:after="0" w:line="201" w:lineRule="exact"/>
        <w:rPr>
          <w:sz w:val="20"/>
          <w:szCs w:val="20"/>
          <w:color w:val="auto"/>
        </w:rPr>
      </w:pPr>
    </w:p>
    <w:p>
      <w:pPr>
        <w:ind w:left="1480"/>
        <w:spacing w:after="0"/>
        <w:tabs>
          <w:tab w:leader="none" w:pos="2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3B.</w:t>
      </w:r>
      <w:r>
        <w:rPr>
          <w:sz w:val="20"/>
          <w:szCs w:val="20"/>
          <w:color w:val="auto"/>
        </w:rPr>
        <w:tab/>
      </w:r>
      <w:hyperlink r:id="rId72">
        <w:r>
          <w:rPr>
            <w:rFonts w:ascii="Times New Roman" w:cs="Times New Roman" w:eastAsia="Times New Roman" w:hAnsi="Times New Roman"/>
            <w:sz w:val="17"/>
            <w:szCs w:val="17"/>
            <w:u w:val="single" w:color="auto"/>
            <w:color w:val="0000EE"/>
          </w:rPr>
          <w:t>By-laws as amended to date are incorporated herein by reference to Exhibit 3.1 to Form 8-K filed with the SEC on January 16,</w:t>
        </w:r>
      </w:hyperlink>
    </w:p>
    <w:p>
      <w:pPr>
        <w:spacing w:after="0" w:line="37" w:lineRule="exact"/>
        <w:rPr>
          <w:sz w:val="20"/>
          <w:szCs w:val="20"/>
          <w:color w:val="auto"/>
        </w:rPr>
      </w:pPr>
    </w:p>
    <w:p>
      <w:pPr>
        <w:ind w:left="2140"/>
        <w:spacing w:after="0"/>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2024.</w:t>
        </w:r>
      </w:hyperlink>
    </w:p>
    <w:p>
      <w:pPr>
        <w:spacing w:after="0" w:line="201" w:lineRule="exact"/>
        <w:rPr>
          <w:sz w:val="20"/>
          <w:szCs w:val="20"/>
          <w:color w:val="auto"/>
        </w:rPr>
      </w:pPr>
    </w:p>
    <w:p>
      <w:pPr>
        <w:jc w:val="both"/>
        <w:ind w:left="2140" w:hanging="659"/>
        <w:spacing w:after="0" w:line="262"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4A.</w:t>
      </w:r>
      <w:r>
        <w:rPr>
          <w:sz w:val="20"/>
          <w:szCs w:val="20"/>
          <w:color w:val="auto"/>
        </w:rPr>
        <w:tab/>
      </w:r>
      <w:hyperlink r:id="rId73">
        <w:r>
          <w:rPr>
            <w:rFonts w:ascii="Times New Roman" w:cs="Times New Roman" w:eastAsia="Times New Roman" w:hAnsi="Times New Roman"/>
            <w:sz w:val="18"/>
            <w:szCs w:val="18"/>
            <w:u w:val="single" w:color="auto"/>
            <w:color w:val="0000EE"/>
          </w:rPr>
          <w:t>Eighth Amended and Restated Credit Agreement with Truist Bank dated May 15, 2024 is incorporated herein by reference to</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Exhibit 10 to Form 10-Q filed with the SEC on July 11, 2024. Registrant hereby agrees to furnish the SEC, upon request, other</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instruments defining the rights of holders of long-term debt of the Registrant.</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4B.</w:t>
      </w:r>
      <w:r>
        <w:rPr>
          <w:sz w:val="20"/>
          <w:szCs w:val="20"/>
          <w:color w:val="auto"/>
        </w:rPr>
        <w:tab/>
      </w:r>
      <w:hyperlink r:id="rId74">
        <w:r>
          <w:rPr>
            <w:rFonts w:ascii="Times New Roman" w:cs="Times New Roman" w:eastAsia="Times New Roman" w:hAnsi="Times New Roman"/>
            <w:sz w:val="18"/>
            <w:szCs w:val="18"/>
            <w:u w:val="single" w:color="auto"/>
            <w:color w:val="0000EE"/>
          </w:rPr>
          <w:t>Description of Capital Stock is incorporated herein by reference to Form 10-K for the fiscal year ended November 30, 2019,</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filed January 23, 2020.</w:t>
        </w:r>
      </w:hyperlink>
    </w:p>
    <w:p>
      <w:pPr>
        <w:spacing w:after="0" w:line="163" w:lineRule="exact"/>
        <w:rPr>
          <w:sz w:val="20"/>
          <w:szCs w:val="20"/>
          <w:color w:val="auto"/>
        </w:rPr>
      </w:pPr>
    </w:p>
    <w:p>
      <w:pPr>
        <w:jc w:val="both"/>
        <w:ind w:left="2140" w:hanging="659"/>
        <w:spacing w:after="0" w:line="262"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10A.</w:t>
      </w:r>
      <w:r>
        <w:rPr>
          <w:sz w:val="20"/>
          <w:szCs w:val="20"/>
          <w:color w:val="auto"/>
        </w:rPr>
        <w:tab/>
      </w:r>
      <w:hyperlink r:id="rId75">
        <w:r>
          <w:rPr>
            <w:rFonts w:ascii="Times New Roman" w:cs="Times New Roman" w:eastAsia="Times New Roman" w:hAnsi="Times New Roman"/>
            <w:sz w:val="18"/>
            <w:szCs w:val="18"/>
            <w:u w:val="single" w:color="auto"/>
            <w:color w:val="0000EE"/>
          </w:rPr>
          <w:t>Asset Purchase Agreement dated January 31, 2022 by and among Bassett Furniture Industries, Incorporated, Zenith Freight</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Lines, LLC and J.B. Hunt Transport, Inc. is incorporated herein by reference to Exhibit 2.1 to Form 8-K filed with the SEC on</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February 1,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*10B.</w:t>
      </w:r>
      <w:r>
        <w:rPr>
          <w:sz w:val="20"/>
          <w:szCs w:val="20"/>
          <w:color w:val="auto"/>
        </w:rPr>
        <w:tab/>
      </w:r>
      <w:hyperlink r:id="rId76">
        <w:r>
          <w:rPr>
            <w:rFonts w:ascii="Times New Roman" w:cs="Times New Roman" w:eastAsia="Times New Roman" w:hAnsi="Times New Roman"/>
            <w:sz w:val="18"/>
            <w:szCs w:val="18"/>
            <w:u w:val="single" w:color="auto"/>
            <w:color w:val="0000EE"/>
          </w:rPr>
          <w:t>Bassett Executive Deferred Compensation Plan is incorporated herein by reference to Form 10-K for the fiscal year ended</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November 30, 1997.</w:t>
        </w:r>
      </w:hyperlink>
    </w:p>
    <w:p>
      <w:pPr>
        <w:spacing w:after="0" w:line="163" w:lineRule="exact"/>
        <w:rPr>
          <w:sz w:val="20"/>
          <w:szCs w:val="20"/>
          <w:color w:val="auto"/>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*10C.</w:t>
      </w:r>
      <w:r>
        <w:rPr>
          <w:sz w:val="20"/>
          <w:szCs w:val="20"/>
          <w:color w:val="auto"/>
        </w:rPr>
        <w:tab/>
      </w:r>
      <w:hyperlink r:id="rId76">
        <w:r>
          <w:rPr>
            <w:rFonts w:ascii="Times New Roman" w:cs="Times New Roman" w:eastAsia="Times New Roman" w:hAnsi="Times New Roman"/>
            <w:sz w:val="18"/>
            <w:szCs w:val="18"/>
            <w:u w:val="single" w:color="auto"/>
            <w:color w:val="0000EE"/>
          </w:rPr>
          <w:t>Bassett Supplemental Retirement Income Plan is incorporated herein by reference to Form 10-K for the fiscal year ended</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November 30, 1997.</w:t>
        </w:r>
      </w:hyperlink>
    </w:p>
    <w:p>
      <w:pPr>
        <w:spacing w:after="0" w:line="163" w:lineRule="exact"/>
        <w:rPr>
          <w:sz w:val="20"/>
          <w:szCs w:val="20"/>
          <w:color w:val="auto"/>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*10K.</w:t>
      </w:r>
      <w:r>
        <w:rPr>
          <w:sz w:val="20"/>
          <w:szCs w:val="20"/>
          <w:color w:val="auto"/>
        </w:rPr>
        <w:tab/>
      </w:r>
      <w:hyperlink r:id="rId77">
        <w:r>
          <w:rPr>
            <w:rFonts w:ascii="Times New Roman" w:cs="Times New Roman" w:eastAsia="Times New Roman" w:hAnsi="Times New Roman"/>
            <w:sz w:val="18"/>
            <w:szCs w:val="18"/>
            <w:u w:val="single" w:color="auto"/>
            <w:color w:val="0000EE"/>
          </w:rPr>
          <w:t>Bassett Furniture Industries, Incorporated 2021 Stock Incentive Plan incorporated by reference to Schedule 14A filed on</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February 8, 2021</w:t>
        </w:r>
      </w:hyperlink>
    </w:p>
    <w:p>
      <w:pPr>
        <w:spacing w:after="0" w:line="163" w:lineRule="exact"/>
        <w:rPr>
          <w:sz w:val="20"/>
          <w:szCs w:val="20"/>
          <w:color w:val="auto"/>
        </w:rPr>
      </w:pPr>
    </w:p>
    <w:p>
      <w:pPr>
        <w:jc w:val="both"/>
        <w:ind w:left="2140" w:hanging="659"/>
        <w:spacing w:after="0" w:line="262"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*10L.</w:t>
      </w:r>
      <w:r>
        <w:rPr>
          <w:sz w:val="20"/>
          <w:szCs w:val="20"/>
          <w:color w:val="auto"/>
        </w:rPr>
        <w:tab/>
      </w:r>
      <w:hyperlink r:id="rId78">
        <w:r>
          <w:rPr>
            <w:rFonts w:ascii="Times New Roman" w:cs="Times New Roman" w:eastAsia="Times New Roman" w:hAnsi="Times New Roman"/>
            <w:sz w:val="18"/>
            <w:szCs w:val="18"/>
            <w:u w:val="single" w:color="auto"/>
            <w:color w:val="0000EE"/>
          </w:rPr>
          <w:t>Form of Performance Share Award Agreement, Restricted Stock Award Agreement and Stock Option Award Agreement under</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the Bassett Furniture Industries, Incorporated 2021 Stock Incentive Plan is incorporated herein by reference to Exhibit 10.L to</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Form 10-K filed with the SEC on January 31,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*10M.</w:t>
      </w:r>
      <w:r>
        <w:rPr>
          <w:sz w:val="20"/>
          <w:szCs w:val="20"/>
          <w:color w:val="auto"/>
        </w:rPr>
        <w:tab/>
      </w:r>
      <w:hyperlink r:id="rId79">
        <w:r>
          <w:rPr>
            <w:rFonts w:ascii="Times New Roman" w:cs="Times New Roman" w:eastAsia="Times New Roman" w:hAnsi="Times New Roman"/>
            <w:sz w:val="18"/>
            <w:szCs w:val="18"/>
            <w:u w:val="single" w:color="auto"/>
            <w:color w:val="0000EE"/>
          </w:rPr>
          <w:t>Schedule of Terms for Employment Continuity Agreements with Certain Executive Officers is incorporated herein by reference</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to Exhibit 10M to Form 10-K filed with the SEC on January 31, 2022.</w:t>
        </w:r>
      </w:hyperlink>
    </w:p>
    <w:p>
      <w:pPr>
        <w:spacing w:after="0" w:line="163" w:lineRule="exact"/>
        <w:rPr>
          <w:sz w:val="20"/>
          <w:szCs w:val="20"/>
          <w:color w:val="auto"/>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*10N.</w:t>
      </w:r>
      <w:r>
        <w:rPr>
          <w:sz w:val="20"/>
          <w:szCs w:val="20"/>
          <w:color w:val="auto"/>
        </w:rPr>
        <w:tab/>
      </w:r>
      <w:hyperlink r:id="rId80">
        <w:r>
          <w:rPr>
            <w:rFonts w:ascii="Times New Roman" w:cs="Times New Roman" w:eastAsia="Times New Roman" w:hAnsi="Times New Roman"/>
            <w:sz w:val="18"/>
            <w:szCs w:val="18"/>
            <w:u w:val="single" w:color="auto"/>
            <w:color w:val="0000EE"/>
          </w:rPr>
          <w:t>Restated Supplemental Retirement Income Plan, effective May 1, 2014, is incorporated herein by reference to Form 10-Q for</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the quarterly period ended May 31, 2014.</w:t>
        </w:r>
      </w:hyperlink>
    </w:p>
    <w:p>
      <w:pPr>
        <w:spacing w:after="0" w:line="163" w:lineRule="exact"/>
        <w:rPr>
          <w:sz w:val="20"/>
          <w:szCs w:val="20"/>
          <w:color w:val="auto"/>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*10O.</w:t>
      </w:r>
      <w:r>
        <w:rPr>
          <w:sz w:val="20"/>
          <w:szCs w:val="20"/>
          <w:color w:val="auto"/>
        </w:rPr>
        <w:tab/>
      </w:r>
      <w:hyperlink r:id="rId81">
        <w:r>
          <w:rPr>
            <w:rFonts w:ascii="Times New Roman" w:cs="Times New Roman" w:eastAsia="Times New Roman" w:hAnsi="Times New Roman"/>
            <w:sz w:val="18"/>
            <w:szCs w:val="18"/>
            <w:u w:val="single" w:color="auto"/>
            <w:color w:val="0000EE"/>
          </w:rPr>
          <w:t>Bassett Furniture Industries, Incorporated Management Savings Plan incorporated by reference to Exhibit 10.1 to Form 8-K</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filed with the SEC on May 5, 2017.</w:t>
        </w:r>
      </w:hyperlink>
    </w:p>
    <w:p>
      <w:pPr>
        <w:spacing w:after="0" w:line="163" w:lineRule="exact"/>
        <w:rPr>
          <w:sz w:val="20"/>
          <w:szCs w:val="20"/>
          <w:color w:val="auto"/>
        </w:rPr>
      </w:pPr>
    </w:p>
    <w:p>
      <w:pPr>
        <w:jc w:val="both"/>
        <w:ind w:left="2140" w:hanging="659"/>
        <w:spacing w:after="0" w:line="277" w:lineRule="auto"/>
        <w:tabs>
          <w:tab w:leader="none" w:pos="2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*10P.</w:t>
      </w:r>
      <w:r>
        <w:rPr>
          <w:sz w:val="20"/>
          <w:szCs w:val="20"/>
          <w:color w:val="auto"/>
        </w:rPr>
        <w:tab/>
      </w:r>
      <w:hyperlink r:id="rId82">
        <w:r>
          <w:rPr>
            <w:rFonts w:ascii="Times New Roman" w:cs="Times New Roman" w:eastAsia="Times New Roman" w:hAnsi="Times New Roman"/>
            <w:sz w:val="18"/>
            <w:szCs w:val="18"/>
            <w:u w:val="single" w:color="auto"/>
            <w:color w:val="0000EE"/>
          </w:rPr>
          <w:t>Form of Long Term Cash Award under Bassett Furniture Industries, Incorporated Management Savings Plan incorporated by</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reference to Exhibit 10.2 to Form 8-K filed with the SEC on May 5, 2017.</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ind w:left="1480"/>
        <w:spacing w:after="0"/>
        <w:tabs>
          <w:tab w:leader="none" w:pos="2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*10Q.</w:t>
      </w:r>
      <w:r>
        <w:rPr>
          <w:sz w:val="20"/>
          <w:szCs w:val="20"/>
          <w:color w:val="auto"/>
        </w:rPr>
        <w:tab/>
      </w:r>
      <w:hyperlink r:id="rId84">
        <w:r>
          <w:rPr>
            <w:rFonts w:ascii="Times New Roman" w:cs="Times New Roman" w:eastAsia="Times New Roman" w:hAnsi="Times New Roman"/>
            <w:sz w:val="17"/>
            <w:szCs w:val="17"/>
            <w:u w:val="single" w:color="auto"/>
            <w:color w:val="0000EE"/>
          </w:rPr>
          <w:t>Form of Indemnity Agreement incorporated by reference to Exhibit 10.1 to Form 8-K filed with the SEC on October 18, 2022.</w:t>
        </w:r>
      </w:hyperlink>
    </w:p>
    <w:p>
      <w:pPr>
        <w:spacing w:after="0" w:line="231" w:lineRule="exact"/>
        <w:rPr>
          <w:sz w:val="20"/>
          <w:szCs w:val="20"/>
          <w:color w:val="auto"/>
        </w:rPr>
      </w:pPr>
    </w:p>
    <w:p>
      <w:pPr>
        <w:ind w:left="2140" w:hanging="666"/>
        <w:spacing w:after="0"/>
        <w:tabs>
          <w:tab w:leader="none" w:pos="2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Insider Trading Policy</w:t>
      </w:r>
    </w:p>
    <w:p>
      <w:pPr>
        <w:spacing w:after="0" w:line="220" w:lineRule="exact"/>
        <w:rPr>
          <w:sz w:val="20"/>
          <w:szCs w:val="20"/>
          <w:color w:val="auto"/>
        </w:rPr>
      </w:pPr>
    </w:p>
    <w:p>
      <w:pPr>
        <w:ind w:left="2140" w:hanging="666"/>
        <w:spacing w:after="0"/>
        <w:tabs>
          <w:tab w:leader="none" w:pos="2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List of subsidiaries of the Registrant</w:t>
      </w:r>
    </w:p>
    <w:p>
      <w:pPr>
        <w:spacing w:after="0" w:line="220" w:lineRule="exact"/>
        <w:rPr>
          <w:sz w:val="20"/>
          <w:szCs w:val="20"/>
          <w:color w:val="auto"/>
        </w:rPr>
      </w:pPr>
    </w:p>
    <w:p>
      <w:pPr>
        <w:ind w:left="1480"/>
        <w:spacing w:after="0"/>
        <w:tabs>
          <w:tab w:leader="none" w:pos="2120" w:val="left"/>
        </w:tabs>
        <w:rPr>
          <w:sz w:val="20"/>
          <w:szCs w:val="20"/>
          <w:color w:val="auto"/>
        </w:rPr>
      </w:pPr>
      <w:r>
        <w:rPr>
          <w:rFonts w:ascii="Times New Roman" w:cs="Times New Roman" w:eastAsia="Times New Roman" w:hAnsi="Times New Roman"/>
          <w:sz w:val="18"/>
          <w:szCs w:val="18"/>
          <w:color w:val="auto"/>
        </w:rPr>
        <w:t>23A.</w:t>
      </w:r>
      <w:r>
        <w:rPr>
          <w:sz w:val="20"/>
          <w:szCs w:val="20"/>
          <w:color w:val="auto"/>
        </w:rPr>
        <w:tab/>
      </w:r>
      <w:r>
        <w:rPr>
          <w:rFonts w:ascii="Times New Roman" w:cs="Times New Roman" w:eastAsia="Times New Roman" w:hAnsi="Times New Roman"/>
          <w:sz w:val="18"/>
          <w:szCs w:val="18"/>
          <w:u w:val="single" w:color="auto"/>
          <w:color w:val="0000EE"/>
        </w:rPr>
        <w:t>Consent of Independent Registered Public Accounting Firm</w:t>
      </w:r>
    </w:p>
    <w:p>
      <w:pPr>
        <w:spacing w:after="0" w:line="220" w:lineRule="exact"/>
        <w:rPr>
          <w:sz w:val="20"/>
          <w:szCs w:val="20"/>
          <w:color w:val="auto"/>
        </w:rPr>
      </w:pPr>
    </w:p>
    <w:p>
      <w:pPr>
        <w:ind w:left="2140" w:hanging="659"/>
        <w:spacing w:after="0" w:line="277" w:lineRule="auto"/>
        <w:tabs>
          <w:tab w:leader="none" w:pos="2120" w:val="left"/>
        </w:tabs>
        <w:rPr>
          <w:sz w:val="20"/>
          <w:szCs w:val="20"/>
          <w:color w:val="auto"/>
        </w:rPr>
      </w:pPr>
      <w:r>
        <w:rPr>
          <w:rFonts w:ascii="Times New Roman" w:cs="Times New Roman" w:eastAsia="Times New Roman" w:hAnsi="Times New Roman"/>
          <w:sz w:val="18"/>
          <w:szCs w:val="18"/>
          <w:color w:val="auto"/>
        </w:rPr>
        <w:t>31A.</w:t>
      </w:r>
      <w:r>
        <w:rPr>
          <w:sz w:val="20"/>
          <w:szCs w:val="20"/>
          <w:color w:val="auto"/>
        </w:rPr>
        <w:tab/>
      </w:r>
      <w:r>
        <w:rPr>
          <w:rFonts w:ascii="Times New Roman" w:cs="Times New Roman" w:eastAsia="Times New Roman" w:hAnsi="Times New Roman"/>
          <w:sz w:val="18"/>
          <w:szCs w:val="18"/>
          <w:u w:val="single" w:color="auto"/>
          <w:color w:val="0000EE"/>
        </w:rPr>
        <w:t>Certification of Robert H. Spilman, Jr., President and Chief Executive Officer, pursuant to Section 302 of the Sarbanes-Oxley Act of 2002.</w:t>
      </w:r>
    </w:p>
    <w:p>
      <w:pPr>
        <w:spacing w:after="0" w:line="163" w:lineRule="exact"/>
        <w:rPr>
          <w:sz w:val="20"/>
          <w:szCs w:val="20"/>
          <w:color w:val="auto"/>
        </w:rPr>
      </w:pPr>
    </w:p>
    <w:p>
      <w:pPr>
        <w:ind w:left="2140" w:hanging="659"/>
        <w:spacing w:after="0" w:line="277" w:lineRule="auto"/>
        <w:tabs>
          <w:tab w:leader="none" w:pos="212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u w:val="single" w:color="auto"/>
          <w:color w:val="0000EE"/>
        </w:rPr>
        <w:t>Certification of J. Michael Daniel, Senior Vice President and Chief Financial Officer, pursuant to Section 302 of the Sarbanes-Oxley Act of 2002.</w:t>
      </w:r>
    </w:p>
    <w:p>
      <w:pPr>
        <w:spacing w:after="0" w:line="163" w:lineRule="exact"/>
        <w:rPr>
          <w:sz w:val="20"/>
          <w:szCs w:val="20"/>
          <w:color w:val="auto"/>
        </w:rPr>
      </w:pPr>
    </w:p>
    <w:p>
      <w:pPr>
        <w:ind w:left="2140" w:hanging="659"/>
        <w:spacing w:after="0" w:line="277" w:lineRule="auto"/>
        <w:tabs>
          <w:tab w:leader="none" w:pos="2120" w:val="left"/>
        </w:tabs>
        <w:rPr>
          <w:sz w:val="20"/>
          <w:szCs w:val="20"/>
          <w:color w:val="auto"/>
        </w:rPr>
      </w:pPr>
      <w:r>
        <w:rPr>
          <w:rFonts w:ascii="Times New Roman" w:cs="Times New Roman" w:eastAsia="Times New Roman" w:hAnsi="Times New Roman"/>
          <w:sz w:val="18"/>
          <w:szCs w:val="18"/>
          <w:color w:val="auto"/>
        </w:rPr>
        <w:t>32A.</w:t>
      </w:r>
      <w:r>
        <w:rPr>
          <w:sz w:val="20"/>
          <w:szCs w:val="20"/>
          <w:color w:val="auto"/>
        </w:rPr>
        <w:tab/>
      </w:r>
      <w:r>
        <w:rPr>
          <w:rFonts w:ascii="Times New Roman" w:cs="Times New Roman" w:eastAsia="Times New Roman" w:hAnsi="Times New Roman"/>
          <w:sz w:val="18"/>
          <w:szCs w:val="18"/>
          <w:u w:val="single" w:color="auto"/>
          <w:color w:val="0000EE"/>
        </w:rPr>
        <w:t>Certification of Robert H. Spilman, Jr., President and Chief Executive Officer pursuant to 18 U.S.C. 1350, as adopted pursuant to Section 906 of the Sarbanes-Oxley Act of 2002.</w:t>
      </w:r>
    </w:p>
    <w:p>
      <w:pPr>
        <w:spacing w:after="0" w:line="163" w:lineRule="exact"/>
        <w:rPr>
          <w:sz w:val="20"/>
          <w:szCs w:val="20"/>
          <w:color w:val="auto"/>
        </w:rPr>
      </w:pPr>
    </w:p>
    <w:p>
      <w:pPr>
        <w:ind w:left="2140" w:hanging="659"/>
        <w:spacing w:after="0" w:line="277" w:lineRule="auto"/>
        <w:tabs>
          <w:tab w:leader="none" w:pos="2120" w:val="left"/>
        </w:tabs>
        <w:rPr>
          <w:sz w:val="20"/>
          <w:szCs w:val="20"/>
          <w:color w:val="auto"/>
        </w:rPr>
      </w:pPr>
      <w:r>
        <w:rPr>
          <w:rFonts w:ascii="Times New Roman" w:cs="Times New Roman" w:eastAsia="Times New Roman" w:hAnsi="Times New Roman"/>
          <w:sz w:val="18"/>
          <w:szCs w:val="18"/>
          <w:color w:val="auto"/>
        </w:rPr>
        <w:t>32B.</w:t>
      </w:r>
      <w:r>
        <w:rPr>
          <w:sz w:val="20"/>
          <w:szCs w:val="20"/>
          <w:color w:val="auto"/>
        </w:rPr>
        <w:tab/>
      </w:r>
      <w:r>
        <w:rPr>
          <w:rFonts w:ascii="Times New Roman" w:cs="Times New Roman" w:eastAsia="Times New Roman" w:hAnsi="Times New Roman"/>
          <w:sz w:val="18"/>
          <w:szCs w:val="18"/>
          <w:u w:val="single" w:color="auto"/>
          <w:color w:val="0000EE"/>
        </w:rPr>
        <w:t>Certification of J. Michael Daniel, Senior Vice President and Chief Financial Officer, pursuant to 18 U.S.C. 1350, as adopted pursuant to Section 906 of the Sarbanes-Oxley Act of 2002.</w:t>
      </w:r>
    </w:p>
    <w:p>
      <w:pPr>
        <w:spacing w:after="0" w:line="163" w:lineRule="exact"/>
        <w:rPr>
          <w:sz w:val="20"/>
          <w:szCs w:val="20"/>
          <w:color w:val="auto"/>
        </w:rPr>
      </w:pPr>
    </w:p>
    <w:p>
      <w:pPr>
        <w:ind w:left="2140" w:right="20" w:hanging="666"/>
        <w:spacing w:after="0" w:line="277" w:lineRule="auto"/>
        <w:tabs>
          <w:tab w:leader="none" w:pos="2140" w:val="left"/>
        </w:tabs>
        <w:numPr>
          <w:ilvl w:val="0"/>
          <w:numId w:val="38"/>
        </w:numPr>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Bassett Furniture Industries, Incorporated, Clawback Policy incorporated by reference to Exhibit 97 to Form 10-K filed with</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the SEC on January 25, 2024.</w:t>
        </w:r>
      </w:hyperlink>
    </w:p>
    <w:p>
      <w:pPr>
        <w:spacing w:after="0" w:line="163" w:lineRule="exact"/>
        <w:rPr>
          <w:rFonts w:ascii="Times New Roman" w:cs="Times New Roman" w:eastAsia="Times New Roman" w:hAnsi="Times New Roman"/>
          <w:sz w:val="18"/>
          <w:szCs w:val="18"/>
          <w:color w:val="auto"/>
        </w:rPr>
      </w:pPr>
    </w:p>
    <w:tbl>
      <w:tblPr>
        <w:tblLayout w:type="fixed"/>
        <w:tblInd w:w="1140" w:type="dxa"/>
        <w:tblCellMar>
          <w:top w:w="0" w:type="dxa"/>
          <w:left w:w="0" w:type="dxa"/>
          <w:bottom w:w="0" w:type="dxa"/>
          <w:right w:w="0" w:type="dxa"/>
        </w:tblCellMar>
      </w:tblPr>
      <w:tr>
        <w:trPr>
          <w:trHeight w:val="2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Calculation</w:t>
            </w: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Inline XBRL Taxonomy Extension Presentation</w:t>
            </w:r>
          </w:p>
        </w:tc>
      </w:tr>
    </w:tbl>
    <w:p>
      <w:pPr>
        <w:spacing w:after="0" w:line="194" w:lineRule="exact"/>
        <w:rPr>
          <w:rFonts w:ascii="Times New Roman" w:cs="Times New Roman" w:eastAsia="Times New Roman" w:hAnsi="Times New Roman"/>
          <w:sz w:val="18"/>
          <w:szCs w:val="18"/>
          <w:color w:val="auto"/>
        </w:rPr>
      </w:pPr>
    </w:p>
    <w:p>
      <w:pPr>
        <w:ind w:left="2140" w:hanging="999"/>
        <w:spacing w:after="0"/>
        <w:tabs>
          <w:tab w:leader="none" w:pos="2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 of the Company.</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1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color w:val="auto"/>
        </w:rPr>
        <w:t>FORM 10-K SUMMARY</w:t>
      </w:r>
    </w:p>
    <w:p>
      <w:pPr>
        <w:spacing w:after="0" w:line="224" w:lineRule="exact"/>
        <w:rPr>
          <w:rFonts w:ascii="Times New Roman" w:cs="Times New Roman" w:eastAsia="Times New Roman" w:hAnsi="Times New Roman"/>
          <w:sz w:val="18"/>
          <w:szCs w:val="18"/>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 (Registrant)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Robert H. Spilman, Jr.</w:t>
            </w:r>
          </w:p>
        </w:tc>
        <w:tc>
          <w:tcPr>
            <w:tcW w:w="454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w w:val="97"/>
              </w:rPr>
              <w:t>Date: February 10, 2025</w:t>
            </w:r>
          </w:p>
        </w:tc>
      </w:tr>
      <w:tr>
        <w:trPr>
          <w:trHeight w:val="188"/>
        </w:trPr>
        <w:tc>
          <w:tcPr>
            <w:tcW w:w="320" w:type="dxa"/>
            <w:vAlign w:val="bottom"/>
          </w:tcPr>
          <w:p>
            <w:pPr>
              <w:spacing w:after="0"/>
              <w:rPr>
                <w:sz w:val="16"/>
                <w:szCs w:val="16"/>
                <w:color w:val="auto"/>
              </w:rPr>
            </w:pPr>
          </w:p>
        </w:tc>
        <w:tc>
          <w:tcPr>
            <w:tcW w:w="55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Robert H. Spilman, Jr.</w:t>
            </w:r>
          </w:p>
        </w:tc>
        <w:tc>
          <w:tcPr>
            <w:tcW w:w="2800" w:type="dxa"/>
            <w:vAlign w:val="bottom"/>
            <w:tcBorders>
              <w:top w:val="single" w:sz="8" w:color="auto"/>
            </w:tcBorders>
          </w:tcPr>
          <w:p>
            <w:pPr>
              <w:spacing w:after="0"/>
              <w:rPr>
                <w:sz w:val="16"/>
                <w:szCs w:val="16"/>
                <w:color w:val="auto"/>
              </w:rPr>
            </w:pPr>
          </w:p>
        </w:tc>
        <w:tc>
          <w:tcPr>
            <w:tcW w:w="1740" w:type="dxa"/>
            <w:vAlign w:val="bottom"/>
          </w:tcPr>
          <w:p>
            <w:pPr>
              <w:spacing w:after="0"/>
              <w:rPr>
                <w:sz w:val="16"/>
                <w:szCs w:val="16"/>
                <w:color w:val="auto"/>
              </w:rPr>
            </w:pPr>
          </w:p>
        </w:tc>
      </w:tr>
      <w:tr>
        <w:trPr>
          <w:trHeight w:val="213"/>
        </w:trPr>
        <w:tc>
          <w:tcPr>
            <w:tcW w:w="3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2"/>
        </w:trPr>
        <w:tc>
          <w:tcPr>
            <w:tcW w:w="3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8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9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Emma S. Battle</w:t>
            </w:r>
          </w:p>
        </w:tc>
        <w:tc>
          <w:tcPr>
            <w:tcW w:w="4360" w:type="dxa"/>
            <w:vAlign w:val="bottom"/>
            <w:tcBorders>
              <w:bottom w:val="single" w:sz="8" w:color="auto"/>
            </w:tcBorders>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Emma S. Battle</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R. Belk</w:t>
            </w:r>
          </w:p>
        </w:tc>
        <w:tc>
          <w:tcPr>
            <w:tcW w:w="436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John R. Belk</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Kristina K. Cashman</w:t>
            </w:r>
          </w:p>
        </w:tc>
        <w:tc>
          <w:tcPr>
            <w:tcW w:w="436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Kristina K. Cashman</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Virginia W. Hamlet</w:t>
            </w:r>
          </w:p>
        </w:tc>
        <w:tc>
          <w:tcPr>
            <w:tcW w:w="436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Virginia W. Hamlet</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Walter McDowell</w:t>
            </w:r>
          </w:p>
        </w:tc>
        <w:tc>
          <w:tcPr>
            <w:tcW w:w="436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 Walter McDowell</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 Wampler, Jr.</w:t>
            </w:r>
          </w:p>
        </w:tc>
        <w:tc>
          <w:tcPr>
            <w:tcW w:w="436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William C. Wampler, Jr.</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 Warden, Jr.</w:t>
            </w:r>
          </w:p>
        </w:tc>
        <w:tc>
          <w:tcPr>
            <w:tcW w:w="436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William C. Warden, Jr.</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 Lead Independent Director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Michael Daniel</w:t>
            </w:r>
          </w:p>
        </w:tc>
        <w:tc>
          <w:tcPr>
            <w:tcW w:w="4360" w:type="dxa"/>
            <w:vAlign w:val="bottom"/>
            <w:tcBorders>
              <w:bottom w:val="single" w:sz="8" w:color="auto"/>
            </w:tcBorders>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r>
      <w:tr>
        <w:trPr>
          <w:trHeight w:val="188"/>
        </w:trPr>
        <w:tc>
          <w:tcPr>
            <w:tcW w:w="44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 Michael Daniel</w:t>
            </w:r>
          </w:p>
        </w:tc>
        <w:tc>
          <w:tcPr>
            <w:tcW w:w="436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13"/>
        </w:trPr>
        <w:tc>
          <w:tcPr>
            <w:tcW w:w="4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3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2"/>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27"/>
        </w:trPr>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360" w:type="dxa"/>
            <w:vAlign w:val="bottom"/>
          </w:tcPr>
          <w:p>
            <w:pPr>
              <w:jc w:val="right"/>
              <w:ind w:right="3311"/>
              <w:spacing w:after="0"/>
              <w:rPr>
                <w:sz w:val="20"/>
                <w:szCs w:val="20"/>
                <w:color w:val="auto"/>
              </w:rPr>
            </w:pPr>
            <w:r>
              <w:rPr>
                <w:rFonts w:ascii="Times New Roman" w:cs="Times New Roman" w:eastAsia="Times New Roman" w:hAnsi="Times New Roman"/>
                <w:sz w:val="18"/>
                <w:szCs w:val="18"/>
                <w:color w:val="auto"/>
              </w:rPr>
              <w:t>68</w:t>
            </w:r>
          </w:p>
        </w:tc>
        <w:tc>
          <w:tcPr>
            <w:tcW w:w="2120" w:type="dxa"/>
            <w:vAlign w:val="bottom"/>
          </w:tcPr>
          <w:p>
            <w:pPr>
              <w:spacing w:after="0"/>
              <w:rPr>
                <w:sz w:val="24"/>
                <w:szCs w:val="24"/>
                <w:color w:val="auto"/>
              </w:rPr>
            </w:pPr>
          </w:p>
        </w:tc>
      </w:tr>
      <w:tr>
        <w:trPr>
          <w:trHeight w:val="113"/>
        </w:trPr>
        <w:tc>
          <w:tcPr>
            <w:tcW w:w="44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w:t>
      </w:r>
    </w:p>
    <w:p>
      <w:pPr>
        <w:spacing w:after="0" w:line="220" w:lineRule="exact"/>
        <w:rPr>
          <w:sz w:val="20"/>
          <w:szCs w:val="20"/>
          <w:color w:val="auto"/>
        </w:rPr>
      </w:pPr>
    </w:p>
    <w:p>
      <w:pPr>
        <w:jc w:val="center"/>
        <w:ind w:left="340" w:right="2520"/>
        <w:spacing w:after="0" w:line="269" w:lineRule="auto"/>
        <w:rPr>
          <w:sz w:val="20"/>
          <w:szCs w:val="20"/>
          <w:color w:val="auto"/>
        </w:rPr>
      </w:pPr>
      <w:r>
        <w:rPr>
          <w:rFonts w:ascii="Times New Roman" w:cs="Times New Roman" w:eastAsia="Times New Roman" w:hAnsi="Times New Roman"/>
          <w:sz w:val="18"/>
          <w:szCs w:val="18"/>
          <w:color w:val="auto"/>
        </w:rPr>
        <w:t xml:space="preserve">Analysis of Valuation and Qualifying Accounts For the Years Ended November 30, 2024, November 25, 2023 and November 26, 2022 </w:t>
      </w:r>
      <w:r>
        <w:rPr>
          <w:rFonts w:ascii="Times New Roman" w:cs="Times New Roman" w:eastAsia="Times New Roman" w:hAnsi="Times New Roman"/>
          <w:sz w:val="18"/>
          <w:szCs w:val="18"/>
          <w:i w:val="1"/>
          <w:iCs w:val="1"/>
          <w:color w:val="auto"/>
        </w:rPr>
        <w:t>(amounts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Additions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Balance</w:t>
            </w:r>
          </w:p>
        </w:tc>
        <w:tc>
          <w:tcPr>
            <w:tcW w:w="26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Charged to</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Beginning of</w:t>
            </w:r>
          </w:p>
        </w:tc>
        <w:tc>
          <w:tcPr>
            <w:tcW w:w="26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Cost and</w:t>
            </w:r>
          </w:p>
        </w:tc>
        <w:tc>
          <w:tcPr>
            <w:tcW w:w="240" w:type="dxa"/>
            <w:vAlign w:val="bottom"/>
          </w:tcPr>
          <w:p>
            <w:pPr>
              <w:spacing w:after="0"/>
              <w:rPr>
                <w:sz w:val="18"/>
                <w:szCs w:val="18"/>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9"/>
              </w:rPr>
              <w:t>Deductions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Balance End</w:t>
            </w:r>
          </w:p>
        </w:tc>
      </w:tr>
      <w:tr>
        <w:trPr>
          <w:trHeight w:val="232"/>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Period</w:t>
            </w:r>
          </w:p>
        </w:tc>
        <w:tc>
          <w:tcPr>
            <w:tcW w:w="260" w:type="dxa"/>
            <w:vAlign w:val="bottom"/>
          </w:tcPr>
          <w:p>
            <w:pPr>
              <w:spacing w:after="0"/>
              <w:rPr>
                <w:sz w:val="20"/>
                <w:szCs w:val="20"/>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Expenses</w:t>
            </w:r>
          </w:p>
        </w:tc>
        <w:tc>
          <w:tcPr>
            <w:tcW w:w="2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of Period</w:t>
            </w:r>
          </w:p>
        </w:tc>
      </w:tr>
      <w:tr>
        <w:trPr>
          <w:trHeight w:val="20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26, 2022:</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valuation 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25, 2023: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3"/>
        </w:trPr>
        <w:tc>
          <w:tcPr>
            <w:tcW w:w="4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194"/>
        </w:trPr>
        <w:tc>
          <w:tcPr>
            <w:tcW w:w="4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(945)</w:t>
            </w:r>
          </w:p>
        </w:tc>
        <w:tc>
          <w:tcPr>
            <w:tcW w:w="300" w:type="dxa"/>
            <w:vAlign w:val="bottom"/>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535</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r>
      <w:tr>
        <w:trPr>
          <w:trHeight w:val="194"/>
        </w:trPr>
        <w:tc>
          <w:tcPr>
            <w:tcW w:w="46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30, 2024: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Deductions are for the purpose for which the reserve was created.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802"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as of October 2, 2023</w:t>
      </w:r>
    </w:p>
    <w:p>
      <w:pPr>
        <w:spacing w:after="0" w:line="200" w:lineRule="exact"/>
        <w:rPr>
          <w:sz w:val="20"/>
          <w:szCs w:val="20"/>
          <w:color w:val="auto"/>
        </w:rPr>
      </w:pP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Bassett Furniture Industries, Incorporated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presented in the following four</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sections:</w:t>
      </w:r>
    </w:p>
    <w:p>
      <w:pPr>
        <w:spacing w:after="0" w:line="201" w:lineRule="exact"/>
        <w:rPr>
          <w:sz w:val="20"/>
          <w:szCs w:val="20"/>
          <w:color w:val="auto"/>
        </w:rPr>
      </w:pPr>
    </w:p>
    <w:p>
      <w:pPr>
        <w:ind w:left="640" w:hanging="313"/>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 – Summary: provides an overview of the Policy;</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 – Statement of Policies Prohibiting Insider Trading: sets forth the policies of the Company prohibiting insider trading;</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III – Explanation of Insider Trading: explains insider trading; and</w:t>
      </w:r>
    </w:p>
    <w:p>
      <w:pPr>
        <w:spacing w:after="0" w:line="246"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IV – Statement of Procedures Preventing Insider Trading: consists of various procedures which have been put in place by the Company to prevent insider trading.</w:t>
      </w:r>
    </w:p>
    <w:p>
      <w:pPr>
        <w:spacing w:after="0" w:line="200" w:lineRule="exact"/>
        <w:rPr>
          <w:rFonts w:ascii="Times New Roman" w:cs="Times New Roman" w:eastAsia="Times New Roman" w:hAnsi="Times New Roman"/>
          <w:sz w:val="18"/>
          <w:szCs w:val="18"/>
          <w:color w:val="auto"/>
        </w:rPr>
      </w:pPr>
    </w:p>
    <w:p>
      <w:pPr>
        <w:spacing w:after="0" w:line="38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Summary</w:t>
      </w:r>
    </w:p>
    <w:p>
      <w:pPr>
        <w:spacing w:after="0" w:line="224" w:lineRule="exact"/>
        <w:rPr>
          <w:sz w:val="20"/>
          <w:szCs w:val="20"/>
          <w:color w:val="auto"/>
        </w:rPr>
      </w:pPr>
    </w:p>
    <w:p>
      <w:pPr>
        <w:jc w:val="both"/>
        <w:ind w:left="100" w:firstLine="640"/>
        <w:spacing w:after="0" w:line="262" w:lineRule="auto"/>
        <w:rPr>
          <w:sz w:val="20"/>
          <w:szCs w:val="20"/>
          <w:color w:val="auto"/>
        </w:rPr>
      </w:pPr>
      <w:r>
        <w:rPr>
          <w:rFonts w:ascii="Times New Roman" w:cs="Times New Roman" w:eastAsia="Times New Roman" w:hAnsi="Times New Roman"/>
          <w:sz w:val="18"/>
          <w:szCs w:val="18"/>
          <w:color w:val="auto"/>
        </w:rPr>
        <w:t>Preventing insider trading is necessary to comply with securities law and to preserve the reputation and integrity of the Company as well as that of all persons affiliated with it. “Insider trading” occurs when any person purchases or sells a security while in possession of inside information relating to the security.</w:t>
      </w:r>
    </w:p>
    <w:p>
      <w:pPr>
        <w:spacing w:after="0" w:line="172" w:lineRule="exact"/>
        <w:rPr>
          <w:sz w:val="20"/>
          <w:szCs w:val="20"/>
          <w:color w:val="auto"/>
        </w:rPr>
      </w:pPr>
    </w:p>
    <w:p>
      <w:pPr>
        <w:jc w:val="both"/>
        <w:ind w:left="100" w:firstLine="640"/>
        <w:spacing w:after="0" w:line="253" w:lineRule="auto"/>
        <w:rPr>
          <w:sz w:val="20"/>
          <w:szCs w:val="20"/>
          <w:color w:val="auto"/>
        </w:rPr>
      </w:pPr>
      <w:r>
        <w:rPr>
          <w:rFonts w:ascii="Times New Roman" w:cs="Times New Roman" w:eastAsia="Times New Roman" w:hAnsi="Times New Roman"/>
          <w:sz w:val="18"/>
          <w:szCs w:val="18"/>
          <w:color w:val="auto"/>
        </w:rPr>
        <w:t>This Policy applies to all members of the Board of Directors of the Company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all officers of the Company, and all other management personnel of the Company (collectively, the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and extends to all activities within and outside an individual’s duties at the Company. Every Covered Person must review this Policy. This Policy also applies to transactions by each Covered Person’s (i) spouse, children or other relatives living in the same household as such Covered Person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(ii) corporations or other business entities controlled by the Covered Person or his family members; (iii) corporations or other business entities controlled by the Company; and (iv) trusts in which the Covered Person or any family member acts as trustee or otherwise has investment control. Questions regarding the Policy should be directed to the General Counsel of the Company (the “</w:t>
      </w:r>
      <w:r>
        <w:rPr>
          <w:rFonts w:ascii="Times New Roman" w:cs="Times New Roman" w:eastAsia="Times New Roman" w:hAnsi="Times New Roman"/>
          <w:sz w:val="18"/>
          <w:szCs w:val="18"/>
          <w:b w:val="1"/>
          <w:bCs w:val="1"/>
          <w:color w:val="auto"/>
        </w:rPr>
        <w:t>GC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ind w:left="713" w:right="6860" w:hanging="713"/>
        <w:spacing w:after="0" w:line="497" w:lineRule="auto"/>
        <w:tabs>
          <w:tab w:leader="none" w:pos="6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Statement of Policies Prohibiting Insider Trading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Insider Trading Policy</w:t>
      </w:r>
    </w:p>
    <w:p>
      <w:pPr>
        <w:spacing w:after="0" w:line="1" w:lineRule="exact"/>
        <w:rPr>
          <w:sz w:val="20"/>
          <w:szCs w:val="20"/>
          <w:color w:val="auto"/>
        </w:rPr>
      </w:pPr>
    </w:p>
    <w:p>
      <w:pPr>
        <w:jc w:val="both"/>
        <w:ind w:left="93" w:firstLine="640"/>
        <w:spacing w:after="0" w:line="273" w:lineRule="auto"/>
        <w:rPr>
          <w:sz w:val="20"/>
          <w:szCs w:val="20"/>
          <w:color w:val="auto"/>
        </w:rPr>
      </w:pPr>
      <w:r>
        <w:rPr>
          <w:rFonts w:ascii="Times New Roman" w:cs="Times New Roman" w:eastAsia="Times New Roman" w:hAnsi="Times New Roman"/>
          <w:sz w:val="17"/>
          <w:szCs w:val="17"/>
          <w:color w:val="auto"/>
        </w:rPr>
        <w:t xml:space="preserve">No Covered Person shall purchase or sell any type of security while in possession of material, non-public information relating to the security, whether the issuer of such security is the Company or any other company. To provide assistance in preventing inadvertent violations of applicable securities laws and to avoid the appearance of impropriety in connection with the purchase and sale of the Company securities, </w:t>
      </w:r>
      <w:r>
        <w:rPr>
          <w:rFonts w:ascii="Times New Roman" w:cs="Times New Roman" w:eastAsia="Times New Roman" w:hAnsi="Times New Roman"/>
          <w:sz w:val="17"/>
          <w:szCs w:val="17"/>
          <w:b w:val="1"/>
          <w:bCs w:val="1"/>
          <w:color w:val="auto"/>
        </w:rPr>
        <w:t>all transactions in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securities (including without limitation, acquisitions and dispositions of Company common stock by purchase, sale or gift,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cashless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exercise of options and the sale of Company common stock issued upon exercise of options) by Covered Persons must be precleared by the GC.</w:t>
      </w:r>
    </w:p>
    <w:p>
      <w:pPr>
        <w:spacing w:after="0" w:line="169" w:lineRule="exact"/>
        <w:rPr>
          <w:sz w:val="20"/>
          <w:szCs w:val="20"/>
          <w:color w:val="auto"/>
        </w:rPr>
      </w:pPr>
    </w:p>
    <w:p>
      <w:pPr>
        <w:jc w:val="both"/>
        <w:ind w:left="93" w:firstLine="640"/>
        <w:spacing w:after="0" w:line="254" w:lineRule="auto"/>
        <w:rPr>
          <w:sz w:val="20"/>
          <w:szCs w:val="20"/>
          <w:color w:val="auto"/>
        </w:rPr>
      </w:pPr>
      <w:r>
        <w:rPr>
          <w:rFonts w:ascii="Times New Roman" w:cs="Times New Roman" w:eastAsia="Times New Roman" w:hAnsi="Times New Roman"/>
          <w:sz w:val="18"/>
          <w:szCs w:val="18"/>
          <w:color w:val="auto"/>
        </w:rPr>
        <w:t xml:space="preserve">Additionally, except for the exercise of options that does not involve the sale of the Company’s securities (e.g., a cashless exercise of an option involving the sale of Company securities therefore would not qualify under this exception) or transactions pursuant to a valid 10b5-1 Plan (defined below) entered into on a day on which a Covered Person may otherwise purchase or sell a security, </w:t>
      </w:r>
      <w:r>
        <w:rPr>
          <w:rFonts w:ascii="Times New Roman" w:cs="Times New Roman" w:eastAsia="Times New Roman" w:hAnsi="Times New Roman"/>
          <w:sz w:val="18"/>
          <w:szCs w:val="18"/>
          <w:b w:val="1"/>
          <w:bCs w:val="1"/>
          <w:color w:val="auto"/>
        </w:rPr>
        <w:t>no Covered Person may purchase, sell or make a gift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 of the Company during the period beginning one week before the end of any fiscal quarter and ending one full trading day after the public release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financial results for such fiscal quarter.</w:t>
      </w:r>
    </w:p>
    <w:p>
      <w:pPr>
        <w:spacing w:after="0" w:line="186" w:lineRule="exact"/>
        <w:rPr>
          <w:sz w:val="20"/>
          <w:szCs w:val="20"/>
          <w:color w:val="auto"/>
        </w:rPr>
      </w:pPr>
    </w:p>
    <w:p>
      <w:pPr>
        <w:jc w:val="both"/>
        <w:ind w:left="93" w:firstLine="640"/>
        <w:spacing w:after="0" w:line="262" w:lineRule="auto"/>
        <w:rPr>
          <w:sz w:val="20"/>
          <w:szCs w:val="20"/>
          <w:color w:val="auto"/>
        </w:rPr>
      </w:pPr>
      <w:r>
        <w:rPr>
          <w:rFonts w:ascii="Times New Roman" w:cs="Times New Roman" w:eastAsia="Times New Roman" w:hAnsi="Times New Roman"/>
          <w:sz w:val="18"/>
          <w:szCs w:val="18"/>
          <w:color w:val="auto"/>
        </w:rPr>
        <w:t>No Covered Person shall directly or indirectly tip material, non-public information to anyone who may trade while in possession of such information. In addition, material, non-public information generally should not be communicated to anyone outside the Company, or to anyone within the Company other than on a need-to-know basis.</w:t>
      </w:r>
    </w:p>
    <w:p>
      <w:pPr>
        <w:spacing w:after="0" w:line="176" w:lineRule="exact"/>
        <w:rPr>
          <w:sz w:val="20"/>
          <w:szCs w:val="20"/>
          <w:color w:val="auto"/>
        </w:rPr>
      </w:pPr>
    </w:p>
    <w:p>
      <w:pPr>
        <w:ind w:left="1033" w:hanging="313"/>
        <w:spacing w:after="0"/>
        <w:tabs>
          <w:tab w:leader="none" w:pos="10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Affirmative Defenses under Securities Exchange Act Rule 10b5-1</w:t>
      </w:r>
    </w:p>
    <w:p>
      <w:pPr>
        <w:spacing w:after="0" w:line="220" w:lineRule="exact"/>
        <w:rPr>
          <w:sz w:val="20"/>
          <w:szCs w:val="20"/>
          <w:color w:val="auto"/>
        </w:rPr>
      </w:pPr>
    </w:p>
    <w:p>
      <w:pPr>
        <w:jc w:val="both"/>
        <w:ind w:left="93" w:firstLine="640"/>
        <w:spacing w:after="0" w:line="254" w:lineRule="auto"/>
        <w:rPr>
          <w:sz w:val="20"/>
          <w:szCs w:val="20"/>
          <w:color w:val="auto"/>
        </w:rPr>
      </w:pPr>
      <w:r>
        <w:rPr>
          <w:rFonts w:ascii="Times New Roman" w:cs="Times New Roman" w:eastAsia="Times New Roman" w:hAnsi="Times New Roman"/>
          <w:sz w:val="18"/>
          <w:szCs w:val="18"/>
          <w:color w:val="auto"/>
        </w:rPr>
        <w:t>The federal securities laws provide for an affirmative defense to certain insider trading violations when a transaction in securities is consummated in accordance with a contract, instruction or plan satisfying the requirements of Rule 10b5-1 under the Securities Exchange Act of 1934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Notwithstanding the trading preclearance requirement stated above (Section II.A.), a Covered Person shall not be required to preclear a transaction in Company securities if such transaction is executed pursuant to a valid contract, instruction or plan that provides an affirmative defense (a “</w:t>
      </w:r>
      <w:r>
        <w:rPr>
          <w:rFonts w:ascii="Times New Roman" w:cs="Times New Roman" w:eastAsia="Times New Roman" w:hAnsi="Times New Roman"/>
          <w:sz w:val="18"/>
          <w:szCs w:val="18"/>
          <w:b w:val="1"/>
          <w:bCs w:val="1"/>
          <w:i w:val="1"/>
          <w:iCs w:val="1"/>
          <w:color w:val="auto"/>
        </w:rPr>
        <w:t>10b5-1 Plan</w:t>
      </w:r>
      <w:r>
        <w:rPr>
          <w:rFonts w:ascii="Times New Roman" w:cs="Times New Roman" w:eastAsia="Times New Roman" w:hAnsi="Times New Roman"/>
          <w:sz w:val="18"/>
          <w:szCs w:val="18"/>
          <w:color w:val="auto"/>
        </w:rPr>
        <w:t>”) pursuant to Rule 10b5-1 under the 1934 Act and such transaction is lawful under any applicable state securities laws.</w:t>
      </w:r>
    </w:p>
    <w:p>
      <w:pPr>
        <w:spacing w:after="0" w:line="186" w:lineRule="exact"/>
        <w:rPr>
          <w:sz w:val="20"/>
          <w:szCs w:val="20"/>
          <w:color w:val="auto"/>
        </w:rPr>
      </w:pPr>
    </w:p>
    <w:p>
      <w:pPr>
        <w:jc w:val="both"/>
        <w:ind w:left="93" w:firstLine="640"/>
        <w:spacing w:after="0" w:line="253" w:lineRule="auto"/>
        <w:rPr>
          <w:sz w:val="20"/>
          <w:szCs w:val="20"/>
          <w:color w:val="auto"/>
        </w:rPr>
      </w:pPr>
      <w:r>
        <w:rPr>
          <w:rFonts w:ascii="Times New Roman" w:cs="Times New Roman" w:eastAsia="Times New Roman" w:hAnsi="Times New Roman"/>
          <w:sz w:val="18"/>
          <w:szCs w:val="18"/>
          <w:color w:val="auto"/>
        </w:rPr>
        <w:t xml:space="preserve">However, a 10b5-1 Plan cannot be entered into or adopted by a Covered Person when the Covered Person is in possession of material, non-public information related to the security, whether the issuer of such security is the Company or any other company. To provide assistance in preventing inadvertent violations of applicable securities laws and to avoid the appearance of impropriety in connection with the adoption of a 10b5-1 Plan,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adoption of any 10b5-1 Plan providing for transactions in the securities of the Company (including without limitation, acquisitions and dispositions of Company common stock, the exercise of options and the sale of Company common stock issued upon exercise of options) must be precleared by the GC to confirm the absence of material non-public information at the time of such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571" w:right="339" w:bottom="1440" w:gutter="0" w:footer="0" w:header="0"/>
        </w:sectPr>
      </w:pPr>
    </w:p>
    <w:bookmarkStart w:id="75" w:name="page76"/>
    <w:bookmarkEnd w:id="75"/>
    <w:p>
      <w:pPr>
        <w:jc w:val="both"/>
        <w:ind w:left="93" w:firstLine="551"/>
        <w:spacing w:after="0" w:line="254" w:lineRule="auto"/>
        <w:rPr>
          <w:sz w:val="20"/>
          <w:szCs w:val="20"/>
          <w:color w:val="auto"/>
        </w:rPr>
      </w:pPr>
      <w:r>
        <w:rPr>
          <w:rFonts w:ascii="Times New Roman" w:cs="Times New Roman" w:eastAsia="Times New Roman" w:hAnsi="Times New Roman"/>
          <w:sz w:val="18"/>
          <w:szCs w:val="18"/>
          <w:b w:val="1"/>
          <w:bCs w:val="1"/>
          <w:color w:val="auto"/>
        </w:rPr>
        <w:t>In addition, any proposed amendment to, alteration of or deviation from an established 10b5-1 Plan will be treated as the adoption of a new 10b5-1 Plan, which must be precleared by the GC</w:t>
      </w:r>
      <w:r>
        <w:rPr>
          <w:rFonts w:ascii="Times New Roman" w:cs="Times New Roman" w:eastAsia="Times New Roman" w:hAnsi="Times New Roman"/>
          <w:sz w:val="18"/>
          <w:szCs w:val="18"/>
          <w:color w:val="auto"/>
        </w:rPr>
        <w:t>. In connection with this preclearance, the Covered Person shall provide the GC with a copy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10b5-1 Plan proposed to be entered into or adopted by the Covered Person, including the Covered Person’s representation certifying that, on the date of the adoption or modification of the plan: (i) the Covered Person is not aware of any material nonpublic information about the Company’s securities or the Company; and (ii) the Covered Person is adopting the plan in good faith and not as part of a plan or scheme to evade the prohibitions of Rule 10b-5 under the 1934 Act.</w:t>
      </w:r>
    </w:p>
    <w:p>
      <w:pPr>
        <w:spacing w:after="0" w:line="180" w:lineRule="exact"/>
        <w:rPr>
          <w:sz w:val="20"/>
          <w:szCs w:val="20"/>
          <w:color w:val="auto"/>
        </w:rPr>
      </w:pPr>
    </w:p>
    <w:p>
      <w:pPr>
        <w:jc w:val="both"/>
        <w:ind w:left="93"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Additionally, no Covered Person may enter into or adopt a 10b5-1 Plan during the period beginning one week before the end of any fiscal quarter and ending one full trading day after the public release of earnings data for such fiscal quarter. A Covered Person may not have multiple Approved 10b5-1 Plans in place that cover the same period of time, except under certain conditions specified in Rule 10b5-1 or entered into prior to the adoption of this Policy. Such plans must also include a mandatory cooling-off period before trading can commence for Covered Persons that are directors or officers of the Company that expires on the later of (i) 90 days following such plan adoption or modification or (ii) two business days following the disclosure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SEC-filed reports of its financial results for the fiscal quarter in which the plan was adopted or modified (but not to exceed 120 days following plan adoption or modification). The plans must also include a mandatory cooling-off period before trading can commence of 30 days for persons other than the Company or officers and directors.</w:t>
      </w:r>
    </w:p>
    <w:p>
      <w:pPr>
        <w:spacing w:after="0" w:line="183" w:lineRule="exact"/>
        <w:rPr>
          <w:sz w:val="20"/>
          <w:szCs w:val="20"/>
          <w:color w:val="auto"/>
        </w:rPr>
      </w:pPr>
    </w:p>
    <w:p>
      <w:pPr>
        <w:ind w:left="633" w:hanging="633"/>
        <w:spacing w:after="0"/>
        <w:tabs>
          <w:tab w:leader="none" w:pos="6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Explanation of Insider Trading</w:t>
      </w:r>
    </w:p>
    <w:p>
      <w:pPr>
        <w:spacing w:after="0" w:line="224" w:lineRule="exact"/>
        <w:rPr>
          <w:sz w:val="20"/>
          <w:szCs w:val="20"/>
          <w:color w:val="auto"/>
        </w:rPr>
      </w:pPr>
    </w:p>
    <w:p>
      <w:pPr>
        <w:jc w:val="both"/>
        <w:ind w:left="93" w:firstLine="640"/>
        <w:spacing w:after="0" w:line="252" w:lineRule="auto"/>
        <w:rPr>
          <w:sz w:val="20"/>
          <w:szCs w:val="20"/>
          <w:color w:val="auto"/>
        </w:rPr>
      </w:pPr>
      <w:r>
        <w:rPr>
          <w:rFonts w:ascii="Times New Roman" w:cs="Times New Roman" w:eastAsia="Times New Roman" w:hAnsi="Times New Roman"/>
          <w:sz w:val="18"/>
          <w:szCs w:val="18"/>
          <w:color w:val="auto"/>
        </w:rPr>
        <w:t>As noted above, “insider trading” refers to the purchase or sale, or gift, of a security while in possession of “material” “non-public” information relating to the security. “Securities” include common stock of the Company, units, bonds, notes, debentures, options, warrants and similar instruments. “Purchase” and “sale” are defined broadly under the federal securities laws. “Purchase” includes the actual purchase of a security and any contract to purchase or otherwise acquire a security. “Sale” includes the actual sale of a security and any contract to sell or otherwise dispose of a security. “Gift” includes the bona fide gift of securities for no consideration. These definitions extend to a broad range of transactions including conventional cash-for-equity transactions, conversions, and acquisitions and exercises of warrants or puts, calls or other options related to a security. It is generally understood that insider trading includes the following:</w:t>
      </w:r>
    </w:p>
    <w:p>
      <w:pPr>
        <w:spacing w:after="0" w:line="187" w:lineRule="exact"/>
        <w:rPr>
          <w:sz w:val="20"/>
          <w:szCs w:val="20"/>
          <w:color w:val="auto"/>
        </w:rPr>
      </w:pPr>
    </w:p>
    <w:p>
      <w:pPr>
        <w:ind w:left="1273" w:hanging="633"/>
        <w:spacing w:after="0"/>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246" w:lineRule="exact"/>
        <w:rPr>
          <w:rFonts w:ascii="Times New Roman" w:cs="Times New Roman" w:eastAsia="Times New Roman" w:hAnsi="Times New Roman"/>
          <w:sz w:val="18"/>
          <w:szCs w:val="18"/>
          <w:color w:val="auto"/>
        </w:rPr>
      </w:pPr>
    </w:p>
    <w:p>
      <w:pPr>
        <w:ind w:left="1273" w:hanging="633"/>
        <w:spacing w:after="0" w:line="277"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where the information either was given in breach of an insider’s duty to keep it confidential or was misappropriated; or</w:t>
      </w:r>
    </w:p>
    <w:p>
      <w:pPr>
        <w:spacing w:after="0" w:line="162" w:lineRule="exact"/>
        <w:rPr>
          <w:rFonts w:ascii="Times New Roman" w:cs="Times New Roman" w:eastAsia="Times New Roman" w:hAnsi="Times New Roman"/>
          <w:sz w:val="18"/>
          <w:szCs w:val="18"/>
          <w:color w:val="auto"/>
        </w:rPr>
      </w:pPr>
    </w:p>
    <w:p>
      <w:pPr>
        <w:ind w:left="1273" w:hanging="633"/>
        <w:spacing w:after="0" w:line="277"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571" w:right="339" w:bottom="1440" w:gutter="0" w:footer="0" w:header="0"/>
        </w:sectPr>
      </w:pPr>
    </w:p>
    <w:bookmarkStart w:id="76" w:name="page77"/>
    <w:bookmarkEnd w:id="76"/>
    <w:p>
      <w:pPr>
        <w:ind w:left="1180" w:hanging="633"/>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Facts are Material</w:t>
      </w:r>
    </w:p>
    <w:p>
      <w:pPr>
        <w:spacing w:after="0" w:line="24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Examples of material information include (but are not limited to) facts concerning: distributions; earnings or earnings forecasts; mergers or acquisitions; major litigation; significant borrowings or financings; defaults on borrowings; important business developments such as major contract awards or cancellations; management or control changes; regulatory action; and bankruptcies. Moreover, material information does not have to be related to a company’s business. For example, the contents of a forthcoming newspaper column that is expected to affect the market price of a security can be material.</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p>
    <w:p>
      <w:pPr>
        <w:spacing w:after="0" w:line="224" w:lineRule="exact"/>
        <w:rPr>
          <w:sz w:val="20"/>
          <w:szCs w:val="20"/>
          <w:color w:val="auto"/>
        </w:rPr>
      </w:pPr>
    </w:p>
    <w:p>
      <w:pPr>
        <w:ind w:left="1180" w:hanging="633"/>
        <w:spacing w:after="0"/>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is Non-public</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18"/>
          <w:szCs w:val="18"/>
          <w:u w:val="single" w:color="auto"/>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Wall Street Journal, Associated Press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United Press International</w:t>
      </w:r>
      <w:r>
        <w:rPr>
          <w:rFonts w:ascii="Times New Roman" w:cs="Times New Roman" w:eastAsia="Times New Roman" w:hAnsi="Times New Roman"/>
          <w:sz w:val="18"/>
          <w:szCs w:val="18"/>
          <w:color w:val="auto"/>
        </w:rPr>
        <w:t>, a broadcast on widely available radio or television programs, publication in a widely available newspaper, magazine or news web site, a Regulation FD-compliant conference call, or public disclosure documents filed with the SEC that are available on the SEC’s website. The circulation of rumors, even if accurate and reported in the media, does not constitute effective public dissemination.</w:t>
      </w:r>
    </w:p>
    <w:p>
      <w:pPr>
        <w:spacing w:after="0" w:line="18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Generally, one should allow approximately 48 hours following publication as a reasonable waiting period before such information is deemed to be public.</w:t>
      </w:r>
    </w:p>
    <w:p>
      <w:pPr>
        <w:spacing w:after="0" w:line="163" w:lineRule="exact"/>
        <w:rPr>
          <w:sz w:val="20"/>
          <w:szCs w:val="20"/>
          <w:color w:val="auto"/>
        </w:rPr>
      </w:pPr>
    </w:p>
    <w:p>
      <w:pPr>
        <w:ind w:left="1180" w:hanging="633"/>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 is an Insider</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“Insiders” include officers, directors, and employees of a company and anyone else who has material inside information about a company. Insiders have duties to their company and its securityholders not to trade on material, non-public information relating to the company’s securities. All officers, directors and employees of the Company should consider themselves insiders with respect to material, non-public information about business, activities and securities. Officers, directors and employees may not trade the Company’s securities while in possession of material, non-public information relating to the Company nor tip (or communicate except on a need-to-know basis) such information to others.</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It should be noted that trading by members of an officer’s, director’s or employee’s household can be the responsibility of such officer, director or employee under certain circumstances and could give rise to legal and Company-imposed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335280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420" w:top="575" w:right="339" w:bottom="1440" w:gutter="0" w:footer="0" w:header="0"/>
        </w:sectPr>
      </w:pPr>
    </w:p>
    <w:bookmarkStart w:id="77" w:name="page78"/>
    <w:bookmarkEnd w:id="77"/>
    <w:p>
      <w:pPr>
        <w:ind w:left="1180" w:hanging="633"/>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4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7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1" w:lineRule="exact"/>
        <w:rPr>
          <w:sz w:val="20"/>
          <w:szCs w:val="20"/>
          <w:color w:val="auto"/>
        </w:rPr>
      </w:pPr>
    </w:p>
    <w:p>
      <w:pPr>
        <w:ind w:left="1180" w:hanging="633"/>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4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Department of Justice have made the civil and criminal prosecution of insider trading violations a top priority. Enforcement remedies available to the government or private plaintiffs under the federal securities laws include SEC administrative sanctions, securities industry sanctions, civil injunctions, damage awards, disgorgement of profits, civil fines, criminal fines and jail sentences. 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upon the occurrence of insider trading.</w:t>
      </w:r>
    </w:p>
    <w:p>
      <w:pPr>
        <w:spacing w:after="0" w:line="190" w:lineRule="exact"/>
        <w:rPr>
          <w:sz w:val="20"/>
          <w:szCs w:val="20"/>
          <w:color w:val="auto"/>
        </w:rPr>
      </w:pPr>
    </w:p>
    <w:p>
      <w:pPr>
        <w:ind w:left="1180" w:hanging="633"/>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 of Transaction and Reason for Transaction Do Not Matter</w:t>
      </w:r>
    </w:p>
    <w:p>
      <w:pPr>
        <w:spacing w:after="0" w:line="24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b w:val="1"/>
          <w:bCs w:val="1"/>
          <w:color w:val="auto"/>
        </w:rPr>
        <w:t>Statement of Procedures Preventing Insider Trading</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 Every Covered Person is required to follow these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335280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420" w:top="575" w:right="339" w:bottom="1440" w:gutter="0" w:footer="0" w:header="0"/>
        </w:sectPr>
      </w:pPr>
    </w:p>
    <w:bookmarkStart w:id="78" w:name="page79"/>
    <w:bookmarkEnd w:id="78"/>
    <w:p>
      <w:pPr>
        <w:ind w:left="1280" w:hanging="633"/>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of Trades in Company Securities by All Covered Persons</w:t>
      </w:r>
    </w:p>
    <w:p>
      <w:pPr>
        <w:spacing w:after="0" w:line="247" w:lineRule="exact"/>
        <w:rPr>
          <w:sz w:val="20"/>
          <w:szCs w:val="20"/>
          <w:color w:val="auto"/>
        </w:rPr>
      </w:pPr>
    </w:p>
    <w:p>
      <w:pPr>
        <w:jc w:val="both"/>
        <w:ind w:left="100" w:firstLine="640"/>
        <w:spacing w:after="0" w:line="254" w:lineRule="auto"/>
        <w:rPr>
          <w:sz w:val="20"/>
          <w:szCs w:val="20"/>
          <w:color w:val="auto"/>
        </w:rPr>
      </w:pPr>
      <w:r>
        <w:rPr>
          <w:rFonts w:ascii="Times New Roman" w:cs="Times New Roman" w:eastAsia="Times New Roman" w:hAnsi="Times New Roman"/>
          <w:sz w:val="18"/>
          <w:szCs w:val="18"/>
          <w:color w:val="auto"/>
        </w:rPr>
        <w:t xml:space="preserve">To provide assistance in preventing inadvertent violations of applicable securities laws and to avoid the appearance of impropriety in connection with the purchase and sale of Company securities, </w:t>
      </w:r>
      <w:r>
        <w:rPr>
          <w:rFonts w:ascii="Times New Roman" w:cs="Times New Roman" w:eastAsia="Times New Roman" w:hAnsi="Times New Roman"/>
          <w:sz w:val="18"/>
          <w:szCs w:val="18"/>
          <w:b w:val="1"/>
          <w:bCs w:val="1"/>
          <w:color w:val="auto"/>
        </w:rPr>
        <w:t>all transactions in Company securities (including without limitation, acquisitions and dispositions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Company common stock by purchase, sale or gift,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exercise of options and the sale of Company common stock issued upon exercise of options) by Covered Persons must be precleared by the GC. If after consultation with the GC it is determined that the Company and/or such Covered Person is in possession of material, non-public information, there may be no trading in Company securities.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Additionally, except for the exercise of options that does not involve the sale of Company securities or transactions pursuant to a valid 10b5-1 Plan,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Covered Persons shall purchase or sell any security of the Company except during an open trading window period for the Company. </w:t>
      </w:r>
      <w:r>
        <w:rPr>
          <w:rFonts w:ascii="Times New Roman" w:cs="Times New Roman" w:eastAsia="Times New Roman" w:hAnsi="Times New Roman"/>
          <w:sz w:val="18"/>
          <w:szCs w:val="18"/>
          <w:color w:val="auto"/>
        </w:rPr>
        <w:t>Investments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401(k) plan Company contributions in a Company stock fund in accordance with the terms of the Company's 401(k) plan or investing in the Employee Stock Purchase Plan do not require preclearance. However, any sale of Company stock in such plans and any change in your investment election regarding Company stock in such plans are subject to trading restrictions under this Policy.</w:t>
      </w:r>
    </w:p>
    <w:p>
      <w:pPr>
        <w:spacing w:after="0" w:line="181" w:lineRule="exact"/>
        <w:rPr>
          <w:sz w:val="20"/>
          <w:szCs w:val="20"/>
          <w:color w:val="auto"/>
        </w:rPr>
      </w:pPr>
    </w:p>
    <w:p>
      <w:pPr>
        <w:ind w:left="100" w:firstLine="640"/>
        <w:spacing w:after="0" w:line="277" w:lineRule="auto"/>
        <w:rPr>
          <w:sz w:val="20"/>
          <w:szCs w:val="20"/>
          <w:color w:val="auto"/>
        </w:rPr>
      </w:pPr>
      <w:r>
        <w:rPr>
          <w:rFonts w:ascii="Times New Roman" w:cs="Times New Roman" w:eastAsia="Times New Roman" w:hAnsi="Times New Roman"/>
          <w:sz w:val="18"/>
          <w:szCs w:val="18"/>
          <w:color w:val="auto"/>
        </w:rPr>
        <w:t>Approval by the GC of any transaction does not constitute legal advice, nor is it a guarantee that a transaction will not be subject to challenge by third parties.</w:t>
      </w:r>
    </w:p>
    <w:p>
      <w:pPr>
        <w:spacing w:after="0" w:line="163" w:lineRule="exact"/>
        <w:rPr>
          <w:sz w:val="20"/>
          <w:szCs w:val="20"/>
          <w:color w:val="auto"/>
        </w:rPr>
      </w:pPr>
    </w:p>
    <w:p>
      <w:pPr>
        <w:ind w:left="1280" w:hanging="633"/>
        <w:spacing w:after="0"/>
        <w:tabs>
          <w:tab w:leader="none" w:pos="1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Pursuant to 10b5-1 Plans and Pre-Clearance of 10b5-1 Plans</w:t>
      </w:r>
    </w:p>
    <w:p>
      <w:pPr>
        <w:spacing w:after="0" w:line="247" w:lineRule="exact"/>
        <w:rPr>
          <w:sz w:val="20"/>
          <w:szCs w:val="20"/>
          <w:color w:val="auto"/>
        </w:rPr>
      </w:pPr>
    </w:p>
    <w:p>
      <w:pPr>
        <w:jc w:val="both"/>
        <w:ind w:left="100" w:firstLine="640"/>
        <w:spacing w:after="0" w:line="262" w:lineRule="auto"/>
        <w:rPr>
          <w:sz w:val="20"/>
          <w:szCs w:val="20"/>
          <w:color w:val="auto"/>
        </w:rPr>
      </w:pPr>
      <w:r>
        <w:rPr>
          <w:rFonts w:ascii="Times New Roman" w:cs="Times New Roman" w:eastAsia="Times New Roman" w:hAnsi="Times New Roman"/>
          <w:sz w:val="18"/>
          <w:szCs w:val="18"/>
          <w:color w:val="auto"/>
        </w:rPr>
        <w:t>Notwithstanding the trading preclearance requirement stated above (Section IV.A.), a Covered Person shall not be required to preclear a transaction in Company securities if such transaction is executed pursuant to a valid contract, instruction or plan that provides an affirmative defense (a 10b5-1 Plan) pursuant to Rule 10b5-1 under the 1934 Act and such transaction is lawful under any applicable state securities laws.</w:t>
      </w:r>
    </w:p>
    <w:p>
      <w:pPr>
        <w:spacing w:after="0" w:line="176" w:lineRule="exact"/>
        <w:rPr>
          <w:sz w:val="20"/>
          <w:szCs w:val="20"/>
          <w:color w:val="auto"/>
        </w:rPr>
      </w:pPr>
    </w:p>
    <w:p>
      <w:pPr>
        <w:jc w:val="both"/>
        <w:ind w:left="100" w:firstLine="640"/>
        <w:spacing w:after="0" w:line="265" w:lineRule="auto"/>
        <w:rPr>
          <w:sz w:val="20"/>
          <w:szCs w:val="20"/>
          <w:color w:val="auto"/>
        </w:rPr>
      </w:pPr>
      <w:r>
        <w:rPr>
          <w:rFonts w:ascii="Times New Roman" w:cs="Times New Roman" w:eastAsia="Times New Roman" w:hAnsi="Times New Roman"/>
          <w:sz w:val="17"/>
          <w:szCs w:val="17"/>
          <w:color w:val="auto"/>
        </w:rPr>
        <w:t xml:space="preserve">However, a 10b5-1 Plan cannot be entered into or adopted by a Covered Person when the Covered Person is in possession of material, non-public information related to the security, whether the issuer of such security is the Company or any other company. To provide assistance in preventing inadvertent violations of applicable securities laws and to avoid the appearance of impropriety in connection with the adoption of a 10b5-1 Plan, </w:t>
      </w:r>
      <w:r>
        <w:rPr>
          <w:rFonts w:ascii="Times New Roman" w:cs="Times New Roman" w:eastAsia="Times New Roman" w:hAnsi="Times New Roman"/>
          <w:sz w:val="17"/>
          <w:szCs w:val="17"/>
          <w:b w:val="1"/>
          <w:b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adoption of any 10b5-1 Plan providing for transactions in the securities of the Company (including without limitation, acquisitions and dispositions of Company common stock, the exercise of options and the sale of Company common stock issued upon exercise of options) must be precleared by the GC to confirm the absence of material non-public information at the time of such adoption. The GC will not otherwise pass upon the conformity of the 10b5-1 Plan or its execution to the requirements of Rule 10b5-1 or any applicable state law, which shall be solely the responsibility of the Covered Person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 addition, any proposed amendment to, alteration of or deviation from an established 10b5-1 Plan will be treated as the adoption of a new 10b5-1 Plan, which must be precleared by the GC</w:t>
      </w:r>
      <w:r>
        <w:rPr>
          <w:rFonts w:ascii="Times New Roman" w:cs="Times New Roman" w:eastAsia="Times New Roman" w:hAnsi="Times New Roman"/>
          <w:sz w:val="17"/>
          <w:szCs w:val="17"/>
          <w:color w:val="auto"/>
        </w:rPr>
        <w:t>. In connection with this preclearance, the Covered Person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provide the GC with a copy of the 10b5-1 Plan proposed to be entered into or adopted by the Covered Person, including the Covered Person’s representation certifying that, on the date of the adoption or modification of the plan: (i) the Covered Person is not aware of any material nonpublic information about the Company’s securities or the Company; and (ii) the Covered Person is adopting the plan in good faith and not as part of a plan or scheme to evade the prohibitions of Rule 10b-5 under the 1934 Act. </w:t>
      </w:r>
      <w:r>
        <w:rPr>
          <w:rFonts w:ascii="Times New Roman" w:cs="Times New Roman" w:eastAsia="Times New Roman" w:hAnsi="Times New Roman"/>
          <w:sz w:val="17"/>
          <w:szCs w:val="17"/>
          <w:b w:val="1"/>
          <w:bCs w:val="1"/>
          <w:color w:val="auto"/>
        </w:rPr>
        <w:t>If after consultation with the GC it is determined that the Company and/or such Covered Person is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possession of material, non-public information, the Covered Person may not enter into, amend, modify or adopt the 10b5-1 Plan at such time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left="100"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Additionally, no Covered Person may enter into or adopt a 10b5-1 Plan during the period beginning one week before the end of any fiscal quarter and ending one full trading day after the public release of earnings data for such fiscal quarter. A Covered Person may not have multiple Approved 10b5-1 Plans in place that cover the same period of time, except under certain conditions specified in Rule 10b5-1 or entered into prior to the adoption of this Policy. Such plans must also include a mandatory cooling-off period before trading can commence for Covered Persons that are directors or officers of the Company that expires on the later of (i) 90 days following such plan adoption or modification or (ii) two business days following the disclosure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SEC-filed reports of its financial results for the fiscal quarter in which the plan was adopted or modified (but not to exceed 120 days following plan adoption or modification). The plans must also include a mandatory cooling-off period before trading can commence of 30 days for persons other than the Company or officers and directors.</w:t>
      </w:r>
    </w:p>
    <w:p>
      <w:pPr>
        <w:sectPr>
          <w:pgSz w:w="11900" w:h="16838" w:orient="portrait"/>
          <w:cols w:equalWidth="0" w:num="1">
            <w:col w:w="11240"/>
          </w:cols>
          <w:pgMar w:left="320" w:top="575" w:right="339" w:bottom="1440" w:gutter="0" w:footer="0" w:header="0"/>
        </w:sectPr>
      </w:pPr>
    </w:p>
    <w:bookmarkStart w:id="79" w:name="page80"/>
    <w:bookmarkEnd w:id="79"/>
    <w:p>
      <w:pPr>
        <w:jc w:val="right"/>
        <w:ind w:right="2979"/>
        <w:spacing w:after="0"/>
        <w:rPr>
          <w:sz w:val="20"/>
          <w:szCs w:val="20"/>
          <w:color w:val="auto"/>
        </w:rPr>
      </w:pPr>
      <w:r>
        <w:rPr>
          <w:rFonts w:ascii="Times New Roman" w:cs="Times New Roman" w:eastAsia="Times New Roman" w:hAnsi="Times New Roman"/>
          <w:sz w:val="18"/>
          <w:szCs w:val="18"/>
          <w:u w:val="single" w:color="auto"/>
          <w:color w:val="auto"/>
        </w:rPr>
        <w:t>EXHIBIT 21 - LIST OF SUBSIDIARIES*</w:t>
      </w:r>
    </w:p>
    <w:p>
      <w:pPr>
        <w:spacing w:after="0" w:line="200" w:lineRule="exact"/>
        <w:rPr>
          <w:sz w:val="20"/>
          <w:szCs w:val="20"/>
          <w:color w:val="auto"/>
        </w:rPr>
      </w:pPr>
    </w:p>
    <w:p>
      <w:pPr>
        <w:spacing w:after="0" w:line="233" w:lineRule="exact"/>
        <w:rPr>
          <w:sz w:val="20"/>
          <w:szCs w:val="20"/>
          <w:color w:val="auto"/>
        </w:rPr>
      </w:pPr>
    </w:p>
    <w:p>
      <w:pPr>
        <w:ind w:left="320" w:hanging="313"/>
        <w:spacing w:after="0"/>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Bassett Furniture Industries of North Carolina, LLC (North Carolina limited liability company)</w:t>
      </w:r>
    </w:p>
    <w:p>
      <w:pPr>
        <w:spacing w:after="0" w:line="231" w:lineRule="exact"/>
        <w:rPr>
          <w:rFonts w:ascii="Times New Roman" w:cs="Times New Roman" w:eastAsia="Times New Roman" w:hAnsi="Times New Roman"/>
          <w:sz w:val="17"/>
          <w:szCs w:val="17"/>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 Malone Corporation (Delaware corporation)</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Stores, LLC (Virginia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NC, LLC (Virginia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SC, LLC (Virginia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LRG Furniture, LLC (Virginia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BFD-Atlanta, LLC (Virginia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 Boston, LLC (Virginia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BDU NY, LLC (Virginia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JMD Freight Lines, LLC (North Carolina limited liability company)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9473-8408 Quebec Inc.</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Inc.</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Australia Pty Ltd.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Singapore Pte Ltd.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UK Limited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JMD Tampa, LLC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subsidiaries are wholly-owned unless otherwise noted.</w:t>
      </w:r>
    </w:p>
    <w:p>
      <w:pPr>
        <w:sectPr>
          <w:pgSz w:w="11900" w:h="16838" w:orient="portrait"/>
          <w:cols w:equalWidth="0" w:num="1">
            <w:col w:w="10139"/>
          </w:cols>
          <w:pgMar w:left="320" w:top="334"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23A</w:t>
      </w:r>
    </w:p>
    <w:p>
      <w:pPr>
        <w:spacing w:after="0" w:line="200" w:lineRule="exact"/>
        <w:rPr>
          <w:sz w:val="20"/>
          <w:szCs w:val="20"/>
          <w:color w:val="auto"/>
        </w:rPr>
      </w:pP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0" w:lineRule="exact"/>
        <w:rPr>
          <w:sz w:val="20"/>
          <w:szCs w:val="20"/>
          <w:color w:val="auto"/>
        </w:rPr>
      </w:pPr>
    </w:p>
    <w:p>
      <w:pPr>
        <w:ind w:left="640" w:right="80" w:hanging="313"/>
        <w:spacing w:after="0" w:line="277"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333-217072) pertaining to the Bassett Furniture Industries, Incorporated 2017 Employee Stock Purchase Plan , and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333-254104) pertaining to the Bassett Furniture Industries, Incorporated 2021 Stock Incentive Plan</w:t>
      </w:r>
    </w:p>
    <w:p>
      <w:pPr>
        <w:spacing w:after="0" w:line="220"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of our reports dated February 10, 2025 with respect to the consolidated financial statements and schedule of Bassett Furniture Industries, Incorporated and Subsidiaries and the effectiveness of internal control over financial reporting of Bassett Furniture Industries, Incorporated and Subsidiaries included in this Annual Report (Form 10-K) of Bassett Furniture Industries, Incorporated and Subsidiaries for the year ended November 30, 2024.</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ectPr>
          <w:pgSz w:w="11900" w:h="16838" w:orient="portrait"/>
          <w:cols w:equalWidth="0" w:num="1">
            <w:col w:w="11240"/>
          </w:cols>
          <w:pgMar w:left="320" w:top="33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0" w:lineRule="exact"/>
        <w:rPr>
          <w:sz w:val="20"/>
          <w:szCs w:val="20"/>
          <w:color w:val="auto"/>
        </w:rPr>
      </w:pPr>
    </w:p>
    <w:p>
      <w:pPr>
        <w:ind w:left="400" w:hanging="313"/>
        <w:spacing w:after="0"/>
        <w:tabs>
          <w:tab w:leader="none" w:pos="4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Bassett Furniture Industries, Incorporated;</w:t>
      </w:r>
    </w:p>
    <w:p>
      <w:pPr>
        <w:spacing w:after="0" w:line="219" w:lineRule="exact"/>
        <w:rPr>
          <w:rFonts w:ascii="Times New Roman" w:cs="Times New Roman" w:eastAsia="Times New Roman" w:hAnsi="Times New Roman"/>
          <w:sz w:val="18"/>
          <w:szCs w:val="18"/>
          <w:color w:val="auto"/>
        </w:rPr>
      </w:pPr>
    </w:p>
    <w:p>
      <w:pPr>
        <w:jc w:val="both"/>
        <w:ind w:left="380" w:hanging="320"/>
        <w:spacing w:after="0" w:line="307" w:lineRule="auto"/>
        <w:tabs>
          <w:tab w:leader="none" w:pos="38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380" w:hanging="320"/>
        <w:spacing w:after="0" w:line="277" w:lineRule="auto"/>
        <w:tabs>
          <w:tab w:leader="none" w:pos="3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20"/>
        <w:spacing w:after="0" w:line="262" w:lineRule="auto"/>
        <w:tabs>
          <w:tab w:leader="none" w:pos="3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13709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3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0" w:lineRule="exact"/>
        <w:rPr>
          <w:sz w:val="20"/>
          <w:szCs w:val="20"/>
          <w:color w:val="auto"/>
        </w:rPr>
      </w:pPr>
    </w:p>
    <w:p>
      <w:pPr>
        <w:ind w:left="400" w:hanging="313"/>
        <w:spacing w:after="0"/>
        <w:tabs>
          <w:tab w:leader="none" w:pos="4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Bassett Furniture Industries, Incorporated;</w:t>
      </w:r>
    </w:p>
    <w:p>
      <w:pPr>
        <w:spacing w:after="0" w:line="219" w:lineRule="exact"/>
        <w:rPr>
          <w:rFonts w:ascii="Times New Roman" w:cs="Times New Roman" w:eastAsia="Times New Roman" w:hAnsi="Times New Roman"/>
          <w:sz w:val="18"/>
          <w:szCs w:val="18"/>
          <w:color w:val="auto"/>
        </w:rPr>
      </w:pPr>
    </w:p>
    <w:p>
      <w:pPr>
        <w:jc w:val="both"/>
        <w:ind w:left="380" w:hanging="320"/>
        <w:spacing w:after="0" w:line="307" w:lineRule="auto"/>
        <w:tabs>
          <w:tab w:leader="none" w:pos="3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380" w:hanging="320"/>
        <w:spacing w:after="0" w:line="277" w:lineRule="auto"/>
        <w:tabs>
          <w:tab w:leader="none" w:pos="3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20"/>
        <w:spacing w:after="0" w:line="262" w:lineRule="auto"/>
        <w:tabs>
          <w:tab w:leader="none" w:pos="3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/s/__J.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-8890</wp:posOffset>
            </wp:positionV>
            <wp:extent cx="13925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33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Bassett Furniture Industries, Incorporated (the “Company”) on Form 10-K for the period ended November 30, 2024,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60" w:hanging="313"/>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left="960" w:right="720" w:hanging="313"/>
        <w:spacing w:after="0" w:line="277"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/s/__Robert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-8890</wp:posOffset>
            </wp:positionV>
            <wp:extent cx="12077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33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Bassett Furniture Industries, Incorporated (the “Company”) on Form 10-K for the period ended November 30, 2024, as filed with the Securities and Exchange Commission on the date hereof (the “Report”), I, J. Michael Daniel, Senior Vice President and Chief Financial Officer of the Company, certify, pursuant to 18 U.S.C. ss.1350, as adopted pursuant to ss.906 of the Sarbanes-Oxley Act of 2002, that:</w:t>
      </w:r>
    </w:p>
    <w:p>
      <w:pPr>
        <w:spacing w:after="0" w:line="176" w:lineRule="exact"/>
        <w:rPr>
          <w:sz w:val="20"/>
          <w:szCs w:val="20"/>
          <w:color w:val="auto"/>
        </w:rPr>
      </w:pPr>
    </w:p>
    <w:p>
      <w:pPr>
        <w:ind w:left="400" w:hanging="327"/>
        <w:spacing w:after="0"/>
        <w:tabs>
          <w:tab w:leader="none" w:pos="4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left="380" w:hanging="320"/>
        <w:spacing w:after="0"/>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/s/_J.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-8890</wp:posOffset>
            </wp:positionV>
            <wp:extent cx="11385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2"/>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3"/>
    </w:lvl>
  </w:abstractNum>
  <w:abstractNum w:abstractNumId="20">
    <w:nsid w:val="70A64E2A"/>
    <w:multiLevelType w:val="hybridMultilevel"/>
    <w:lvl w:ilvl="0">
      <w:lvlJc w:val="left"/>
      <w:lvlText w:val="%1."/>
      <w:numFmt w:val="decimal"/>
      <w:start w:val="4"/>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lvl w:ilvl="1">
      <w:lvlJc w:val="left"/>
      <w:lvlText w:val="(%2)"/>
      <w:numFmt w:val="decimal"/>
      <w:start w:val="1"/>
    </w:lvl>
  </w:abstractNum>
  <w:abstractNum w:abstractNumId="30">
    <w:nsid w:val="6DE91B18"/>
    <w:multiLevelType w:val="hybridMultilevel"/>
    <w:lvl w:ilvl="0">
      <w:lvlJc w:val="left"/>
      <w:lvlText w:val="%1."/>
      <w:numFmt w:val="decimal"/>
      <w:start w:val="19"/>
    </w:lvl>
    <w:lvl w:ilvl="1">
      <w:lvlJc w:val="left"/>
      <w:lvlText w:val="%2"/>
      <w:numFmt w:val="decimal"/>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5"/>
    </w:lvl>
  </w:abstractNum>
  <w:abstractNum w:abstractNumId="34">
    <w:nsid w:val="684A481A"/>
    <w:multiLevelType w:val="hybridMultilevel"/>
    <w:lvl w:ilvl="0">
      <w:lvlJc w:val="left"/>
      <w:lvlText w:val="(%1)"/>
      <w:numFmt w:val="lowerLetter"/>
      <w:start w:val="1"/>
    </w:lvl>
    <w:lvl w:ilvl="1">
      <w:lvlJc w:val="left"/>
      <w:lvlText w:val="(%2)"/>
      <w:numFmt w:val="decimal"/>
      <w:start w:val="2"/>
    </w:lvl>
  </w:abstractNum>
  <w:abstractNum w:abstractNumId="35">
    <w:nsid w:val="579478FE"/>
    <w:multiLevelType w:val="hybridMultilevel"/>
    <w:lvl w:ilvl="0">
      <w:lvlJc w:val="left"/>
      <w:lvlText w:val="%1."/>
      <w:numFmt w:val="decimal"/>
      <w:start w:val="19"/>
    </w:lvl>
  </w:abstractNum>
  <w:abstractNum w:abstractNumId="36">
    <w:nsid w:val="749ABB43"/>
    <w:multiLevelType w:val="hybridMultilevel"/>
    <w:lvl w:ilvl="0">
      <w:lvlJc w:val="left"/>
      <w:lvlText w:val="%1."/>
      <w:numFmt w:val="decimal"/>
      <w:start w:val="21"/>
    </w:lvl>
  </w:abstractNum>
  <w:abstractNum w:abstractNumId="37">
    <w:nsid w:val="3DC240FB"/>
    <w:multiLevelType w:val="hybridMultilevel"/>
    <w:lvl w:ilvl="0">
      <w:lvlJc w:val="left"/>
      <w:lvlText w:val="%1."/>
      <w:numFmt w:val="decimal"/>
      <w:start w:val="97"/>
    </w:lvl>
  </w:abstractNum>
  <w:abstractNum w:abstractNumId="38">
    <w:nsid w:val="1BA026FA"/>
    <w:multiLevelType w:val="hybridMultilevel"/>
    <w:lvl w:ilvl="0">
      <w:lvlJc w:val="left"/>
      <w:lvlText w:val="*"/>
      <w:numFmt w:val="bullet"/>
      <w:start w:val="1"/>
    </w:lvl>
    <w:lvl w:ilvl="1">
      <w:lvlJc w:val="left"/>
      <w:lvlText w:val="%2"/>
      <w:numFmt w:val="decimal"/>
      <w:start w:val="104"/>
    </w:lvl>
  </w:abstractNum>
  <w:abstractNum w:abstractNumId="39">
    <w:nsid w:val="79A1DEAA"/>
    <w:multiLevelType w:val="hybridMultilevel"/>
    <w:lvl w:ilvl="0">
      <w:lvlJc w:val="left"/>
      <w:lvlText w:val="%1."/>
      <w:numFmt w:val="upperLetter"/>
      <w:start w:val="8"/>
    </w:lvl>
    <w:lvl w:ilvl="1">
      <w:lvlJc w:val="left"/>
      <w:lvlText w:val="●"/>
      <w:numFmt w:val="bullet"/>
      <w:start w:val="1"/>
    </w:lvl>
  </w:abstractNum>
  <w:abstractNum w:abstractNumId="40">
    <w:nsid w:val="75C6C33A"/>
    <w:multiLevelType w:val="hybridMultilevel"/>
    <w:lvl w:ilvl="0">
      <w:lvlJc w:val="left"/>
      <w:lvlText w:val="%1."/>
      <w:numFmt w:val="upperLetter"/>
      <w:start w:val="35"/>
    </w:lvl>
    <w:lvl w:ilvl="1">
      <w:lvlJc w:val="left"/>
      <w:lvlText w:val="%2"/>
      <w:numFmt w:val="upperLetter"/>
      <w:start w:val="1"/>
    </w:lvl>
  </w:abstractNum>
  <w:abstractNum w:abstractNumId="41">
    <w:nsid w:val="12E685FB"/>
    <w:multiLevelType w:val="hybridMultilevel"/>
    <w:lvl w:ilvl="0">
      <w:lvlJc w:val="left"/>
      <w:lvlText w:val="%1."/>
      <w:numFmt w:val="upperLetter"/>
      <w:start w:val="2"/>
    </w:lvl>
  </w:abstractNum>
  <w:abstractNum w:abstractNumId="42">
    <w:nsid w:val="70C6A529"/>
    <w:multiLevelType w:val="hybridMultilevel"/>
    <w:lvl w:ilvl="0">
      <w:lvlJc w:val="left"/>
      <w:lvlText w:val="%1."/>
      <w:numFmt w:val="upperLetter"/>
      <w:start w:val="6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upperLetter"/>
      <w:start w:val="1"/>
    </w:lvl>
  </w:abstractNum>
  <w:abstractNum w:abstractNumId="45">
    <w:nsid w:val="4F4EF005"/>
    <w:multiLevelType w:val="hybridMultilevel"/>
    <w:lvl w:ilvl="0">
      <w:lvlJc w:val="left"/>
      <w:lvlText w:val="%1."/>
      <w:numFmt w:val="upperLetter"/>
      <w:start w:val="2"/>
    </w:lvl>
  </w:abstractNum>
  <w:abstractNum w:abstractNumId="46">
    <w:nsid w:val="23F9C13C"/>
    <w:multiLevelType w:val="hybridMultilevel"/>
    <w:lvl w:ilvl="0">
      <w:lvlJc w:val="left"/>
      <w:lvlText w:val="%1."/>
      <w:numFmt w:val="upperLetter"/>
      <w:start w:val="3"/>
    </w:lvl>
  </w:abstractNum>
  <w:abstractNum w:abstractNumId="47">
    <w:nsid w:val="649BB77C"/>
    <w:multiLevelType w:val="hybridMultilevel"/>
    <w:lvl w:ilvl="0">
      <w:lvlJc w:val="left"/>
      <w:lvlText w:val="%1."/>
      <w:numFmt w:val="upperLetter"/>
      <w:start w:val="4"/>
    </w:lvl>
  </w:abstractNum>
  <w:abstractNum w:abstractNumId="48">
    <w:nsid w:val="275AC794"/>
    <w:multiLevelType w:val="hybridMultilevel"/>
    <w:lvl w:ilvl="0">
      <w:lvlJc w:val="left"/>
      <w:lvlText w:val="%1."/>
      <w:numFmt w:val="upperLetter"/>
      <w:start w:val="5"/>
    </w:lvl>
  </w:abstractNum>
  <w:abstractNum w:abstractNumId="49">
    <w:nsid w:val="39386575"/>
    <w:multiLevelType w:val="hybridMultilevel"/>
    <w:lvl w:ilvl="0">
      <w:lvlJc w:val="left"/>
      <w:lvlText w:val="%1."/>
      <w:numFmt w:val="upperLetter"/>
      <w:start w:val="6"/>
    </w:lvl>
  </w:abstractNum>
  <w:abstractNum w:abstractNumId="50">
    <w:nsid w:val="1CF10FD8"/>
    <w:multiLevelType w:val="hybridMultilevel"/>
    <w:lvl w:ilvl="0">
      <w:lvlJc w:val="left"/>
      <w:lvlText w:val="%1."/>
      <w:numFmt w:val="upperLetter"/>
      <w:start w:val="1"/>
    </w:lvl>
  </w:abstractNum>
  <w:abstractNum w:abstractNumId="51">
    <w:nsid w:val="180115BE"/>
    <w:multiLevelType w:val="hybridMultilevel"/>
    <w:lvl w:ilvl="0">
      <w:lvlJc w:val="left"/>
      <w:lvlText w:val="%1."/>
      <w:numFmt w:val="upperLetter"/>
      <w:start w:val="2"/>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55">
    <w:nsid w:val="15B5AF5C"/>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56">
    <w:nsid w:val="741226BB"/>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57">
    <w:nsid w:val="D34B6A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58">
    <w:nsid w:val="10233C99"/>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59">
    <w:nsid w:val="3F6AB60F"/>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
    </w:lvl>
    <w:lvl w:ilvl="1">
      <w:lvlJc w:val="left"/>
      <w:lvlText w:val="%2."/>
      <w:numFmt w:val="decimal"/>
      <w:start w:val="1"/>
    </w:lvl>
  </w:abstractNum>
  <w:abstractNum w:abstractNumId="62">
    <w:nsid w:val="77AE35E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3"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72" Type="http://schemas.openxmlformats.org/officeDocument/2006/relationships/hyperlink" Target="http://www.sec.gov/Archives/edgar/data/10329/000143774924001417/ex_615556.htm" TargetMode="External"/><Relationship Id="rId73" Type="http://schemas.openxmlformats.org/officeDocument/2006/relationships/hyperlink" Target="http://www.sec.gov/Archives/edgar/data/10329/000143774924022523/ex_695614.htm" TargetMode="External"/><Relationship Id="rId74" Type="http://schemas.openxmlformats.org/officeDocument/2006/relationships/hyperlink" Target="http://www.sec.gov/Archives/edgar/data/10329/000143774920001052/ex_169936.htm" TargetMode="External"/><Relationship Id="rId75" Type="http://schemas.openxmlformats.org/officeDocument/2006/relationships/hyperlink" Target="http://www.sec.gov/Archives/edgar/data/10329/000143774922002046/ex_330316.htm" TargetMode="External"/><Relationship Id="rId76" Type="http://schemas.openxmlformats.org/officeDocument/2006/relationships/hyperlink" Target="http://www.sec.gov/Archives/edgar/data/10329/0000950133-98-000652.txt" TargetMode="External"/><Relationship Id="rId77" Type="http://schemas.openxmlformats.org/officeDocument/2006/relationships/hyperlink" Target="http://www.sec.gov/Archives/edgar/data/10329/000143774921002240/bset20210204_def14a.htm" TargetMode="External"/><Relationship Id="rId78" Type="http://schemas.openxmlformats.org/officeDocument/2006/relationships/hyperlink" Target="http://www.sec.gov/Archives/edgar/data/10329/000143774922001938/ex_328353.htm" TargetMode="External"/><Relationship Id="rId79" Type="http://schemas.openxmlformats.org/officeDocument/2006/relationships/hyperlink" Target="http://www.sec.gov/Archives/edgar/data/10329/000143774922001938/ex_329216.htm" TargetMode="External"/><Relationship Id="rId80" Type="http://schemas.openxmlformats.org/officeDocument/2006/relationships/hyperlink" Target="http://www.sec.gov/Archives/edgar/data/10329/000143774914012291/ex10.htm" TargetMode="External"/><Relationship Id="rId81" Type="http://schemas.openxmlformats.org/officeDocument/2006/relationships/hyperlink" Target="http://www.sec.gov/Archives/edgar/data/10329/000143774917008160/ex10-1.htm" TargetMode="External"/><Relationship Id="rId82" Type="http://schemas.openxmlformats.org/officeDocument/2006/relationships/hyperlink" Target="http://www.sec.gov/Archives/edgar/data/10329/000143774917008160/ex10-2.htm" TargetMode="External"/><Relationship Id="rId84" Type="http://schemas.openxmlformats.org/officeDocument/2006/relationships/hyperlink" Target="http://www.sec.gov/Archives/edgar/data/10329/000143774922024299/ex_432882.htm" TargetMode="External"/><Relationship Id="rId85" Type="http://schemas.openxmlformats.org/officeDocument/2006/relationships/hyperlink" Target="http://www.sec.gov/Archives/edgar/data/10329/000143774924002203/ex_6186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2025-02-10T08:14:57Z</dcterms:created>
  <dcterms:modified xsi:type="dcterms:W3CDTF">2025-02-10T08:14:57Z</dcterms:modified>
</cp:coreProperties>
</file>