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1940" w:right="4199" w:hanging="884"/>
        <w:spacing w:after="0" w:line="238" w:lineRule="auto"/>
        <w:tabs>
          <w:tab w:leader="none" w:pos="14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72"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FOR THE QUARTERLY PERIOD ENDED MAY 31, 1997</w:t>
      </w:r>
    </w:p>
    <w:p>
      <w:pPr>
        <w:spacing w:after="0" w:line="171"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OR</w:t>
      </w:r>
    </w:p>
    <w:p>
      <w:pPr>
        <w:spacing w:after="0" w:line="345" w:lineRule="exact"/>
        <w:rPr>
          <w:sz w:val="24"/>
          <w:szCs w:val="24"/>
          <w:color w:val="auto"/>
        </w:rPr>
      </w:pPr>
    </w:p>
    <w:p>
      <w:pPr>
        <w:ind w:left="1940" w:right="4099" w:hanging="1062"/>
        <w:spacing w:after="0" w:line="238" w:lineRule="auto"/>
        <w:tabs>
          <w:tab w:leader="none" w:pos="114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ectPr>
          <w:pgSz w:w="11900" w:h="16838" w:orient="portrait"/>
          <w:cols w:equalWidth="0" w:num="1">
            <w:col w:w="10219"/>
          </w:cols>
          <w:pgMar w:left="240" w:top="230" w:right="1440" w:bottom="1440" w:gutter="0" w:footer="0" w:header="0"/>
        </w:sectPr>
      </w:pPr>
    </w:p>
    <w:p>
      <w:pPr>
        <w:spacing w:after="0" w:line="17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4"/>
          <w:szCs w:val="24"/>
          <w:color w:val="auto"/>
        </w:rPr>
      </w:pPr>
    </w:p>
    <w:p>
      <w:pPr>
        <w:sectPr>
          <w:pgSz w:w="11900" w:h="16838" w:orient="portrait"/>
          <w:cols w:equalWidth="0" w:num="2">
            <w:col w:w="4060" w:space="720"/>
            <w:col w:w="5439"/>
          </w:cols>
          <w:pgMar w:left="240" w:top="230"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2">
            <w:col w:w="4700" w:space="340"/>
            <w:col w:w="5179"/>
          </w:cols>
          <w:pgMar w:left="240" w:top="230"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Commission File No. 0-209</w:t>
      </w:r>
    </w:p>
    <w:p>
      <w:pPr>
        <w:sectPr>
          <w:pgSz w:w="11900" w:h="16838" w:orient="portrait"/>
          <w:cols w:equalWidth="0" w:num="1">
            <w:col w:w="10219"/>
          </w:cols>
          <w:pgMar w:left="240" w:top="230" w:right="1440" w:bottom="1440" w:gutter="0" w:footer="0" w:header="0"/>
          <w:type w:val="continuous"/>
        </w:sectPr>
      </w:pPr>
    </w:p>
    <w:p>
      <w:pPr>
        <w:spacing w:after="0" w:line="35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230" w:right="1440" w:bottom="1440" w:gutter="0" w:footer="0" w:header="0"/>
          <w:type w:val="continuous"/>
        </w:sectPr>
      </w:pPr>
    </w:p>
    <w:p>
      <w:pPr>
        <w:spacing w:after="0" w:line="180"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Virginia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(State or other jurisdiction</w:t>
      </w:r>
    </w:p>
    <w:p>
      <w:pPr>
        <w:spacing w:after="0" w:line="1"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54-0135270</w:t>
      </w:r>
    </w:p>
    <w:p>
      <w:pPr>
        <w:spacing w:after="0" w:line="1"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8" w:lineRule="exact"/>
        <w:rPr>
          <w:sz w:val="24"/>
          <w:szCs w:val="24"/>
          <w:color w:val="auto"/>
        </w:rPr>
      </w:pPr>
    </w:p>
    <w:p>
      <w:pPr>
        <w:sectPr>
          <w:pgSz w:w="11900" w:h="16838" w:orient="portrait"/>
          <w:cols w:equalWidth="0" w:num="2">
            <w:col w:w="4060" w:space="720"/>
            <w:col w:w="5439"/>
          </w:cols>
          <w:pgMar w:left="240" w:top="230" w:right="1440" w:bottom="1440" w:gutter="0" w:footer="0" w:header="0"/>
          <w:type w:val="continuous"/>
        </w:sectPr>
      </w:pPr>
    </w:p>
    <w:p>
      <w:pPr>
        <w:spacing w:after="0" w:line="142" w:lineRule="exact"/>
        <w:rPr>
          <w:sz w:val="24"/>
          <w:szCs w:val="24"/>
          <w:color w:val="auto"/>
        </w:rPr>
      </w:pPr>
    </w:p>
    <w:p>
      <w:pPr>
        <w:ind w:left="2480"/>
        <w:spacing w:after="0"/>
        <w:tabs>
          <w:tab w:leader="none" w:pos="4240" w:val="left"/>
        </w:tabs>
        <w:rPr>
          <w:sz w:val="20"/>
          <w:szCs w:val="20"/>
          <w:color w:val="auto"/>
        </w:rPr>
      </w:pPr>
      <w:r>
        <w:rPr>
          <w:rFonts w:ascii="Courier New" w:cs="Courier New" w:eastAsia="Courier New" w:hAnsi="Courier New"/>
          <w:sz w:val="15"/>
          <w:szCs w:val="15"/>
          <w:color w:val="auto"/>
        </w:rPr>
        <w:t>Bassett, Virginia</w:t>
      </w:r>
      <w:r>
        <w:rPr>
          <w:sz w:val="20"/>
          <w:szCs w:val="20"/>
          <w:color w:val="auto"/>
        </w:rPr>
        <w:tab/>
      </w:r>
      <w:r>
        <w:rPr>
          <w:rFonts w:ascii="Courier New" w:cs="Courier New" w:eastAsia="Courier New" w:hAnsi="Courier New"/>
          <w:sz w:val="14"/>
          <w:szCs w:val="14"/>
          <w:color w:val="auto"/>
        </w:rPr>
        <w:t>24055</w:t>
      </w:r>
    </w:p>
    <w:p>
      <w:pPr>
        <w:spacing w:after="0" w:line="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7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9"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(Zip Code)</w:t>
      </w:r>
    </w:p>
    <w:p>
      <w:pPr>
        <w:sectPr>
          <w:pgSz w:w="11900" w:h="16838" w:orient="portrait"/>
          <w:cols w:equalWidth="0" w:num="1">
            <w:col w:w="10219"/>
          </w:cols>
          <w:pgMar w:left="240" w:top="230" w:right="1440" w:bottom="1440" w:gutter="0" w:footer="0" w:header="0"/>
          <w:type w:val="continuous"/>
        </w:sectPr>
      </w:pPr>
    </w:p>
    <w:p>
      <w:pPr>
        <w:spacing w:after="0" w:line="342"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(540) 629-6000</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be filed by Section 13 or 15(d) of the Securities Exchange Act of</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1934 during the preceding 12 months, and (2) has been subject to such filing</w:t>
      </w:r>
    </w:p>
    <w:p>
      <w:pPr>
        <w:spacing w:after="0" w:line="9" w:lineRule="exact"/>
        <w:rPr>
          <w:sz w:val="24"/>
          <w:szCs w:val="24"/>
          <w:color w:val="auto"/>
        </w:rPr>
      </w:pPr>
    </w:p>
    <w:p>
      <w:pPr>
        <w:spacing w:after="0"/>
        <w:tabs>
          <w:tab w:leader="none" w:pos="3160" w:val="left"/>
          <w:tab w:leader="none" w:pos="3600" w:val="left"/>
          <w:tab w:leader="none" w:pos="4060" w:val="left"/>
        </w:tabs>
        <w:rPr>
          <w:sz w:val="20"/>
          <w:szCs w:val="20"/>
          <w:color w:val="auto"/>
        </w:rPr>
      </w:pPr>
      <w:r>
        <w:rPr>
          <w:rFonts w:ascii="Courier New" w:cs="Courier New" w:eastAsia="Courier New" w:hAnsi="Courier New"/>
          <w:sz w:val="15"/>
          <w:szCs w:val="15"/>
          <w:color w:val="auto"/>
        </w:rPr>
        <w:t>requirements for the past 90 days.</w:t>
        <w:tab/>
        <w:t>Yes</w:t>
        <w:tab/>
        <w:t>X</w:t>
      </w:r>
      <w:r>
        <w:rPr>
          <w:sz w:val="20"/>
          <w:szCs w:val="20"/>
          <w:color w:val="auto"/>
        </w:rPr>
        <w:tab/>
      </w:r>
      <w:r>
        <w:rPr>
          <w:rFonts w:ascii="Courier New" w:cs="Courier New" w:eastAsia="Courier New" w:hAnsi="Courier New"/>
          <w:sz w:val="15"/>
          <w:szCs w:val="15"/>
          <w:color w:val="auto"/>
        </w:rPr>
        <w:t>No</w:t>
      </w:r>
    </w:p>
    <w:p>
      <w:pPr>
        <w:spacing w:after="0" w:line="1" w:lineRule="exact"/>
        <w:rPr>
          <w:sz w:val="24"/>
          <w:szCs w:val="24"/>
          <w:color w:val="auto"/>
        </w:rPr>
      </w:pPr>
    </w:p>
    <w:p>
      <w:pPr>
        <w:ind w:left="3460"/>
        <w:spacing w:after="0"/>
        <w:tabs>
          <w:tab w:leader="none" w:pos="4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30" w:right="1440" w:bottom="1440" w:gutter="0" w:footer="0" w:header="0"/>
          <w:type w:val="continuous"/>
        </w:sectPr>
      </w:pPr>
    </w:p>
    <w:p>
      <w:pPr>
        <w:spacing w:after="0" w:line="174" w:lineRule="exact"/>
        <w:rPr>
          <w:sz w:val="24"/>
          <w:szCs w:val="24"/>
          <w:color w:val="auto"/>
        </w:rPr>
      </w:pPr>
    </w:p>
    <w:p>
      <w:pPr>
        <w:spacing w:after="0" w:line="238" w:lineRule="auto"/>
        <w:rPr>
          <w:sz w:val="20"/>
          <w:szCs w:val="20"/>
          <w:color w:val="auto"/>
        </w:rPr>
      </w:pPr>
      <w:r>
        <w:rPr>
          <w:rFonts w:ascii="Courier New" w:cs="Courier New" w:eastAsia="Courier New" w:hAnsi="Courier New"/>
          <w:sz w:val="15"/>
          <w:szCs w:val="15"/>
          <w:color w:val="auto"/>
        </w:rPr>
        <w:t>At May 31, 1997, 13,017,883 outstanding.</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shares of common stock of the Registrant were</w:t>
      </w:r>
    </w:p>
    <w:p>
      <w:pPr>
        <w:spacing w:after="0" w:line="378" w:lineRule="exact"/>
        <w:rPr>
          <w:sz w:val="24"/>
          <w:szCs w:val="24"/>
          <w:color w:val="auto"/>
        </w:rPr>
      </w:pPr>
    </w:p>
    <w:p>
      <w:pPr>
        <w:sectPr>
          <w:pgSz w:w="11900" w:h="16838" w:orient="portrait"/>
          <w:cols w:equalWidth="0" w:num="2">
            <w:col w:w="2380" w:space="180"/>
            <w:col w:w="7659"/>
          </w:cols>
          <w:pgMar w:left="240" w:top="230" w:right="1440" w:bottom="1440" w:gutter="0" w:footer="0" w:header="0"/>
          <w:type w:val="continuous"/>
        </w:sectPr>
      </w:pPr>
    </w:p>
    <w:p>
      <w:pPr>
        <w:spacing w:after="0" w:line="200" w:lineRule="exact"/>
        <w:rPr>
          <w:sz w:val="24"/>
          <w:szCs w:val="24"/>
          <w:color w:val="auto"/>
        </w:rPr>
      </w:pPr>
    </w:p>
    <w:p>
      <w:pPr>
        <w:spacing w:after="0" w:line="287" w:lineRule="exact"/>
        <w:rPr>
          <w:sz w:val="24"/>
          <w:szCs w:val="24"/>
          <w:color w:val="auto"/>
        </w:rPr>
      </w:pPr>
    </w:p>
    <w:p>
      <w:pPr>
        <w:ind w:left="2920"/>
        <w:spacing w:after="0"/>
        <w:rPr>
          <w:sz w:val="20"/>
          <w:szCs w:val="20"/>
          <w:color w:val="auto"/>
        </w:rPr>
      </w:pPr>
      <w:r>
        <w:rPr>
          <w:rFonts w:ascii="Courier New" w:cs="Courier New" w:eastAsia="Courier New" w:hAnsi="Courier New"/>
          <w:sz w:val="14"/>
          <w:szCs w:val="14"/>
          <w:color w:val="auto"/>
        </w:rPr>
        <w:t>Page 1 of 9</w:t>
      </w:r>
    </w:p>
    <w:p>
      <w:pPr>
        <w:sectPr>
          <w:pgSz w:w="11900" w:h="16838" w:orient="portrait"/>
          <w:cols w:equalWidth="0" w:num="1">
            <w:col w:w="10219"/>
          </w:cols>
          <w:pgMar w:left="24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CONDENSED CONSOLIDATED STATEMENT OF INCOME AND RETAINED EARNINGS - UNAUDITED</w:t>
            </w:r>
          </w:p>
        </w:tc>
        <w:tc>
          <w:tcPr>
            <w:tcW w:w="1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3"/>
        </w:trPr>
        <w:tc>
          <w:tcPr>
            <w:tcW w:w="4660" w:type="dxa"/>
            <w:vAlign w:val="bottom"/>
          </w:tcPr>
          <w:p>
            <w:pPr>
              <w:spacing w:after="0"/>
              <w:rPr>
                <w:sz w:val="24"/>
                <w:szCs w:val="24"/>
                <w:color w:val="auto"/>
              </w:rPr>
            </w:pPr>
          </w:p>
        </w:tc>
        <w:tc>
          <w:tcPr>
            <w:tcW w:w="36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SIX MONTHS ENDED MAY 31,</w:t>
            </w:r>
          </w:p>
        </w:tc>
        <w:tc>
          <w:tcPr>
            <w:tcW w:w="308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4660" w:type="dxa"/>
            <w:vAlign w:val="bottom"/>
          </w:tcPr>
          <w:p>
            <w:pPr>
              <w:spacing w:after="0"/>
              <w:rPr>
                <w:sz w:val="14"/>
                <w:szCs w:val="14"/>
                <w:color w:val="auto"/>
              </w:rPr>
            </w:pPr>
          </w:p>
        </w:tc>
        <w:tc>
          <w:tcPr>
            <w:tcW w:w="36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$223,004,435</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$223,224,174</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$113,198,157</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$111,273,154</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Cost of sales</w:t>
            </w: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192,930,860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187,741,206</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101,358,067</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93,558,086</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41,478,856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31,323,263</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25,630,285</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15,836,130</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Non-recurring charges</w:t>
            </w: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13,929,000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13,929,000</w:t>
            </w:r>
          </w:p>
        </w:tc>
        <w:tc>
          <w:tcPr>
            <w:tcW w:w="1300" w:type="dxa"/>
            <w:vAlign w:val="bottom"/>
          </w:tcPr>
          <w:p>
            <w:pPr>
              <w:ind w:left="660"/>
              <w:spacing w:after="0"/>
              <w:rPr>
                <w:sz w:val="20"/>
                <w:szCs w:val="20"/>
                <w:color w:val="auto"/>
              </w:rPr>
            </w:pPr>
            <w:r>
              <w:rPr>
                <w:rFonts w:ascii="Courier New" w:cs="Courier New" w:eastAsia="Courier New" w:hAnsi="Courier New"/>
                <w:sz w:val="15"/>
                <w:szCs w:val="15"/>
                <w:color w:val="auto"/>
              </w:rPr>
              <w:t>-0-</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248,338,716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219,064,469</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140,917,352</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109,394,216</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tcPr>
          <w:p>
            <w:pPr>
              <w:ind w:left="780"/>
              <w:spacing w:after="0"/>
              <w:rPr>
                <w:sz w:val="20"/>
                <w:szCs w:val="20"/>
                <w:color w:val="auto"/>
              </w:rPr>
            </w:pPr>
            <w:r>
              <w:rPr>
                <w:rFonts w:ascii="Courier New" w:cs="Courier New" w:eastAsia="Courier New" w:hAnsi="Courier New"/>
                <w:sz w:val="15"/>
                <w:szCs w:val="15"/>
                <w:color w:val="auto"/>
              </w:rPr>
              <w:t>(Loss) income from operations</w:t>
            </w:r>
          </w:p>
        </w:tc>
        <w:tc>
          <w:tcPr>
            <w:tcW w:w="2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(25,334,281)</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4,159,705</w:t>
            </w:r>
          </w:p>
        </w:tc>
        <w:tc>
          <w:tcPr>
            <w:tcW w:w="1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(27,719,195)</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1,878,938</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5,441,365</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8,321,465</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3,362,814</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4,278,271</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tcPr>
          <w:p>
            <w:pPr>
              <w:ind w:left="780"/>
              <w:spacing w:after="0"/>
              <w:rPr>
                <w:sz w:val="20"/>
                <w:szCs w:val="20"/>
                <w:color w:val="auto"/>
              </w:rPr>
            </w:pPr>
            <w:r>
              <w:rPr>
                <w:rFonts w:ascii="Courier New" w:cs="Courier New" w:eastAsia="Courier New" w:hAnsi="Courier New"/>
                <w:sz w:val="15"/>
                <w:szCs w:val="15"/>
                <w:color w:val="auto"/>
              </w:rPr>
              <w:t>(Loss) income before income taxes</w:t>
            </w:r>
          </w:p>
        </w:tc>
        <w:tc>
          <w:tcPr>
            <w:tcW w:w="2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(19,892,916)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12,481,170</w:t>
            </w:r>
          </w:p>
        </w:tc>
        <w:tc>
          <w:tcPr>
            <w:tcW w:w="1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(24,356,381)</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6,157,209</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9,301,000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(2,775,000)</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10,331,000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(1,165,000)</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tcPr>
          <w:p>
            <w:pPr>
              <w:ind w:left="2300"/>
              <w:spacing w:after="0"/>
              <w:rPr>
                <w:sz w:val="20"/>
                <w:szCs w:val="20"/>
                <w:color w:val="auto"/>
              </w:rPr>
            </w:pPr>
            <w:r>
              <w:rPr>
                <w:rFonts w:ascii="Courier New" w:cs="Courier New" w:eastAsia="Courier New" w:hAnsi="Courier New"/>
                <w:sz w:val="15"/>
                <w:szCs w:val="15"/>
                <w:color w:val="auto"/>
              </w:rPr>
              <w:t>NET (LOSS) INCOME</w:t>
            </w:r>
          </w:p>
        </w:tc>
        <w:tc>
          <w:tcPr>
            <w:tcW w:w="2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(10,591,916)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9,706,170</w:t>
            </w:r>
          </w:p>
        </w:tc>
        <w:tc>
          <w:tcPr>
            <w:tcW w:w="1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(14,025,381)</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4,992,209</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Retained earnings - beginning of period</w:t>
            </w: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222,417,127</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225,718,704</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220,620,354</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226,287,719</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211,825,211</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235,424,874</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206,594,973</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231,279,928</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Cash dividends</w:t>
            </w:r>
          </w:p>
        </w:tc>
        <w:tc>
          <w:tcPr>
            <w:tcW w:w="2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(7,833,815)</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(5,394,558)</w:t>
            </w:r>
          </w:p>
        </w:tc>
        <w:tc>
          <w:tcPr>
            <w:tcW w:w="1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(2,603,577)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(2,678,008)</w:t>
            </w:r>
          </w:p>
        </w:tc>
      </w:tr>
      <w:tr>
        <w:trPr>
          <w:trHeight w:val="171"/>
        </w:trPr>
        <w:tc>
          <w:tcPr>
            <w:tcW w:w="4660" w:type="dxa"/>
            <w:vAlign w:val="bottom"/>
          </w:tcPr>
          <w:p>
            <w:pPr>
              <w:ind w:left="340"/>
              <w:spacing w:after="0"/>
              <w:rPr>
                <w:sz w:val="20"/>
                <w:szCs w:val="20"/>
                <w:color w:val="auto"/>
              </w:rPr>
            </w:pPr>
            <w:r>
              <w:rPr>
                <w:rFonts w:ascii="Courier New" w:cs="Courier New" w:eastAsia="Courier New" w:hAnsi="Courier New"/>
                <w:sz w:val="15"/>
                <w:szCs w:val="15"/>
                <w:color w:val="auto"/>
              </w:rPr>
              <w:t>Purchase and retirement of common stock</w:t>
            </w:r>
          </w:p>
        </w:tc>
        <w:tc>
          <w:tcPr>
            <w:tcW w:w="2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(1,005,959)</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(6,357,974)</w:t>
            </w:r>
          </w:p>
        </w:tc>
        <w:tc>
          <w:tcPr>
            <w:tcW w:w="17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(1,005,959)</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(4,929,578)</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Retained earnings - end of period</w:t>
            </w: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$202,985,437</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$223,672,342</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$202,985,437</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$223,672,342</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4660" w:type="dxa"/>
            <w:vAlign w:val="bottom"/>
          </w:tcPr>
          <w:p>
            <w:pPr>
              <w:ind w:left="780"/>
              <w:spacing w:after="0"/>
              <w:rPr>
                <w:sz w:val="20"/>
                <w:szCs w:val="20"/>
                <w:color w:val="auto"/>
              </w:rPr>
            </w:pPr>
            <w:r>
              <w:rPr>
                <w:rFonts w:ascii="Courier New" w:cs="Courier New" w:eastAsia="Courier New" w:hAnsi="Courier New"/>
                <w:sz w:val="15"/>
                <w:szCs w:val="15"/>
                <w:color w:val="auto"/>
              </w:rPr>
              <w:t>NET (LOSS) INCOME PER SHARE</w:t>
            </w:r>
          </w:p>
        </w:tc>
        <w:tc>
          <w:tcPr>
            <w:tcW w:w="2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(.81)</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.72</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 (1.07)</w:t>
            </w:r>
          </w:p>
        </w:tc>
        <w:tc>
          <w:tcPr>
            <w:tcW w:w="1300" w:type="dxa"/>
            <w:vAlign w:val="bottom"/>
          </w:tcPr>
          <w:p>
            <w:pPr>
              <w:ind w:left="660"/>
              <w:spacing w:after="0"/>
              <w:rPr>
                <w:sz w:val="20"/>
                <w:szCs w:val="20"/>
                <w:color w:val="auto"/>
              </w:rPr>
            </w:pPr>
            <w:r>
              <w:rPr>
                <w:rFonts w:ascii="Courier New" w:cs="Courier New" w:eastAsia="Courier New" w:hAnsi="Courier New"/>
                <w:sz w:val="15"/>
                <w:szCs w:val="15"/>
                <w:color w:val="auto"/>
              </w:rPr>
              <w:t>$ .37</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tcPr>
          <w:p>
            <w:pPr>
              <w:ind w:left="780"/>
              <w:spacing w:after="0"/>
              <w:rPr>
                <w:sz w:val="20"/>
                <w:szCs w:val="20"/>
                <w:color w:val="auto"/>
              </w:rPr>
            </w:pPr>
            <w:r>
              <w:rPr>
                <w:rFonts w:ascii="Courier New" w:cs="Courier New" w:eastAsia="Courier New" w:hAnsi="Courier New"/>
                <w:sz w:val="15"/>
                <w:szCs w:val="15"/>
                <w:color w:val="auto"/>
              </w:rPr>
              <w:t>DIVIDENDS PER SHARE</w:t>
            </w: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.60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.40</w:t>
            </w:r>
          </w:p>
        </w:tc>
        <w:tc>
          <w:tcPr>
            <w:tcW w:w="17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.20</w:t>
            </w:r>
          </w:p>
        </w:tc>
        <w:tc>
          <w:tcPr>
            <w:tcW w:w="1300" w:type="dxa"/>
            <w:vAlign w:val="bottom"/>
          </w:tcPr>
          <w:p>
            <w:pPr>
              <w:ind w:left="660"/>
              <w:spacing w:after="0"/>
              <w:rPr>
                <w:sz w:val="20"/>
                <w:szCs w:val="20"/>
                <w:color w:val="auto"/>
              </w:rPr>
            </w:pPr>
            <w:r>
              <w:rPr>
                <w:rFonts w:ascii="Courier New" w:cs="Courier New" w:eastAsia="Courier New" w:hAnsi="Courier New"/>
                <w:sz w:val="15"/>
                <w:szCs w:val="15"/>
                <w:color w:val="auto"/>
              </w:rPr>
              <w:t>$ .20</w:t>
            </w:r>
          </w:p>
        </w:tc>
      </w:tr>
      <w:tr>
        <w:trPr>
          <w:trHeight w:val="171"/>
        </w:trPr>
        <w:tc>
          <w:tcPr>
            <w:tcW w:w="4660" w:type="dxa"/>
            <w:vAlign w:val="bottom"/>
          </w:tcPr>
          <w:p>
            <w:pPr>
              <w:spacing w:after="0"/>
              <w:rPr>
                <w:sz w:val="14"/>
                <w:szCs w:val="14"/>
                <w:color w:val="auto"/>
              </w:rPr>
            </w:pPr>
          </w:p>
        </w:tc>
        <w:tc>
          <w:tcPr>
            <w:tcW w:w="23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4900"/>
        <w:spacing w:after="0" w:line="238" w:lineRule="auto"/>
        <w:rPr>
          <w:sz w:val="20"/>
          <w:szCs w:val="20"/>
          <w:color w:val="auto"/>
        </w:rPr>
      </w:pPr>
      <w:r>
        <w:rPr>
          <w:rFonts w:ascii="Courier New" w:cs="Courier New" w:eastAsia="Courier New" w:hAnsi="Courier New"/>
          <w:sz w:val="15"/>
          <w:szCs w:val="15"/>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Page 2 of 9</w:t>
      </w:r>
    </w:p>
    <w:p>
      <w:pPr>
        <w:sectPr>
          <w:pgSz w:w="11900" w:h="16838" w:orient="portrait"/>
          <w:cols w:equalWidth="0" w:num="1">
            <w:col w:w="11360"/>
          </w:cols>
          <w:pgMar w:left="240" w:top="287" w:right="29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ind w:left="1420"/>
              <w:spacing w:after="0"/>
              <w:rPr>
                <w:sz w:val="20"/>
                <w:szCs w:val="20"/>
                <w:color w:val="auto"/>
              </w:rPr>
            </w:pPr>
            <w:r>
              <w:rPr>
                <w:rFonts w:ascii="Courier New" w:cs="Courier New" w:eastAsia="Courier New" w:hAnsi="Courier New"/>
                <w:sz w:val="15"/>
                <w:szCs w:val="15"/>
                <w:color w:val="auto"/>
              </w:rPr>
              <w:t>CONDENSED CONSOLIDATED BALANCE SHEET - UNAUDITED</w:t>
            </w:r>
          </w:p>
        </w:tc>
        <w:tc>
          <w:tcPr>
            <w:tcW w:w="2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683"/>
        </w:trPr>
        <w:tc>
          <w:tcPr>
            <w:tcW w:w="6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MAY 31, 1997</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NOVEMBER 30, 1996</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$ 51,620,077</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$ 57,285,005</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Trade accounts receivable, less allowances</w:t>
            </w:r>
          </w:p>
        </w:tc>
        <w:tc>
          <w:tcPr>
            <w:tcW w:w="2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6560" w:type="dxa"/>
            <w:vAlign w:val="bottom"/>
          </w:tcPr>
          <w:p>
            <w:pPr>
              <w:ind w:left="700"/>
              <w:spacing w:after="0"/>
              <w:rPr>
                <w:sz w:val="20"/>
                <w:szCs w:val="20"/>
                <w:color w:val="auto"/>
              </w:rPr>
            </w:pPr>
            <w:r>
              <w:rPr>
                <w:rFonts w:ascii="Courier New" w:cs="Courier New" w:eastAsia="Courier New" w:hAnsi="Courier New"/>
                <w:sz w:val="15"/>
                <w:szCs w:val="15"/>
                <w:color w:val="auto"/>
              </w:rPr>
              <w:t>for doubtful accounts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56,178,497</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65,416,910</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2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6560" w:type="dxa"/>
            <w:vAlign w:val="bottom"/>
          </w:tcPr>
          <w:p>
            <w:pPr>
              <w:ind w:left="700"/>
              <w:spacing w:after="0"/>
              <w:rPr>
                <w:sz w:val="20"/>
                <w:szCs w:val="20"/>
                <w:color w:val="auto"/>
              </w:rPr>
            </w:pPr>
            <w:r>
              <w:rPr>
                <w:rFonts w:ascii="Courier New" w:cs="Courier New" w:eastAsia="Courier New" w:hAnsi="Courier New"/>
                <w:sz w:val="15"/>
                <w:szCs w:val="15"/>
                <w:color w:val="auto"/>
              </w:rPr>
              <w:t>Finished goods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37,297,060</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42,593,966</w:t>
            </w:r>
          </w:p>
        </w:tc>
      </w:tr>
      <w:tr>
        <w:trPr>
          <w:trHeight w:val="171"/>
        </w:trPr>
        <w:tc>
          <w:tcPr>
            <w:tcW w:w="6560" w:type="dxa"/>
            <w:vAlign w:val="bottom"/>
          </w:tcPr>
          <w:p>
            <w:pPr>
              <w:ind w:left="700"/>
              <w:spacing w:after="0"/>
              <w:rPr>
                <w:sz w:val="20"/>
                <w:szCs w:val="20"/>
                <w:color w:val="auto"/>
              </w:rPr>
            </w:pPr>
            <w:r>
              <w:rPr>
                <w:rFonts w:ascii="Courier New" w:cs="Courier New" w:eastAsia="Courier New" w:hAnsi="Courier New"/>
                <w:sz w:val="15"/>
                <w:szCs w:val="15"/>
                <w:color w:val="auto"/>
              </w:rPr>
              <w:t>Work in process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11,505,725</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14,008,754</w:t>
            </w:r>
          </w:p>
        </w:tc>
      </w:tr>
      <w:tr>
        <w:trPr>
          <w:trHeight w:val="171"/>
        </w:trPr>
        <w:tc>
          <w:tcPr>
            <w:tcW w:w="6560" w:type="dxa"/>
            <w:vAlign w:val="bottom"/>
          </w:tcPr>
          <w:p>
            <w:pPr>
              <w:ind w:left="700"/>
              <w:spacing w:after="0"/>
              <w:rPr>
                <w:sz w:val="20"/>
                <w:szCs w:val="20"/>
                <w:color w:val="auto"/>
              </w:rPr>
            </w:pPr>
            <w:r>
              <w:rPr>
                <w:rFonts w:ascii="Courier New" w:cs="Courier New" w:eastAsia="Courier New" w:hAnsi="Courier New"/>
                <w:sz w:val="15"/>
                <w:szCs w:val="15"/>
                <w:color w:val="auto"/>
              </w:rPr>
              <w:t>Raw materials and supplies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34,353,182</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38,275,770</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83,155,967</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94,878,490</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Less LIFO adjustment</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23,766,000</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27,796,000</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59,389,967</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67,082,490</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564,803</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1,492,506</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Prepaid income taxes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638,217</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844,737</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9,718,000</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2,597,000</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178,109,561</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194,718,648</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Cost</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173,118,683</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218,528,425</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Less allowances for depreciation</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128,712,816</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162,149,761</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44,405,867</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56,378,664</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Investment in securities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31,280,504</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29,625,435</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Investment in affiliated companies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48,030,731</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45,820,750</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Assets to be disposed of</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5,311,477</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9,464,320</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8,621,947</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94,087,032</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84,068,132</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$316,602,460</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$335,165,444</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$ 16,598,225</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$ 20,541,014</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Accrued compensation</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4,939,056</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3,716,206</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Other accrued liabilities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10,951,820</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6,088,381</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32,489,101</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30,345,601</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23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Deferred liabilities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10,891,507</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10,834,741</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153,000</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2,504,000</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11,044,507</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13,338,741</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65,089,415</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65,377,975</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202,985,437</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222,417,127</w:t>
            </w:r>
          </w:p>
        </w:tc>
      </w:tr>
      <w:tr>
        <w:trPr>
          <w:trHeight w:val="171"/>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Unrealized holding gains, net of tax</w:t>
            </w: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4,994,000</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3,686,000</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273,068,852</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291,481,102</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$316,602,460</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$335,165,444</w:t>
            </w:r>
          </w:p>
        </w:tc>
      </w:tr>
      <w:tr>
        <w:trPr>
          <w:trHeight w:val="171"/>
        </w:trPr>
        <w:tc>
          <w:tcPr>
            <w:tcW w:w="6560" w:type="dxa"/>
            <w:vAlign w:val="bottom"/>
          </w:tcPr>
          <w:p>
            <w:pPr>
              <w:spacing w:after="0"/>
              <w:rPr>
                <w:sz w:val="14"/>
                <w:szCs w:val="14"/>
                <w:color w:val="auto"/>
              </w:rPr>
            </w:pPr>
          </w:p>
        </w:tc>
        <w:tc>
          <w:tcPr>
            <w:tcW w:w="23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4620"/>
        <w:spacing w:after="0" w:line="238" w:lineRule="auto"/>
        <w:rPr>
          <w:sz w:val="20"/>
          <w:szCs w:val="20"/>
          <w:color w:val="auto"/>
        </w:rPr>
      </w:pPr>
      <w:r>
        <w:rPr>
          <w:rFonts w:ascii="Courier New" w:cs="Courier New" w:eastAsia="Courier New" w:hAnsi="Courier New"/>
          <w:sz w:val="15"/>
          <w:szCs w:val="15"/>
          <w:color w:val="auto"/>
        </w:rPr>
        <w:t>The accompanying notes are an integral part of the condensed financial statements.</w:t>
      </w:r>
    </w:p>
    <w:p>
      <w:pPr>
        <w:spacing w:after="0" w:line="34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Page 3 of 9</w:t>
      </w:r>
    </w:p>
    <w:p>
      <w:pPr>
        <w:sectPr>
          <w:pgSz w:w="11900" w:h="16838" w:orient="portrait"/>
          <w:cols w:equalWidth="0" w:num="1">
            <w:col w:w="10820"/>
          </w:cols>
          <w:pgMar w:left="240" w:top="287" w:right="83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BASSETT FURNITURE INDUSTRIES, INCORPORATED AND SUBSIDIARIES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1"/>
        </w:trPr>
        <w:tc>
          <w:tcPr>
            <w:tcW w:w="6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CONDENSED CONSOLIDATED STATEMENT OF CASH FLOWS - UNAUDITED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853"/>
        </w:trPr>
        <w:tc>
          <w:tcPr>
            <w:tcW w:w="6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4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7"/>
              </w:rPr>
              <w:t>SIX MONTHS ENDED MAY 31,</w:t>
            </w:r>
          </w:p>
        </w:tc>
      </w:tr>
      <w:tr>
        <w:trPr>
          <w:trHeight w:val="171"/>
        </w:trPr>
        <w:tc>
          <w:tcPr>
            <w:tcW w:w="6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6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c>
          <w:tcPr>
            <w:tcW w:w="2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6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6,368,874</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$ 22,885,290</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1"/>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Net change in cost of investment securities</w:t>
            </w:r>
          </w:p>
        </w:tc>
        <w:tc>
          <w:tcPr>
            <w:tcW w:w="6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688,716</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11,618,801</w:t>
            </w:r>
          </w:p>
        </w:tc>
      </w:tr>
      <w:tr>
        <w:trPr>
          <w:trHeight w:val="171"/>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(5,700,311)</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(3,084,172)</w:t>
            </w:r>
          </w:p>
        </w:tc>
      </w:tr>
      <w:tr>
        <w:trPr>
          <w:trHeight w:val="171"/>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6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1,147,140</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76,635</w:t>
            </w:r>
          </w:p>
        </w:tc>
      </w:tr>
      <w:tr>
        <w:trPr>
          <w:trHeight w:val="171"/>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Dividends from affiliated company</w:t>
            </w:r>
          </w:p>
        </w:tc>
        <w:tc>
          <w:tcPr>
            <w:tcW w:w="6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544,752</w:t>
            </w:r>
          </w:p>
        </w:tc>
        <w:tc>
          <w:tcPr>
            <w:tcW w:w="2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6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414,235</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218,513</w:t>
            </w:r>
          </w:p>
        </w:tc>
      </w:tr>
      <w:tr>
        <w:trPr>
          <w:trHeight w:val="171"/>
        </w:trPr>
        <w:tc>
          <w:tcPr>
            <w:tcW w:w="6560" w:type="dxa"/>
            <w:vAlign w:val="bottom"/>
          </w:tcPr>
          <w:p>
            <w:pPr>
              <w:spacing w:after="0"/>
              <w:rPr>
                <w:sz w:val="14"/>
                <w:szCs w:val="14"/>
                <w:color w:val="auto"/>
              </w:rPr>
            </w:pPr>
          </w:p>
        </w:tc>
        <w:tc>
          <w:tcPr>
            <w:tcW w:w="16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(2,905,468)</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8,829,777</w:t>
            </w:r>
          </w:p>
        </w:tc>
      </w:tr>
      <w:tr>
        <w:trPr>
          <w:trHeight w:val="171"/>
        </w:trPr>
        <w:tc>
          <w:tcPr>
            <w:tcW w:w="65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1"/>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Issuance of common stock</w:t>
            </w:r>
          </w:p>
        </w:tc>
        <w:tc>
          <w:tcPr>
            <w:tcW w:w="6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55,481</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25,364</w:t>
            </w:r>
          </w:p>
        </w:tc>
      </w:tr>
      <w:tr>
        <w:trPr>
          <w:trHeight w:val="171"/>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Purchase and retirement of common stock</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(1,350,000)</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(7,990,413)</w:t>
            </w:r>
          </w:p>
        </w:tc>
      </w:tr>
      <w:tr>
        <w:trPr>
          <w:trHeight w:val="171"/>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(7,833,815)</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(5,394,558)</w:t>
            </w:r>
          </w:p>
        </w:tc>
      </w:tr>
      <w:tr>
        <w:trPr>
          <w:trHeight w:val="171"/>
        </w:trPr>
        <w:tc>
          <w:tcPr>
            <w:tcW w:w="6560" w:type="dxa"/>
            <w:vAlign w:val="bottom"/>
          </w:tcPr>
          <w:p>
            <w:pPr>
              <w:spacing w:after="0"/>
              <w:rPr>
                <w:sz w:val="14"/>
                <w:szCs w:val="14"/>
                <w:color w:val="auto"/>
              </w:rPr>
            </w:pPr>
          </w:p>
        </w:tc>
        <w:tc>
          <w:tcPr>
            <w:tcW w:w="16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(9,128,334)</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(13,359,607)</w:t>
            </w:r>
          </w:p>
        </w:tc>
      </w:tr>
      <w:tr>
        <w:trPr>
          <w:trHeight w:val="171"/>
        </w:trPr>
        <w:tc>
          <w:tcPr>
            <w:tcW w:w="6560" w:type="dxa"/>
            <w:vAlign w:val="bottom"/>
          </w:tcPr>
          <w:p>
            <w:pPr>
              <w:spacing w:after="0"/>
              <w:rPr>
                <w:sz w:val="14"/>
                <w:szCs w:val="14"/>
                <w:color w:val="auto"/>
              </w:rPr>
            </w:pPr>
          </w:p>
        </w:tc>
        <w:tc>
          <w:tcPr>
            <w:tcW w:w="16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(5,664,928)</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18,355,460</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620" w:type="dxa"/>
            <w:vAlign w:val="bottom"/>
          </w:tcPr>
          <w:p>
            <w:pPr>
              <w:spacing w:after="0"/>
              <w:rPr>
                <w:sz w:val="24"/>
                <w:szCs w:val="2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57,285,005</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51,331,119</w:t>
            </w:r>
          </w:p>
        </w:tc>
      </w:tr>
      <w:tr>
        <w:trPr>
          <w:trHeight w:val="171"/>
        </w:trPr>
        <w:tc>
          <w:tcPr>
            <w:tcW w:w="6560" w:type="dxa"/>
            <w:vAlign w:val="bottom"/>
          </w:tcPr>
          <w:p>
            <w:pPr>
              <w:spacing w:after="0"/>
              <w:rPr>
                <w:sz w:val="14"/>
                <w:szCs w:val="14"/>
                <w:color w:val="auto"/>
              </w:rPr>
            </w:pPr>
          </w:p>
        </w:tc>
        <w:tc>
          <w:tcPr>
            <w:tcW w:w="16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51,620,077</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$ 69,686,579</w:t>
            </w:r>
          </w:p>
        </w:tc>
      </w:tr>
      <w:tr>
        <w:trPr>
          <w:trHeight w:val="171"/>
        </w:trPr>
        <w:tc>
          <w:tcPr>
            <w:tcW w:w="6560" w:type="dxa"/>
            <w:vAlign w:val="bottom"/>
          </w:tcPr>
          <w:p>
            <w:pPr>
              <w:spacing w:after="0"/>
              <w:rPr>
                <w:sz w:val="14"/>
                <w:szCs w:val="14"/>
                <w:color w:val="auto"/>
              </w:rPr>
            </w:pPr>
          </w:p>
        </w:tc>
        <w:tc>
          <w:tcPr>
            <w:tcW w:w="16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4540"/>
        <w:spacing w:after="0" w:line="238" w:lineRule="auto"/>
        <w:rPr>
          <w:sz w:val="20"/>
          <w:szCs w:val="20"/>
          <w:color w:val="auto"/>
        </w:rPr>
      </w:pPr>
      <w:r>
        <w:rPr>
          <w:rFonts w:ascii="Courier New" w:cs="Courier New" w:eastAsia="Courier New" w:hAnsi="Courier New"/>
          <w:sz w:val="15"/>
          <w:szCs w:val="15"/>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Page 4 of 9</w:t>
      </w:r>
    </w:p>
    <w:p>
      <w:pPr>
        <w:sectPr>
          <w:pgSz w:w="11900" w:h="16838" w:orient="portrait"/>
          <w:cols w:equalWidth="0" w:num="1">
            <w:col w:w="11000"/>
          </w:cols>
          <w:pgMar w:left="240" w:top="287" w:right="65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NOTES TO CONDENSED CONSOLIDATED FINANCIAL STATEMENTS - UNAUDITED</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A.</w:t>
      </w:r>
      <w:r>
        <w:rPr>
          <w:sz w:val="20"/>
          <w:szCs w:val="20"/>
          <w:color w:val="auto"/>
        </w:rPr>
        <w:tab/>
      </w:r>
      <w:r>
        <w:rPr>
          <w:rFonts w:ascii="Courier New" w:cs="Courier New" w:eastAsia="Courier New" w:hAnsi="Courier New"/>
          <w:sz w:val="14"/>
          <w:szCs w:val="14"/>
          <w:color w:val="auto"/>
        </w:rPr>
        <w:t>NON-RECURRING AND OTHER CHARGES (thousands)</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May 21, 1997, the Company announced that it would record pre-tax charges totaling $30,479 ($18,897 net of taxes, or $1.45 per share). These charges relate to the elimination of the Impact product line and the closing of the Impact plants, discontinuance of certain National/Mt. Airy products and assimilation of the Mt. Airy plant into the Bassett Casegoods Division, closing of the W.M. Bassett plant and redeployment of products within the other Bassett Casegoods plants, and other related costs.</w:t>
      </w:r>
    </w:p>
    <w:p>
      <w:pPr>
        <w:spacing w:after="0" w:line="176"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These charges relate to the Company's recently announced strategy to focus on its core business marketed under the Bassett brand name (Wood Products, Upholstery and Bedding). Further, it enables the Company to rationalize its manufacturing capacity by retaining and utilizing its most efficient facilities.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pre-tax charges are: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2nd Quarter</w:t>
            </w: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Remainder of</w:t>
            </w: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21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1997</w:t>
            </w:r>
          </w:p>
        </w:tc>
        <w:tc>
          <w:tcPr>
            <w:tcW w:w="20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860" w:type="dxa"/>
            <w:vAlign w:val="bottom"/>
          </w:tcPr>
          <w:p>
            <w:pPr>
              <w:spacing w:after="0"/>
              <w:rPr>
                <w:sz w:val="14"/>
                <w:szCs w:val="14"/>
                <w:color w:val="auto"/>
              </w:rPr>
            </w:pPr>
          </w:p>
        </w:tc>
        <w:tc>
          <w:tcPr>
            <w:tcW w:w="2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Charges included in cost of sales</w:t>
            </w:r>
          </w:p>
        </w:tc>
        <w:tc>
          <w:tcPr>
            <w:tcW w:w="2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 Inventory write-downs</w:t>
            </w:r>
          </w:p>
        </w:tc>
        <w:tc>
          <w:tcPr>
            <w:tcW w:w="21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$ 6,195</w:t>
            </w:r>
          </w:p>
        </w:tc>
        <w:tc>
          <w:tcPr>
            <w:tcW w:w="20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$ 6,195</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Charges included in SG&amp;A</w:t>
            </w:r>
          </w:p>
        </w:tc>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 Accounts receivable write-downs</w:t>
            </w:r>
          </w:p>
        </w:tc>
        <w:tc>
          <w:tcPr>
            <w:tcW w:w="21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2,250</w:t>
            </w:r>
          </w:p>
        </w:tc>
        <w:tc>
          <w:tcPr>
            <w:tcW w:w="20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2,250</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Non-recurring charges</w:t>
            </w:r>
          </w:p>
        </w:tc>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 Impairment of assets</w:t>
            </w:r>
          </w:p>
        </w:tc>
        <w:tc>
          <w:tcPr>
            <w:tcW w:w="21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11,180</w:t>
            </w:r>
          </w:p>
        </w:tc>
        <w:tc>
          <w:tcPr>
            <w:tcW w:w="20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11,180</w:t>
            </w: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 Restructuring and other charges</w:t>
            </w:r>
          </w:p>
        </w:tc>
        <w:tc>
          <w:tcPr>
            <w:tcW w:w="21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2,749</w:t>
            </w:r>
          </w:p>
        </w:tc>
        <w:tc>
          <w:tcPr>
            <w:tcW w:w="2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8,105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10,854</w:t>
            </w:r>
          </w:p>
        </w:tc>
      </w:tr>
      <w:tr>
        <w:trPr>
          <w:trHeight w:val="171"/>
        </w:trPr>
        <w:tc>
          <w:tcPr>
            <w:tcW w:w="3860" w:type="dxa"/>
            <w:vAlign w:val="bottom"/>
          </w:tcPr>
          <w:p>
            <w:pPr>
              <w:spacing w:after="0"/>
              <w:rPr>
                <w:sz w:val="14"/>
                <w:szCs w:val="14"/>
                <w:color w:val="auto"/>
              </w:rPr>
            </w:pPr>
          </w:p>
        </w:tc>
        <w:tc>
          <w:tcPr>
            <w:tcW w:w="21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$22,374</w:t>
            </w:r>
          </w:p>
        </w:tc>
        <w:tc>
          <w:tcPr>
            <w:tcW w:w="2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$8,105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$30,479</w:t>
            </w:r>
          </w:p>
        </w:tc>
      </w:tr>
      <w:tr>
        <w:trPr>
          <w:trHeight w:val="171"/>
        </w:trPr>
        <w:tc>
          <w:tcPr>
            <w:tcW w:w="3860" w:type="dxa"/>
            <w:vAlign w:val="bottom"/>
          </w:tcPr>
          <w:p>
            <w:pPr>
              <w:spacing w:after="0"/>
              <w:rPr>
                <w:sz w:val="14"/>
                <w:szCs w:val="14"/>
                <w:color w:val="auto"/>
              </w:rPr>
            </w:pPr>
          </w:p>
        </w:tc>
        <w:tc>
          <w:tcPr>
            <w:tcW w:w="21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write-downs of inventories and accounts receivable are related primarily to the elimination of the Impact product line and discontinuance of certain National/Mt. Airy products. The asset impairment losses of $11,180 consist of the write-downs of operating assets at the W. M. Bassett plant and at both of the Impact Division's plants, and result from the evaluation of the Company's ability to recover asset costs given current market conditions. The restructuring and other charges of $10,854 consist of additional costs expected to be incurred to redeploy product lines and manufacturing and employee resources.</w:t>
      </w:r>
    </w:p>
    <w:p>
      <w:pPr>
        <w:spacing w:after="0" w:line="17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B.</w:t>
      </w:r>
      <w:r>
        <w:rPr>
          <w:sz w:val="20"/>
          <w:szCs w:val="20"/>
          <w:color w:val="auto"/>
        </w:rPr>
        <w:tab/>
      </w:r>
      <w:r>
        <w:rPr>
          <w:rFonts w:ascii="Courier New" w:cs="Courier New" w:eastAsia="Courier New" w:hAnsi="Courier New"/>
          <w:sz w:val="14"/>
          <w:szCs w:val="14"/>
          <w:color w:val="auto"/>
        </w:rPr>
        <w:t>SUBSEQUENT EVENT</w:t>
      </w:r>
    </w:p>
    <w:p>
      <w:pPr>
        <w:spacing w:after="0" w:line="3" w:lineRule="exact"/>
        <w:rPr>
          <w:sz w:val="20"/>
          <w:szCs w:val="20"/>
          <w:color w:val="auto"/>
        </w:rPr>
      </w:pPr>
    </w:p>
    <w:p>
      <w:pPr>
        <w:jc w:val="both"/>
        <w:ind w:right="3399"/>
        <w:spacing w:after="0" w:line="262" w:lineRule="auto"/>
        <w:rPr>
          <w:sz w:val="20"/>
          <w:szCs w:val="20"/>
          <w:color w:val="auto"/>
        </w:rPr>
      </w:pPr>
      <w:r>
        <w:rPr>
          <w:rFonts w:ascii="Courier New" w:cs="Courier New" w:eastAsia="Courier New" w:hAnsi="Courier New"/>
          <w:sz w:val="14"/>
          <w:szCs w:val="14"/>
          <w:color w:val="auto"/>
        </w:rPr>
        <w:t>Subsequent to May 31, (on July 7, 1997) a major customer of the Company filed for protection from creditors under Chapter 11 of the U. S. Bankruptcy Code. As a result of this action, the Company has taken a pre-tax charge as of May 31, 1997 of $6.0 million, $3.7 million after-tax ( $ .28 per share).</w:t>
      </w:r>
    </w:p>
    <w:p>
      <w:pPr>
        <w:spacing w:after="0" w:line="15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C.</w:t>
      </w:r>
      <w:r>
        <w:rPr>
          <w:sz w:val="20"/>
          <w:szCs w:val="20"/>
          <w:color w:val="auto"/>
        </w:rPr>
        <w:tab/>
      </w:r>
      <w:r>
        <w:rPr>
          <w:rFonts w:ascii="Courier New" w:cs="Courier New" w:eastAsia="Courier New" w:hAnsi="Courier New"/>
          <w:sz w:val="14"/>
          <w:szCs w:val="14"/>
          <w:color w:val="auto"/>
        </w:rPr>
        <w:t>CONTINGENCY</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June, 1997, the Company announced that it had recently learned that mattresses and box springs that were sold to two major retail customers were of lesser specifications than those originally manufactured for sale by the retailers.</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Despite the changes in specifications, the mattresses in questions are of quality equal to nationally sold products. Each of the mattresses and box springs in issue is covered by the original warranty, and the Company continues to stand behind each of the products. Neither of the two affected retailers has experienced increased complaints regarding these products. The Company will offer gift certificates, redeemable at the retailers' stores, to customers who purchased the products in question.</w:t>
      </w:r>
    </w:p>
    <w:p>
      <w:pPr>
        <w:spacing w:after="0" w:line="176"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A reasonable estimate of the possible costs or range of costs related to this matter cannot be made at this time.</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D.</w:t>
      </w:r>
      <w:r>
        <w:rPr>
          <w:sz w:val="20"/>
          <w:szCs w:val="20"/>
          <w:color w:val="auto"/>
        </w:rPr>
        <w:tab/>
      </w:r>
      <w:r>
        <w:rPr>
          <w:rFonts w:ascii="Courier New" w:cs="Courier New" w:eastAsia="Courier New" w:hAnsi="Courier New"/>
          <w:sz w:val="14"/>
          <w:szCs w:val="14"/>
          <w:color w:val="auto"/>
        </w:rPr>
        <w:t>EARNINGS PER SHARE</w:t>
      </w:r>
    </w:p>
    <w:p>
      <w:pPr>
        <w:spacing w:after="0" w:line="3" w:lineRule="exact"/>
        <w:rPr>
          <w:sz w:val="20"/>
          <w:szCs w:val="20"/>
          <w:color w:val="auto"/>
        </w:rPr>
      </w:pPr>
    </w:p>
    <w:p>
      <w:pPr>
        <w:ind w:right="3759"/>
        <w:spacing w:after="0" w:line="271" w:lineRule="auto"/>
        <w:rPr>
          <w:sz w:val="20"/>
          <w:szCs w:val="20"/>
          <w:color w:val="auto"/>
        </w:rPr>
      </w:pPr>
      <w:r>
        <w:rPr>
          <w:rFonts w:ascii="Courier New" w:cs="Courier New" w:eastAsia="Courier New" w:hAnsi="Courier New"/>
          <w:sz w:val="14"/>
          <w:szCs w:val="14"/>
          <w:color w:val="auto"/>
        </w:rPr>
        <w:t>Per share amounts are based on 13,062,736 and 13,519,393 weighted average number of shares outstanding at May 31, 1997 and 1996 respectively.</w:t>
      </w:r>
    </w:p>
    <w:p>
      <w:pPr>
        <w:sectPr>
          <w:pgSz w:w="11900" w:h="16838" w:orient="portrait"/>
          <w:cols w:equalWidth="0" w:num="1">
            <w:col w:w="10219"/>
          </w:cols>
          <w:pgMar w:left="240" w:top="287" w:right="1440" w:bottom="1440" w:gutter="0" w:footer="0" w:header="0"/>
        </w:sectPr>
      </w:pPr>
    </w:p>
    <w:p>
      <w:pPr>
        <w:spacing w:after="0" w:line="324"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Page 5 of 9</w:t>
      </w:r>
    </w:p>
    <w:p>
      <w:pPr>
        <w:sectPr>
          <w:pgSz w:w="11900" w:h="16838" w:orient="portrait"/>
          <w:cols w:equalWidth="0" w:num="1">
            <w:col w:w="10219"/>
          </w:cols>
          <w:pgMar w:left="240" w:top="287"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right="3579"/>
        <w:spacing w:after="0" w:line="260"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16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ALL DISCUSSION OF RESULTS OF OPERATIONS THAT FOLLOWS IS PRESENTED EXCLUDING THE AFFECTS OF (i) THE NON-RECURRING AND OTHER CHARGES DISCUSSED IN NOTE A AND (ii) THE SUBSEQUENT EVENT CHARGE DISCUSSED IN NOTE B OF THE NOTES TO CONDENSED CONSOLIDATED FINANCIAL STATEMENTS INCLUDED HEREIN.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components of net income expressed as a percentage of net sales: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302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Six Months Ended May 31,</w:t>
            </w:r>
          </w:p>
        </w:tc>
        <w:tc>
          <w:tcPr>
            <w:tcW w:w="296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2700" w:type="dxa"/>
            <w:vAlign w:val="bottom"/>
          </w:tcPr>
          <w:p>
            <w:pPr>
              <w:spacing w:after="0"/>
              <w:rPr>
                <w:sz w:val="14"/>
                <w:szCs w:val="14"/>
                <w:color w:val="auto"/>
              </w:rPr>
            </w:pPr>
          </w:p>
        </w:tc>
        <w:tc>
          <w:tcPr>
            <w:tcW w:w="302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270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83.74%</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84.11%</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83.53%</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84.07%</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84.08%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83.76%</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Selling, general and admin.</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14.90</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14.03</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13.40</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15.35</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14.23</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13.86</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1.36</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1.86</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3.07</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1.69</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2.38</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2.44</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3.73</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2.67</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2.97</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3.84</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3.80</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5.59</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5.74</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3.55</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5.53</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5.89</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.66</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1.67</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1.05</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3.14</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4.35</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4.07</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3.15</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4.48</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4.18</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the current two periods compared to prior years:</w:t>
      </w:r>
    </w:p>
    <w:p>
      <w:pPr>
        <w:spacing w:after="0" w:line="200" w:lineRule="exact"/>
        <w:rPr>
          <w:sz w:val="20"/>
          <w:szCs w:val="20"/>
          <w:color w:val="auto"/>
        </w:rPr>
      </w:pP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3600" w:type="dxa"/>
            <w:vAlign w:val="bottom"/>
            <w:gridSpan w:val="3"/>
          </w:tcPr>
          <w:p>
            <w:pPr>
              <w:ind w:left="680"/>
              <w:spacing w:after="0"/>
              <w:rPr>
                <w:sz w:val="20"/>
                <w:szCs w:val="20"/>
                <w:color w:val="auto"/>
              </w:rPr>
            </w:pPr>
            <w:r>
              <w:rPr>
                <w:rFonts w:ascii="Courier New" w:cs="Courier New" w:eastAsia="Courier New" w:hAnsi="Courier New"/>
                <w:sz w:val="15"/>
                <w:szCs w:val="15"/>
                <w:color w:val="auto"/>
              </w:rPr>
              <w:t>Six Months Ended May 31,</w:t>
            </w:r>
          </w:p>
        </w:tc>
        <w:tc>
          <w:tcPr>
            <w:tcW w:w="3280" w:type="dxa"/>
            <w:vAlign w:val="bottom"/>
            <w:gridSpan w:val="3"/>
          </w:tcPr>
          <w:p>
            <w:pPr>
              <w:jc w:val="right"/>
              <w:ind w:right="266"/>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2340" w:type="dxa"/>
            <w:vAlign w:val="bottom"/>
          </w:tcPr>
          <w:p>
            <w:pPr>
              <w:spacing w:after="0"/>
              <w:rPr>
                <w:sz w:val="14"/>
                <w:szCs w:val="14"/>
                <w:color w:val="auto"/>
              </w:rPr>
            </w:pPr>
          </w:p>
        </w:tc>
        <w:tc>
          <w:tcPr>
            <w:tcW w:w="3600" w:type="dxa"/>
            <w:vAlign w:val="bottom"/>
            <w:gridSpan w:val="3"/>
          </w:tcPr>
          <w:p>
            <w:pPr>
              <w:ind w:left="680"/>
              <w:spacing w:after="0"/>
              <w:rPr>
                <w:sz w:val="20"/>
                <w:szCs w:val="20"/>
                <w:color w:val="auto"/>
              </w:rPr>
            </w:pPr>
            <w:r>
              <w:rPr>
                <w:rFonts w:ascii="Courier New" w:cs="Courier New" w:eastAsia="Courier New" w:hAnsi="Courier New"/>
                <w:sz w:val="15"/>
                <w:szCs w:val="15"/>
                <w:color w:val="auto"/>
              </w:rPr>
              <w:t>------------------------</w:t>
            </w:r>
          </w:p>
        </w:tc>
        <w:tc>
          <w:tcPr>
            <w:tcW w:w="3280" w:type="dxa"/>
            <w:vAlign w:val="bottom"/>
            <w:gridSpan w:val="3"/>
          </w:tcPr>
          <w:p>
            <w:pPr>
              <w:jc w:val="center"/>
              <w:ind w:lef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40" w:type="dxa"/>
            <w:vAlign w:val="bottom"/>
          </w:tcPr>
          <w:p>
            <w:pPr>
              <w:spacing w:after="0"/>
              <w:rPr>
                <w:sz w:val="14"/>
                <w:szCs w:val="14"/>
                <w:color w:val="auto"/>
              </w:rPr>
            </w:pP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1995</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2340" w:type="dxa"/>
            <w:vAlign w:val="bottom"/>
          </w:tcPr>
          <w:p>
            <w:pPr>
              <w:spacing w:after="0"/>
              <w:rPr>
                <w:sz w:val="14"/>
                <w:szCs w:val="14"/>
                <w:color w:val="auto"/>
              </w:rPr>
            </w:pP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rPr>
              <w:t>Net sales (thousands)</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$223,004</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$223,224</w:t>
            </w:r>
          </w:p>
        </w:tc>
        <w:tc>
          <w:tcPr>
            <w:tcW w:w="12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$242,569</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$113,198</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$111,273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$119,018</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 change from prior year</w:t>
            </w:r>
          </w:p>
        </w:tc>
        <w:tc>
          <w:tcPr>
            <w:tcW w:w="1260" w:type="dxa"/>
            <w:vAlign w:val="bottom"/>
          </w:tcPr>
          <w:p>
            <w:pPr>
              <w:ind w:left="500"/>
              <w:spacing w:after="0"/>
              <w:rPr>
                <w:sz w:val="20"/>
                <w:szCs w:val="20"/>
                <w:color w:val="auto"/>
              </w:rPr>
            </w:pPr>
            <w:r>
              <w:rPr>
                <w:rFonts w:ascii="Courier New" w:cs="Courier New" w:eastAsia="Courier New" w:hAnsi="Courier New"/>
                <w:sz w:val="15"/>
                <w:szCs w:val="15"/>
                <w:color w:val="auto"/>
              </w:rPr>
              <w:t>(0.1)%</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bl>
    <w:p>
      <w:pPr>
        <w:spacing w:after="0" w:line="34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The changes discussed in Note A are expected to reduce annualized net sales approximately 10%.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Cost of sales for the second quarter (84.07%) was up 67 basis points from the 1997 first quarter (83.40%), however this was even with the 1996 second quarter. The gross profit margin for the six month period has improved 37 basis points compared to 1996. As shown below the materials and labor components of cost of sales have increased in the second quarter.</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4220" w:type="dxa"/>
            <w:vAlign w:val="bottom"/>
            <w:gridSpan w:val="3"/>
          </w:tcPr>
          <w:p>
            <w:pPr>
              <w:ind w:left="1280"/>
              <w:spacing w:after="0"/>
              <w:rPr>
                <w:sz w:val="20"/>
                <w:szCs w:val="20"/>
                <w:color w:val="auto"/>
              </w:rPr>
            </w:pPr>
            <w:r>
              <w:rPr>
                <w:rFonts w:ascii="Courier New" w:cs="Courier New" w:eastAsia="Courier New" w:hAnsi="Courier New"/>
                <w:sz w:val="15"/>
                <w:szCs w:val="15"/>
                <w:color w:val="auto"/>
              </w:rPr>
              <w:t>Six Months Ended May 31,</w:t>
            </w:r>
          </w:p>
        </w:tc>
        <w:tc>
          <w:tcPr>
            <w:tcW w:w="328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1720" w:type="dxa"/>
            <w:vAlign w:val="bottom"/>
          </w:tcPr>
          <w:p>
            <w:pPr>
              <w:spacing w:after="0"/>
              <w:rPr>
                <w:sz w:val="14"/>
                <w:szCs w:val="14"/>
                <w:color w:val="auto"/>
              </w:rPr>
            </w:pPr>
          </w:p>
        </w:tc>
        <w:tc>
          <w:tcPr>
            <w:tcW w:w="3020" w:type="dxa"/>
            <w:vAlign w:val="bottom"/>
            <w:gridSpan w:val="2"/>
          </w:tcPr>
          <w:p>
            <w:pPr>
              <w:ind w:left="1280"/>
              <w:spacing w:after="0"/>
              <w:rPr>
                <w:sz w:val="20"/>
                <w:szCs w:val="20"/>
                <w:color w:val="auto"/>
              </w:rPr>
            </w:pPr>
            <w:r>
              <w:rPr>
                <w:rFonts w:ascii="Courier New" w:cs="Courier New" w:eastAsia="Courier New" w:hAnsi="Courier New"/>
                <w:sz w:val="15"/>
                <w:szCs w:val="15"/>
                <w:color w:val="auto"/>
                <w:w w:val="79"/>
              </w:rPr>
              <w:t>------------------------</w:t>
            </w:r>
          </w:p>
        </w:tc>
        <w:tc>
          <w:tcPr>
            <w:tcW w:w="1200" w:type="dxa"/>
            <w:vAlign w:val="bottom"/>
          </w:tcPr>
          <w:p>
            <w:pPr>
              <w:spacing w:after="0"/>
              <w:rPr>
                <w:sz w:val="14"/>
                <w:szCs w:val="14"/>
                <w:color w:val="auto"/>
              </w:rPr>
            </w:pPr>
          </w:p>
        </w:tc>
        <w:tc>
          <w:tcPr>
            <w:tcW w:w="328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w:t>
            </w:r>
          </w:p>
        </w:tc>
      </w:tr>
      <w:tr>
        <w:trPr>
          <w:trHeight w:val="171"/>
        </w:trPr>
        <w:tc>
          <w:tcPr>
            <w:tcW w:w="1720" w:type="dxa"/>
            <w:vAlign w:val="bottom"/>
          </w:tcPr>
          <w:p>
            <w:pPr>
              <w:spacing w:after="0"/>
              <w:rPr>
                <w:sz w:val="14"/>
                <w:szCs w:val="14"/>
                <w:color w:val="auto"/>
              </w:rPr>
            </w:pPr>
          </w:p>
        </w:tc>
        <w:tc>
          <w:tcPr>
            <w:tcW w:w="2080" w:type="dxa"/>
            <w:vAlign w:val="bottom"/>
          </w:tcPr>
          <w:p>
            <w:pPr>
              <w:ind w:left="112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1720" w:type="dxa"/>
            <w:vAlign w:val="bottom"/>
          </w:tcPr>
          <w:p>
            <w:pPr>
              <w:spacing w:after="0"/>
              <w:rPr>
                <w:sz w:val="14"/>
                <w:szCs w:val="14"/>
                <w:color w:val="auto"/>
              </w:rPr>
            </w:pPr>
          </w:p>
        </w:tc>
        <w:tc>
          <w:tcPr>
            <w:tcW w:w="208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41"/>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Materials</w:t>
            </w:r>
          </w:p>
        </w:tc>
        <w:tc>
          <w:tcPr>
            <w:tcW w:w="2080" w:type="dxa"/>
            <w:vAlign w:val="bottom"/>
          </w:tcPr>
          <w:p>
            <w:pPr>
              <w:ind w:left="1120"/>
              <w:spacing w:after="0"/>
              <w:rPr>
                <w:sz w:val="20"/>
                <w:szCs w:val="20"/>
                <w:color w:val="auto"/>
              </w:rPr>
            </w:pPr>
            <w:r>
              <w:rPr>
                <w:rFonts w:ascii="Courier New" w:cs="Courier New" w:eastAsia="Courier New" w:hAnsi="Courier New"/>
                <w:sz w:val="15"/>
                <w:szCs w:val="15"/>
                <w:color w:val="auto"/>
              </w:rPr>
              <w:t>49.04%</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49.83%</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49.36%</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49.58%</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49.61%</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w w:val="96"/>
              </w:rPr>
              <w:t>49.34%</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Labor</w:t>
            </w:r>
          </w:p>
        </w:tc>
        <w:tc>
          <w:tcPr>
            <w:tcW w:w="2080" w:type="dxa"/>
            <w:vAlign w:val="bottom"/>
          </w:tcPr>
          <w:p>
            <w:pPr>
              <w:ind w:left="1120"/>
              <w:spacing w:after="0"/>
              <w:rPr>
                <w:sz w:val="20"/>
                <w:szCs w:val="20"/>
                <w:color w:val="auto"/>
              </w:rPr>
            </w:pPr>
            <w:r>
              <w:rPr>
                <w:rFonts w:ascii="Courier New" w:cs="Courier New" w:eastAsia="Courier New" w:hAnsi="Courier New"/>
                <w:sz w:val="15"/>
                <w:szCs w:val="15"/>
                <w:color w:val="auto"/>
              </w:rPr>
              <w:t>22.82</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21.36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21.57</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23.15</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21.44</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21.59</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Overhead</w:t>
            </w:r>
          </w:p>
        </w:tc>
        <w:tc>
          <w:tcPr>
            <w:tcW w:w="2080" w:type="dxa"/>
            <w:vAlign w:val="bottom"/>
          </w:tcPr>
          <w:p>
            <w:pPr>
              <w:ind w:left="1120"/>
              <w:spacing w:after="0"/>
              <w:rPr>
                <w:sz w:val="20"/>
                <w:szCs w:val="20"/>
                <w:color w:val="auto"/>
              </w:rPr>
            </w:pPr>
            <w:r>
              <w:rPr>
                <w:rFonts w:ascii="Courier New" w:cs="Courier New" w:eastAsia="Courier New" w:hAnsi="Courier New"/>
                <w:sz w:val="15"/>
                <w:szCs w:val="15"/>
                <w:color w:val="auto"/>
              </w:rPr>
              <w:t>11.88</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12.92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12.60</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11.34</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13.03</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12.83</w:t>
            </w:r>
          </w:p>
        </w:tc>
      </w:tr>
      <w:tr>
        <w:trPr>
          <w:trHeight w:val="171"/>
        </w:trPr>
        <w:tc>
          <w:tcPr>
            <w:tcW w:w="1720" w:type="dxa"/>
            <w:vAlign w:val="bottom"/>
          </w:tcPr>
          <w:p>
            <w:pPr>
              <w:spacing w:after="0"/>
              <w:rPr>
                <w:sz w:val="14"/>
                <w:szCs w:val="14"/>
                <w:color w:val="auto"/>
              </w:rPr>
            </w:pPr>
          </w:p>
        </w:tc>
        <w:tc>
          <w:tcPr>
            <w:tcW w:w="20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171"/>
        </w:trPr>
        <w:tc>
          <w:tcPr>
            <w:tcW w:w="1720" w:type="dxa"/>
            <w:vAlign w:val="bottom"/>
          </w:tcPr>
          <w:p>
            <w:pPr>
              <w:spacing w:after="0"/>
              <w:rPr>
                <w:sz w:val="14"/>
                <w:szCs w:val="14"/>
                <w:color w:val="auto"/>
              </w:rPr>
            </w:pPr>
          </w:p>
        </w:tc>
        <w:tc>
          <w:tcPr>
            <w:tcW w:w="2080" w:type="dxa"/>
            <w:vAlign w:val="bottom"/>
          </w:tcPr>
          <w:p>
            <w:pPr>
              <w:ind w:left="1120"/>
              <w:spacing w:after="0"/>
              <w:rPr>
                <w:sz w:val="20"/>
                <w:szCs w:val="20"/>
                <w:color w:val="auto"/>
              </w:rPr>
            </w:pPr>
            <w:r>
              <w:rPr>
                <w:rFonts w:ascii="Courier New" w:cs="Courier New" w:eastAsia="Courier New" w:hAnsi="Courier New"/>
                <w:sz w:val="15"/>
                <w:szCs w:val="15"/>
                <w:color w:val="auto"/>
              </w:rPr>
              <w:t>83.74%</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84.11%</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83.53%</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84.07%</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84.08%</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w w:val="96"/>
              </w:rPr>
              <w:t>83.76%</w:t>
            </w:r>
          </w:p>
        </w:tc>
      </w:tr>
    </w:tbl>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Selling, general and administrative expenses have increased primarily in categories associated with product promotion, customer service and expansion of the Bassett Furniture Direct ("BFD") and Bassett Gallery Programs.</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Page 6 of 9</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4" w:lineRule="exact"/>
        <w:rPr>
          <w:sz w:val="20"/>
          <w:szCs w:val="20"/>
          <w:color w:val="auto"/>
        </w:rPr>
      </w:pPr>
    </w:p>
    <w:p>
      <w:pPr>
        <w:ind w:right="4620"/>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 CONTINUED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Components of other income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3920" w:type="dxa"/>
            <w:vAlign w:val="bottom"/>
            <w:gridSpan w:val="3"/>
          </w:tcPr>
          <w:p>
            <w:pPr>
              <w:jc w:val="right"/>
              <w:ind w:right="786"/>
              <w:spacing w:after="0"/>
              <w:rPr>
                <w:sz w:val="20"/>
                <w:szCs w:val="20"/>
                <w:color w:val="auto"/>
              </w:rPr>
            </w:pPr>
            <w:r>
              <w:rPr>
                <w:rFonts w:ascii="Courier New" w:cs="Courier New" w:eastAsia="Courier New" w:hAnsi="Courier New"/>
                <w:sz w:val="15"/>
                <w:szCs w:val="15"/>
                <w:color w:val="auto"/>
              </w:rPr>
              <w:t>Six Months Ended May 31,</w:t>
            </w:r>
          </w:p>
        </w:tc>
        <w:tc>
          <w:tcPr>
            <w:tcW w:w="306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4200" w:type="dxa"/>
            <w:vAlign w:val="bottom"/>
          </w:tcPr>
          <w:p>
            <w:pPr>
              <w:spacing w:after="0"/>
              <w:rPr>
                <w:sz w:val="14"/>
                <w:szCs w:val="14"/>
                <w:color w:val="auto"/>
              </w:rPr>
            </w:pPr>
          </w:p>
        </w:tc>
        <w:tc>
          <w:tcPr>
            <w:tcW w:w="3920" w:type="dxa"/>
            <w:vAlign w:val="bottom"/>
            <w:gridSpan w:val="3"/>
          </w:tcPr>
          <w:p>
            <w:pPr>
              <w:jc w:val="right"/>
              <w:ind w:right="786"/>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spacing w:after="0"/>
              <w:rPr>
                <w:sz w:val="14"/>
                <w:szCs w:val="14"/>
                <w:color w:val="auto"/>
              </w:rPr>
            </w:pP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ind w:left="560"/>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4200" w:type="dxa"/>
            <w:vAlign w:val="bottom"/>
          </w:tcPr>
          <w:p>
            <w:pPr>
              <w:spacing w:after="0"/>
              <w:rPr>
                <w:sz w:val="14"/>
                <w:szCs w:val="14"/>
                <w:color w:val="auto"/>
              </w:rPr>
            </w:pP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Equity in unremitted income</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200" w:type="dxa"/>
            <w:vAlign w:val="bottom"/>
          </w:tcPr>
          <w:p>
            <w:pPr>
              <w:ind w:left="160"/>
              <w:spacing w:after="0"/>
              <w:rPr>
                <w:sz w:val="20"/>
                <w:szCs w:val="20"/>
                <w:color w:val="auto"/>
              </w:rPr>
            </w:pPr>
            <w:r>
              <w:rPr>
                <w:rFonts w:ascii="Courier New" w:cs="Courier New" w:eastAsia="Courier New" w:hAnsi="Courier New"/>
                <w:sz w:val="15"/>
                <w:szCs w:val="15"/>
                <w:color w:val="auto"/>
              </w:rPr>
              <w:t>of affiliated companies</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$2,755</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$2,519</w:t>
            </w: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$2,441</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$1,619</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$1,418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$1,420</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(principally tax exempt)</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1,300</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1,118</w:t>
            </w: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1,123</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545</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573</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668</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901</w:t>
            </w: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1,210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316</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463</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667</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Gains from sales of investment securities</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234</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4,149</w:t>
            </w: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1,364</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234</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2,034</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1,394</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Gains (loses) from sales of property,</w:t>
            </w: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200" w:type="dxa"/>
            <w:vAlign w:val="bottom"/>
          </w:tcPr>
          <w:p>
            <w:pPr>
              <w:ind w:left="160"/>
              <w:spacing w:after="0"/>
              <w:rPr>
                <w:sz w:val="20"/>
                <w:szCs w:val="20"/>
                <w:color w:val="auto"/>
              </w:rPr>
            </w:pPr>
            <w:r>
              <w:rPr>
                <w:rFonts w:ascii="Courier New" w:cs="Courier New" w:eastAsia="Courier New" w:hAnsi="Courier New"/>
                <w:sz w:val="15"/>
                <w:szCs w:val="15"/>
                <w:color w:val="auto"/>
              </w:rPr>
              <w:t>plant and equipment</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930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(363)</w:t>
            </w: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336</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w:t>
            </w:r>
          </w:p>
        </w:tc>
      </w:tr>
      <w:tr>
        <w:trPr>
          <w:trHeight w:val="171"/>
        </w:trPr>
        <w:tc>
          <w:tcPr>
            <w:tcW w:w="4200" w:type="dxa"/>
            <w:vAlign w:val="bottom"/>
          </w:tcPr>
          <w:p>
            <w:pPr>
              <w:spacing w:after="0"/>
              <w:rPr>
                <w:sz w:val="14"/>
                <w:szCs w:val="14"/>
                <w:color w:val="auto"/>
              </w:rPr>
            </w:pP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spacing w:after="0"/>
              <w:rPr>
                <w:sz w:val="14"/>
                <w:szCs w:val="14"/>
                <w:color w:val="auto"/>
              </w:rPr>
            </w:pP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$5,441</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$8,321</w:t>
            </w: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$6,499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$3,363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$4,278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$4,186</w:t>
            </w:r>
          </w:p>
        </w:tc>
      </w:tr>
      <w:tr>
        <w:trPr>
          <w:trHeight w:val="171"/>
        </w:trPr>
        <w:tc>
          <w:tcPr>
            <w:tcW w:w="4200" w:type="dxa"/>
            <w:vAlign w:val="bottom"/>
          </w:tcPr>
          <w:p>
            <w:pPr>
              <w:spacing w:after="0"/>
              <w:rPr>
                <w:sz w:val="14"/>
                <w:szCs w:val="14"/>
                <w:color w:val="auto"/>
              </w:rPr>
            </w:pP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3" w:lineRule="exact"/>
        <w:rPr>
          <w:sz w:val="20"/>
          <w:szCs w:val="20"/>
          <w:color w:val="auto"/>
        </w:rPr>
      </w:pPr>
    </w:p>
    <w:p>
      <w:pPr>
        <w:ind w:right="4360"/>
        <w:spacing w:after="0" w:line="238" w:lineRule="auto"/>
        <w:rPr>
          <w:sz w:val="20"/>
          <w:szCs w:val="20"/>
          <w:color w:val="auto"/>
        </w:rPr>
      </w:pPr>
      <w:r>
        <w:rPr>
          <w:rFonts w:ascii="Courier New" w:cs="Courier New" w:eastAsia="Courier New" w:hAnsi="Courier New"/>
          <w:sz w:val="15"/>
          <w:szCs w:val="15"/>
          <w:color w:val="auto"/>
        </w:rPr>
        <w:t>The effective income tax rate is less than the statutory rates because of the effect of non-taxable income in each period presented.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 for the second quarter was up in the core businesses of</w:t>
      </w:r>
    </w:p>
    <w:p>
      <w:pPr>
        <w:spacing w:after="0" w:line="1"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5"/>
          <w:szCs w:val="15"/>
          <w:color w:val="auto"/>
        </w:rPr>
        <w:t>Casegoods, Tables and Upholstery.</w:t>
      </w:r>
      <w:r>
        <w:rPr>
          <w:sz w:val="20"/>
          <w:szCs w:val="20"/>
          <w:color w:val="auto"/>
        </w:rPr>
        <w:tab/>
      </w:r>
      <w:r>
        <w:rPr>
          <w:rFonts w:ascii="Courier New" w:cs="Courier New" w:eastAsia="Courier New" w:hAnsi="Courier New"/>
          <w:sz w:val="14"/>
          <w:szCs w:val="14"/>
          <w:color w:val="auto"/>
        </w:rPr>
        <w:t>However, operating income was down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Bedding Division, and in the discontinued National/Mt. Airy and Impact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Furniture Divisions.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provided by operating activities: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322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Six Months Ended May 31,</w:t>
            </w:r>
          </w:p>
        </w:tc>
        <w:tc>
          <w:tcPr>
            <w:tcW w:w="29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4660" w:type="dxa"/>
            <w:vAlign w:val="bottom"/>
          </w:tcPr>
          <w:p>
            <w:pPr>
              <w:spacing w:after="0"/>
              <w:rPr>
                <w:sz w:val="14"/>
                <w:szCs w:val="14"/>
                <w:color w:val="auto"/>
              </w:rPr>
            </w:pPr>
          </w:p>
        </w:tc>
        <w:tc>
          <w:tcPr>
            <w:tcW w:w="212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79"/>
              </w:rPr>
              <w:t>------------------------</w:t>
            </w:r>
          </w:p>
        </w:tc>
        <w:tc>
          <w:tcPr>
            <w:tcW w:w="1100" w:type="dxa"/>
            <w:vAlign w:val="bottom"/>
          </w:tcPr>
          <w:p>
            <w:pPr>
              <w:spacing w:after="0"/>
              <w:rPr>
                <w:sz w:val="14"/>
                <w:szCs w:val="14"/>
                <w:color w:val="auto"/>
              </w:rPr>
            </w:pPr>
          </w:p>
        </w:tc>
        <w:tc>
          <w:tcPr>
            <w:tcW w:w="29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t>
            </w:r>
          </w:p>
        </w:tc>
      </w:tr>
      <w:tr>
        <w:trPr>
          <w:trHeight w:val="171"/>
        </w:trPr>
        <w:tc>
          <w:tcPr>
            <w:tcW w:w="4660" w:type="dxa"/>
            <w:vAlign w:val="bottom"/>
          </w:tcPr>
          <w:p>
            <w:pPr>
              <w:spacing w:after="0"/>
              <w:rPr>
                <w:sz w:val="14"/>
                <w:szCs w:val="14"/>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4660" w:type="dxa"/>
            <w:vAlign w:val="bottom"/>
          </w:tcPr>
          <w:p>
            <w:pPr>
              <w:spacing w:after="0"/>
              <w:rPr>
                <w:sz w:val="14"/>
                <w:szCs w:val="14"/>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66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 (thousands)</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$6,369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$22,885</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$16,921</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$4,484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$11,046</w:t>
            </w:r>
          </w:p>
        </w:tc>
      </w:tr>
    </w:tbl>
    <w:p>
      <w:pPr>
        <w:spacing w:after="0" w:line="345" w:lineRule="exact"/>
        <w:rPr>
          <w:sz w:val="20"/>
          <w:szCs w:val="20"/>
          <w:color w:val="auto"/>
        </w:rPr>
      </w:pPr>
    </w:p>
    <w:p>
      <w:pPr>
        <w:ind w:right="4360"/>
        <w:spacing w:after="0" w:line="239" w:lineRule="auto"/>
        <w:rPr>
          <w:sz w:val="20"/>
          <w:szCs w:val="20"/>
          <w:color w:val="auto"/>
        </w:rPr>
      </w:pPr>
      <w:r>
        <w:rPr>
          <w:rFonts w:ascii="Courier New" w:cs="Courier New" w:eastAsia="Courier New" w:hAnsi="Courier New"/>
          <w:sz w:val="15"/>
          <w:szCs w:val="15"/>
          <w:color w:val="auto"/>
        </w:rPr>
        <w:t>The current ratio was 5.48 to 1 at May 31, 1997 and 6.42 to 1 at November 30, 1996. Working capital was $146 million at May 31, 1997, compared to $164 million at November 30, 1996.</w:t>
      </w:r>
    </w:p>
    <w:p>
      <w:pPr>
        <w:spacing w:after="0" w:line="175" w:lineRule="exact"/>
        <w:rPr>
          <w:sz w:val="20"/>
          <w:szCs w:val="20"/>
          <w:color w:val="auto"/>
        </w:rPr>
      </w:pPr>
    </w:p>
    <w:p>
      <w:pPr>
        <w:ind w:right="4540"/>
        <w:spacing w:after="0" w:line="238" w:lineRule="auto"/>
        <w:rPr>
          <w:sz w:val="20"/>
          <w:szCs w:val="20"/>
          <w:color w:val="auto"/>
        </w:rPr>
      </w:pPr>
      <w:r>
        <w:rPr>
          <w:rFonts w:ascii="Courier New" w:cs="Courier New" w:eastAsia="Courier New" w:hAnsi="Courier New"/>
          <w:sz w:val="15"/>
          <w:szCs w:val="15"/>
          <w:color w:val="auto"/>
        </w:rPr>
        <w:t>Cash provided by operating activities is expected to be adequate for normal future operating requirements.</w:t>
      </w:r>
    </w:p>
    <w:p>
      <w:pPr>
        <w:spacing w:after="0" w:line="175" w:lineRule="exact"/>
        <w:rPr>
          <w:sz w:val="20"/>
          <w:szCs w:val="20"/>
          <w:color w:val="auto"/>
        </w:rPr>
      </w:pPr>
    </w:p>
    <w:p>
      <w:pPr>
        <w:ind w:right="4440"/>
        <w:spacing w:after="0" w:line="239" w:lineRule="auto"/>
        <w:rPr>
          <w:sz w:val="20"/>
          <w:szCs w:val="20"/>
          <w:color w:val="auto"/>
        </w:rPr>
      </w:pPr>
      <w:r>
        <w:rPr>
          <w:rFonts w:ascii="Courier New" w:cs="Courier New" w:eastAsia="Courier New" w:hAnsi="Courier New"/>
          <w:sz w:val="15"/>
          <w:szCs w:val="15"/>
          <w:color w:val="auto"/>
        </w:rPr>
        <w:t>There were no material commitments for capital expenditures at May 31, 1997. Capital expenditures that will be made in the future for normal expansion or other operating purposes will be made from funds on hand or those generated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Page 7 of 9</w:t>
      </w:r>
    </w:p>
    <w:p>
      <w:pPr>
        <w:sectPr>
          <w:pgSz w:w="11900" w:h="16838" w:orient="portrait"/>
          <w:cols w:equalWidth="0" w:num="1">
            <w:col w:w="11180"/>
          </w:cols>
          <w:pgMar w:left="240" w:top="287" w:right="479"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 w:lineRule="exact"/>
        <w:rPr>
          <w:sz w:val="20"/>
          <w:szCs w:val="20"/>
          <w:color w:val="auto"/>
        </w:rPr>
      </w:pPr>
    </w:p>
    <w:p>
      <w:pPr>
        <w:jc w:val="center"/>
        <w:ind w:right="3230"/>
        <w:spacing w:after="0"/>
        <w:rPr>
          <w:sz w:val="20"/>
          <w:szCs w:val="20"/>
          <w:color w:val="auto"/>
        </w:rPr>
      </w:pPr>
      <w:r>
        <w:rPr>
          <w:rFonts w:ascii="Courier New" w:cs="Courier New" w:eastAsia="Courier New" w:hAnsi="Courier New"/>
          <w:sz w:val="15"/>
          <w:szCs w:val="15"/>
          <w:color w:val="auto"/>
        </w:rPr>
        <w:t>PART II - OTHER INFORMATION</w:t>
      </w:r>
    </w:p>
    <w:p>
      <w:pPr>
        <w:spacing w:after="0" w:line="1" w:lineRule="exact"/>
        <w:rPr>
          <w:sz w:val="20"/>
          <w:szCs w:val="20"/>
          <w:color w:val="auto"/>
        </w:rPr>
      </w:pPr>
    </w:p>
    <w:p>
      <w:pPr>
        <w:jc w:val="center"/>
        <w:ind w:right="323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42"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1" w:lineRule="exact"/>
        <w:rPr>
          <w:sz w:val="20"/>
          <w:szCs w:val="20"/>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789" w:hanging="434"/>
        <w:spacing w:after="0"/>
        <w:tabs>
          <w:tab w:leader="none" w:pos="78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349" w:right="339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report on Form 8-K was filed on May 27, 1997 reporting the events discussed in Note A of the Notes To Condensed Consolidated Financial Statements included in this Form 10-Q for the quarter ended May 31, 1997.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jc w:val="both"/>
        <w:ind w:left="9"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Fulton, Chairman of the Board, and Chief Executive Officer</w:t>
      </w:r>
    </w:p>
    <w:p>
      <w:pPr>
        <w:spacing w:after="0" w:line="342"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DATE:</w:t>
        <w:tab/>
        <w:t>July 9, 1997</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Philip E. Booker, Vice President, Controller (Chief Accounting Officer)</w:t>
      </w:r>
    </w:p>
    <w:p>
      <w:pPr>
        <w:spacing w:after="0" w:line="342" w:lineRule="exact"/>
        <w:rPr>
          <w:sz w:val="20"/>
          <w:szCs w:val="20"/>
          <w:color w:val="auto"/>
        </w:rPr>
      </w:pPr>
    </w:p>
    <w:p>
      <w:pPr>
        <w:ind w:left="9"/>
        <w:spacing w:after="0"/>
        <w:tabs>
          <w:tab w:leader="none" w:pos="60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July 9, 1997</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Page 8 of 9</w:t>
      </w:r>
    </w:p>
    <w:p>
      <w:pPr>
        <w:sectPr>
          <w:pgSz w:w="11900" w:h="16838" w:orient="portrait"/>
          <w:cols w:equalWidth="0" w:num="1">
            <w:col w:w="10228"/>
          </w:cols>
          <w:pgMar w:left="231"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QUARTERLY REPORT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For the quarter ended</w:t>
      </w:r>
    </w:p>
    <w:p>
      <w:pPr>
        <w:spacing w:after="0" w:line="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May 31,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Commission File Number</w:t>
      </w:r>
    </w:p>
    <w:p>
      <w:pPr>
        <w:spacing w:after="0" w:line="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0-209</w:t>
      </w:r>
    </w:p>
    <w:p>
      <w:pPr>
        <w:spacing w:after="0" w:line="200" w:lineRule="exact"/>
        <w:rPr>
          <w:sz w:val="20"/>
          <w:szCs w:val="20"/>
          <w:color w:val="auto"/>
        </w:rPr>
      </w:pPr>
    </w:p>
    <w:p>
      <w:pPr>
        <w:sectPr>
          <w:pgSz w:w="11900" w:h="16838" w:orient="portrait"/>
          <w:cols w:equalWidth="0" w:num="2">
            <w:col w:w="4420" w:space="720"/>
            <w:col w:w="5079"/>
          </w:cols>
          <w:pgMar w:left="240" w:top="287" w:right="1440" w:bottom="1440" w:gutter="0" w:footer="0" w:header="0"/>
          <w:type w:val="continuous"/>
        </w:sectPr>
      </w:pPr>
    </w:p>
    <w:p>
      <w:pPr>
        <w:spacing w:after="0" w:line="14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BASSETT FURNITURE INDUSTRIES, INCORPORATED</w:t>
      </w:r>
    </w:p>
    <w:p>
      <w:pPr>
        <w:spacing w:after="0" w:line="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1580" w:space="720"/>
            <w:col w:w="2300" w:space="720"/>
            <w:col w:w="4899"/>
          </w:cols>
          <w:pgMar w:left="240" w:top="28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9</w:t>
      </w:r>
    </w:p>
    <w:p>
      <w:pPr>
        <w:spacing w:after="0" w:line="208" w:lineRule="exact"/>
        <w:rPr>
          <w:sz w:val="20"/>
          <w:szCs w:val="20"/>
          <w:color w:val="auto"/>
        </w:rPr>
      </w:pPr>
    </w:p>
    <w:p>
      <w:pPr>
        <w:sectPr>
          <w:pgSz w:w="11900" w:h="16838" w:orient="portrait"/>
          <w:cols w:equalWidth="0" w:num="3">
            <w:col w:w="1400" w:space="720"/>
            <w:col w:w="2660" w:space="720"/>
            <w:col w:w="471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Page 9 of 9</w:t>
      </w:r>
    </w:p>
    <w:p>
      <w:pPr>
        <w:sectPr>
          <w:pgSz w:w="11900" w:h="16838" w:orient="portrait"/>
          <w:cols w:equalWidth="0" w:num="1">
            <w:col w:w="10219"/>
          </w:cols>
          <w:pgMar w:left="240" w:top="287"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6-MOS</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NOV-30-1997</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DEC-01-1996</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MAY-31-1997</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51,620</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31,281</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56,178</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59,390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178,110</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173,119</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128,713</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316,602</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32,489</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65,089</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207,979</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316,602</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223,004</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228,446</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192,931</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234,410</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13,929</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6,235</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4,000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(19,893)</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(9,301)</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(10,592)</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(10,592)</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(.81)</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lvl w:ilvl="1">
      <w:lvlJc w:val="left"/>
      <w:lvlText w:val="(%2)"/>
      <w:numFmt w:val="decimal"/>
      <w:start w:val="27"/>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2019-12-20T04:24:03Z</dcterms:created>
  <dcterms:modified xsi:type="dcterms:W3CDTF">2019-12-20T04:24:03Z</dcterms:modified>
</cp:coreProperties>
</file>