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BASSETT JOHN E III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3525 FAIRYSTONE PARK HWY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 O BOX 626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BASSETT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BASSETT FURNITURE INDUSTRIES</w:t>
              </w:r>
            </w:hyperlink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BSET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Chief Operations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01/11/2025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jc w:val="center"/>
              <w:ind w:righ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52,942.99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52,662.9931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Price of Bassett Furniture Industries Stock at the close of business 01/10/2025.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Includes shares acquired under the 2000 and/or 2017 Employee Stock Purchase Plans in transactions exempt under Rule 16-3(A).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E. Bassett, III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01/14/2025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-2492375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17057" TargetMode="External"/><Relationship Id="rId14" Type="http://schemas.openxmlformats.org/officeDocument/2006/relationships/hyperlink" Target="http://www.sec.gov/cgi-bin/browse-edgar?action=getcompany&amp;CIK=00000103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2025-01-14T16:20:42Z</dcterms:created>
  <dcterms:modified xsi:type="dcterms:W3CDTF">2025-01-14T16:20:42Z</dcterms:modified>
</cp:coreProperties>
</file>