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right"/>
        <w:ind w:right="3579"/>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BASSETT FURNITURE INDUSTRIES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(Title of Class of Securities )</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070203104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IRS</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Identification</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Pioneering Management</w:t>
            </w:r>
          </w:p>
        </w:tc>
      </w:tr>
      <w:tr>
        <w:trPr>
          <w:trHeight w:val="203"/>
        </w:trPr>
        <w:tc>
          <w:tcPr>
            <w:tcW w:w="54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Nos. of Above Persons</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Check the</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7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Member of  Group</w:t>
            </w: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r>
    </w:tbl>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693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Place of Organization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040" w:type="dxa"/>
            <w:vAlign w:val="bottom"/>
          </w:tcPr>
          <w:p>
            <w:pPr>
              <w:ind w:left="320"/>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w w:val="95"/>
              </w:rPr>
              <w:t>500000</w:t>
            </w: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 Reporting</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 With</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c>
          <w:tcPr>
            <w:tcW w:w="86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(8)</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w:t>
            </w: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w w:val="95"/>
              </w:rPr>
              <w:t>500000</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Power</w:t>
            </w:r>
          </w:p>
        </w:tc>
        <w:tc>
          <w:tcPr>
            <w:tcW w:w="860" w:type="dxa"/>
            <w:vAlign w:val="bottom"/>
          </w:tcPr>
          <w:p>
            <w:pPr>
              <w:spacing w:after="0"/>
              <w:rPr>
                <w:sz w:val="17"/>
                <w:szCs w:val="17"/>
                <w:color w:val="auto"/>
              </w:rPr>
            </w:pP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9)</w:t>
            </w:r>
          </w:p>
        </w:tc>
        <w:tc>
          <w:tcPr>
            <w:tcW w:w="3040" w:type="dxa"/>
            <w:vAlign w:val="bottom"/>
          </w:tcPr>
          <w:p>
            <w:pPr>
              <w:ind w:left="320"/>
              <w:spacing w:after="0"/>
              <w:rPr>
                <w:sz w:val="20"/>
                <w:szCs w:val="20"/>
                <w:color w:val="auto"/>
              </w:rPr>
            </w:pPr>
            <w:r>
              <w:rPr>
                <w:rFonts w:ascii="Courier New" w:cs="Courier New" w:eastAsia="Courier New" w:hAnsi="Courier New"/>
                <w:sz w:val="18"/>
                <w:szCs w:val="18"/>
                <w:color w:val="auto"/>
              </w:rPr>
              <w:t>Aggregate Amount Bene-</w:t>
            </w:r>
          </w:p>
        </w:tc>
        <w:tc>
          <w:tcPr>
            <w:tcW w:w="316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500000</w:t>
            </w:r>
          </w:p>
        </w:tc>
        <w:tc>
          <w:tcPr>
            <w:tcW w:w="8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ficially Owned by Each</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7" w:lineRule="exact"/>
        <w:rPr>
          <w:sz w:val="24"/>
          <w:szCs w:val="24"/>
          <w:color w:val="auto"/>
        </w:rPr>
      </w:pPr>
    </w:p>
    <w:p>
      <w:pPr>
        <w:ind w:left="860" w:right="6739" w:hanging="852"/>
        <w:spacing w:after="0" w:line="23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 Certain Shares (See Instructions)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tbl>
      <w:tblPr>
        <w:tblLayout w:type="fixed"/>
        <w:tblInd w:w="860" w:type="dxa"/>
        <w:tblCellMar>
          <w:top w:w="0" w:type="dxa"/>
          <w:left w:w="0" w:type="dxa"/>
          <w:bottom w:w="0" w:type="dxa"/>
          <w:right w:w="0" w:type="dxa"/>
        </w:tblCellMar>
      </w:tblP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Amount in Row 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bl>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860"/>
        <w:spacing w:after="0"/>
        <w:tabs>
          <w:tab w:leader="none" w:pos="4000" w:val="left"/>
        </w:tabs>
        <w:rPr>
          <w:sz w:val="20"/>
          <w:szCs w:val="20"/>
          <w:color w:val="auto"/>
        </w:rPr>
      </w:pPr>
      <w:r>
        <w:rPr>
          <w:rFonts w:ascii="Courier New" w:cs="Courier New" w:eastAsia="Courier New" w:hAnsi="Courier New"/>
          <w:sz w:val="18"/>
          <w:szCs w:val="18"/>
          <w:color w:val="auto"/>
        </w:rPr>
        <w:t>Person (See Instructions)</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649" w:right="1440" w:bottom="106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BASSETT FURNITURE INDUSTRIES</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Address of User's Principal Executive Office's</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Mr.  B.</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M.  Brammer</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Executive Vice President - Finance</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BASSETT FURNITURE INDUSTRIES</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Main Street</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Bassett, VA 24055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Pioneering Management Corporation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60 State Street, Boston, MA 02109</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State Of Delaware - Pioneering Management Corporation.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070203104</w:t>
            </w:r>
          </w:p>
        </w:tc>
        <w:tc>
          <w:tcPr>
            <w:tcW w:w="504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7"/>
              </w:rPr>
              <w:t>The person filing this statement pursuant to Rule 13-1(b)</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or 13d-2 is:</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Investment Adviser registered under Section</w:t>
            </w:r>
          </w:p>
        </w:tc>
      </w:tr>
      <w:tr>
        <w:trPr>
          <w:trHeight w:val="203"/>
        </w:trPr>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203 of the Investment Advisers Act of 1940.</w:t>
            </w:r>
          </w:p>
        </w:tc>
      </w:tr>
    </w:tbl>
    <w:p>
      <w:pPr>
        <w:sectPr>
          <w:pgSz w:w="11900" w:h="16838" w:orient="portrait"/>
          <w:cols w:equalWidth="0" w:num="1">
            <w:col w:w="10219"/>
          </w:cols>
          <w:pgMar w:left="240" w:top="132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478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258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780" w:type="dxa"/>
            <w:vAlign w:val="bottom"/>
          </w:tcPr>
          <w:p>
            <w:pPr>
              <w:ind w:left="200"/>
              <w:spacing w:after="0"/>
              <w:rPr>
                <w:sz w:val="20"/>
                <w:szCs w:val="20"/>
                <w:color w:val="auto"/>
              </w:rPr>
            </w:pPr>
            <w:r>
              <w:rPr>
                <w:rFonts w:ascii="Courier New" w:cs="Courier New" w:eastAsia="Courier New" w:hAnsi="Courier New"/>
                <w:sz w:val="18"/>
                <w:szCs w:val="18"/>
                <w:color w:val="auto"/>
              </w:rPr>
              <w:t>Amount Beneficially Owned</w:t>
            </w:r>
          </w:p>
        </w:tc>
        <w:tc>
          <w:tcPr>
            <w:tcW w:w="2580" w:type="dxa"/>
            <w:vAlign w:val="bottom"/>
          </w:tcPr>
          <w:p>
            <w:pPr>
              <w:ind w:left="1960"/>
              <w:spacing w:after="0"/>
              <w:rPr>
                <w:sz w:val="20"/>
                <w:szCs w:val="20"/>
                <w:color w:val="auto"/>
              </w:rPr>
            </w:pPr>
            <w:r>
              <w:rPr>
                <w:rFonts w:ascii="Courier New" w:cs="Courier New" w:eastAsia="Courier New" w:hAnsi="Courier New"/>
                <w:sz w:val="18"/>
                <w:szCs w:val="18"/>
                <w:color w:val="auto"/>
                <w:w w:val="92"/>
              </w:rPr>
              <w:t>500000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780" w:type="dxa"/>
            <w:vAlign w:val="bottom"/>
          </w:tcPr>
          <w:p>
            <w:pPr>
              <w:ind w:left="200"/>
              <w:spacing w:after="0"/>
              <w:rPr>
                <w:sz w:val="20"/>
                <w:szCs w:val="20"/>
                <w:color w:val="auto"/>
              </w:rPr>
            </w:pPr>
            <w:r>
              <w:rPr>
                <w:rFonts w:ascii="Courier New" w:cs="Courier New" w:eastAsia="Courier New" w:hAnsi="Courier New"/>
                <w:sz w:val="18"/>
                <w:szCs w:val="18"/>
                <w:color w:val="auto"/>
              </w:rPr>
              <w:t>Percent of Class</w:t>
            </w:r>
          </w:p>
        </w:tc>
        <w:tc>
          <w:tcPr>
            <w:tcW w:w="2580" w:type="dxa"/>
            <w:vAlign w:val="bottom"/>
          </w:tcPr>
          <w:p>
            <w:pPr>
              <w:ind w:left="1960"/>
              <w:spacing w:after="0"/>
              <w:rPr>
                <w:sz w:val="20"/>
                <w:szCs w:val="20"/>
                <w:color w:val="auto"/>
              </w:rPr>
            </w:pPr>
            <w:r>
              <w:rPr>
                <w:rFonts w:ascii="Courier New" w:cs="Courier New" w:eastAsia="Courier New" w:hAnsi="Courier New"/>
                <w:sz w:val="18"/>
                <w:szCs w:val="18"/>
                <w:color w:val="auto"/>
              </w:rPr>
              <w:t>3.82%</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sole power</w:t>
            </w:r>
          </w:p>
        </w:tc>
        <w:tc>
          <w:tcPr>
            <w:tcW w:w="426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vote or to direct the vote</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500000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shared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vote 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direct vote</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1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sole power</w:t>
            </w:r>
          </w:p>
        </w:tc>
        <w:tc>
          <w:tcPr>
            <w:tcW w:w="426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dispose or to direct disposition of</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shared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dispose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to direct disposition</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500000</w:t>
            </w:r>
          </w:p>
        </w:tc>
      </w:tr>
    </w:tbl>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5. 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transactions having such purposes or effect.</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believe,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June 10, 1997</w:t>
      </w:r>
    </w:p>
    <w:p>
      <w:pPr>
        <w:ind w:left="19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7359"/>
        <w:spacing w:after="0"/>
        <w:rPr>
          <w:sz w:val="20"/>
          <w:szCs w:val="20"/>
          <w:color w:val="auto"/>
        </w:rPr>
      </w:pPr>
      <w:r>
        <w:rPr>
          <w:rFonts w:ascii="Courier New" w:cs="Courier New" w:eastAsia="Courier New" w:hAnsi="Courier New"/>
          <w:sz w:val="18"/>
          <w:szCs w:val="18"/>
          <w:color w:val="auto"/>
        </w:rPr>
        <w:t>/s/Robert P. Nault</w:t>
      </w:r>
    </w:p>
    <w:p>
      <w:pPr>
        <w:jc w:val="right"/>
        <w:ind w:right="735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P. Nault</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w:t>
      </w:r>
    </w:p>
    <w:p>
      <w:pPr>
        <w:ind w:left="960"/>
        <w:spacing w:after="0"/>
        <w:rPr>
          <w:sz w:val="20"/>
          <w:szCs w:val="20"/>
          <w:color w:val="auto"/>
        </w:rPr>
      </w:pPr>
      <w:r>
        <w:rPr>
          <w:rFonts w:ascii="Courier New" w:cs="Courier New" w:eastAsia="Courier New" w:hAnsi="Courier New"/>
          <w:sz w:val="18"/>
          <w:szCs w:val="18"/>
          <w:color w:val="auto"/>
        </w:rPr>
        <w:t>Type Name and Title</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10"/>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2019-12-12T06:01:27Z</dcterms:created>
  <dcterms:modified xsi:type="dcterms:W3CDTF">2019-12-12T06:01:27Z</dcterms:modified>
</cp:coreProperties>
</file>