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Virginia</w:t>
            </w:r>
          </w:p>
        </w:tc>
        <w:tc>
          <w:tcPr>
            <w:tcW w:w="23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0-209</w:t>
            </w:r>
          </w:p>
        </w:tc>
        <w:tc>
          <w:tcPr>
            <w:tcW w:w="1960" w:type="dxa"/>
            <w:vAlign w:val="bottom"/>
          </w:tcPr>
          <w:p>
            <w:pPr>
              <w:spacing w:after="0"/>
              <w:rPr>
                <w:sz w:val="18"/>
                <w:szCs w:val="18"/>
                <w:color w:val="auto"/>
              </w:rPr>
            </w:pPr>
          </w:p>
        </w:tc>
        <w:tc>
          <w:tcPr>
            <w:tcW w:w="21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54-0135270</w:t>
            </w:r>
          </w:p>
        </w:tc>
      </w:tr>
      <w:tr>
        <w:trPr>
          <w:trHeight w:val="216"/>
        </w:trPr>
        <w:tc>
          <w:tcPr>
            <w:tcW w:w="2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3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(Commission</w:t>
            </w: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3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File Number)</w:t>
            </w: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2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8"/>
              </w:rPr>
              <w:t>3525 Fairystone Park Highway, P.O. Box 626, Bassett, VA</w:t>
            </w:r>
          </w:p>
        </w:tc>
        <w:tc>
          <w:tcPr>
            <w:tcW w:w="1960" w:type="dxa"/>
            <w:vAlign w:val="bottom"/>
          </w:tcPr>
          <w:p>
            <w:pPr>
              <w:spacing w:after="0"/>
              <w:rPr>
                <w:sz w:val="24"/>
                <w:szCs w:val="24"/>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24055</w:t>
            </w:r>
          </w:p>
        </w:tc>
      </w:tr>
      <w:tr>
        <w:trPr>
          <w:trHeight w:val="234"/>
        </w:trPr>
        <w:tc>
          <w:tcPr>
            <w:tcW w:w="524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60" w:type="dxa"/>
            <w:vAlign w:val="bottom"/>
          </w:tcPr>
          <w:p>
            <w:pPr>
              <w:spacing w:after="0"/>
              <w:rPr>
                <w:sz w:val="20"/>
                <w:szCs w:val="20"/>
                <w:color w:val="auto"/>
              </w:rPr>
            </w:pPr>
          </w:p>
        </w:tc>
        <w:tc>
          <w:tcPr>
            <w:tcW w:w="2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2900" w:type="dxa"/>
            <w:vAlign w:val="bottom"/>
          </w:tcPr>
          <w:p>
            <w:pPr>
              <w:spacing w:after="0"/>
              <w:rPr>
                <w:sz w:val="24"/>
                <w:szCs w:val="24"/>
                <w:color w:val="auto"/>
              </w:rPr>
            </w:pP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Jay R. Hervey</w:t>
            </w: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(276)629-6000</w:t>
            </w:r>
          </w:p>
        </w:tc>
        <w:tc>
          <w:tcPr>
            <w:tcW w:w="2140" w:type="dxa"/>
            <w:vAlign w:val="bottom"/>
          </w:tcPr>
          <w:p>
            <w:pPr>
              <w:spacing w:after="0"/>
              <w:rPr>
                <w:sz w:val="24"/>
                <w:szCs w:val="24"/>
                <w:color w:val="auto"/>
              </w:rPr>
            </w:pPr>
          </w:p>
        </w:tc>
      </w:tr>
    </w:tbl>
    <w:p>
      <w:pPr>
        <w:ind w:left="178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jc w:val="center"/>
        <w:ind w:left="5220" w:right="300" w:hanging="4421"/>
        <w:spacing w:after="0" w:line="783" w:lineRule="auto"/>
        <w:tabs>
          <w:tab w:leader="none" w:pos="10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w:t>
      </w:r>
      <w:r>
        <w:rPr>
          <w:rFonts w:ascii="Times New Roman" w:cs="Times New Roman" w:eastAsia="Times New Roman" w:hAnsi="Times New Roman"/>
          <w:sz w:val="18"/>
          <w:szCs w:val="18"/>
          <w:u w:val="single" w:color="auto"/>
          <w:color w:val="auto"/>
        </w:rPr>
        <w:t>2023</w:t>
      </w:r>
      <w:r>
        <w:rPr>
          <w:rFonts w:ascii="Times New Roman" w:cs="Times New Roman" w:eastAsia="Times New Roman" w:hAnsi="Times New Roman"/>
          <w:sz w:val="18"/>
          <w:szCs w:val="18"/>
          <w:color w:val="auto"/>
        </w:rPr>
        <w:t>. 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702"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Reasonable Country of Origin Inquiry Related to SEC Conflict Minerals Rule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Please refer to Rule 13p-1 (Rule 13p-1) under the Securities Exchange Act of 1934 (1934 Act) and the 1934 Act Release No. 34-67716 for definitions of terms used herein, unless otherwise defined herein. In accordance with Rule 13p-1 regarding ‘conflict minerals’ contained in its products for calendar year 2023, Bassett Furniture Industries, Incorporated (“BFI” or the “Company”):</w:t>
      </w:r>
    </w:p>
    <w:p>
      <w:pPr>
        <w:spacing w:after="0" w:line="176" w:lineRule="exact"/>
        <w:rPr>
          <w:sz w:val="20"/>
          <w:szCs w:val="20"/>
          <w:color w:val="auto"/>
        </w:rPr>
      </w:pPr>
    </w:p>
    <w:p>
      <w:pPr>
        <w:jc w:val="both"/>
        <w:ind w:left="980" w:right="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 2013, a six point compliance policy for all suppliers of products or components to the Company. Among other requirements, this policy prohibits the use of materials originating in the Democratic Republic of the Congo (DRC) or any adjoining countries and requires all suppliers to fully cooperate in conducting a reasonable country of origin inquiry.</w:t>
      </w:r>
    </w:p>
    <w:p>
      <w:pPr>
        <w:spacing w:after="0" w:line="173" w:lineRule="exact"/>
        <w:rPr>
          <w:rFonts w:ascii="Times New Roman" w:cs="Times New Roman" w:eastAsia="Times New Roman" w:hAnsi="Times New Roman"/>
          <w:sz w:val="18"/>
          <w:szCs w:val="18"/>
          <w:color w:val="auto"/>
        </w:rPr>
      </w:pPr>
    </w:p>
    <w:p>
      <w:pPr>
        <w:ind w:left="980" w:right="360" w:hanging="324"/>
        <w:spacing w:after="0" w:line="26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Specifically, the policy provides that- </w:t>
      </w:r>
      <w:r>
        <w:rPr>
          <w:rFonts w:ascii="Times New Roman" w:cs="Times New Roman" w:eastAsia="Times New Roman" w:hAnsi="Times New Roman"/>
          <w:sz w:val="18"/>
          <w:szCs w:val="18"/>
          <w:i w:val="1"/>
          <w:iCs w:val="1"/>
          <w:color w:val="auto"/>
        </w:rPr>
        <w:t>[p]ursuant to and in accordance with existing corporate disclosure policies, and in response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 imposed by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Conflict Minerals Rule, BFI has established the following compliance policy:</w:t>
      </w:r>
    </w:p>
    <w:p>
      <w:pPr>
        <w:ind w:left="1620" w:right="32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BFI will undertake all necessary and appropriate measures to address due diligence and reasonable inquiries for its products in accordance with the requirements of the Conflict Minerals Rule.</w:t>
      </w:r>
    </w:p>
    <w:p>
      <w:pPr>
        <w:ind w:left="1620" w:right="2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addition to all other diligence and data compilation efforts, BFI will establish an internal program to coordinate thorough review of its supply chain on at least an annual basis.</w:t>
      </w:r>
    </w:p>
    <w:p>
      <w:pPr>
        <w:ind w:left="162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part of such internal program and consistent with the standards and requirements of the final Conflict Minerals Rule, all BFI furniture suppliers and contractors will be required to (A) conduct a reasonable country of origin inquiry of any materials, products, or components sold or delivered to BFI under any supply agreement, and (B) provide reasonable evidence to BFI certifying (i) that no conflict minerals originating from the DRC or any adjacent country were used in the products sold to BFI, or, (ii) that conflict minerals are included or contained in such materials, products, or components.</w:t>
      </w:r>
    </w:p>
    <w:p>
      <w:pPr>
        <w:spacing w:after="0" w:line="1" w:lineRule="exact"/>
        <w:rPr>
          <w:rFonts w:ascii="Times New Roman" w:cs="Times New Roman" w:eastAsia="Times New Roman" w:hAnsi="Times New Roman"/>
          <w:sz w:val="18"/>
          <w:szCs w:val="18"/>
          <w:i w:val="1"/>
          <w:iCs w:val="1"/>
          <w:color w:val="auto"/>
        </w:rPr>
      </w:pPr>
    </w:p>
    <w:p>
      <w:pPr>
        <w:ind w:left="1620" w:right="160" w:hanging="316"/>
        <w:spacing w:after="0" w:line="250" w:lineRule="auto"/>
        <w:tabs>
          <w:tab w:leader="none" w:pos="16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Upon request, all suppliers will be required to provide (A) a detailed description of the materials, products, or components sold or delivered to BFI that contain conflict minerals, and (B) a detailed narrative explanation and all relevant documentation evidence supporting the specific due diligence methods and standards utilized by the supplier to determine the original market source and country of origin of such conflict minerals.</w:t>
      </w:r>
    </w:p>
    <w:p>
      <w:pPr>
        <w:spacing w:after="0" w:line="1" w:lineRule="exact"/>
        <w:rPr>
          <w:rFonts w:ascii="Times New Roman" w:cs="Times New Roman" w:eastAsia="Times New Roman" w:hAnsi="Times New Roman"/>
          <w:sz w:val="18"/>
          <w:szCs w:val="18"/>
          <w:i w:val="1"/>
          <w:iCs w:val="1"/>
          <w:color w:val="auto"/>
        </w:rPr>
      </w:pPr>
    </w:p>
    <w:p>
      <w:pPr>
        <w:ind w:left="1620" w:right="340" w:hanging="316"/>
        <w:spacing w:after="0" w:line="290" w:lineRule="auto"/>
        <w:tabs>
          <w:tab w:leader="none" w:pos="1620" w:val="left"/>
        </w:tabs>
        <w:numPr>
          <w:ilvl w:val="1"/>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All suppliers will be required to fully cooperate with BFI at all times to coordinate and execute all necessary and appropriate measures to compile and disclose information in furtherance of BFI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compliance obligations under the Conflict Minerals Rule.</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ind w:left="1620" w:hanging="316"/>
        <w:spacing w:after="0" w:line="284" w:lineRule="auto"/>
        <w:tabs>
          <w:tab w:leader="none" w:pos="162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suppliers to BFI are required to develop policies for the reasonable prevention of any conflict minerals originating from the DRC and surrounding countries to be contained in any materials, products, or components sold or delivered to BFI.</w:t>
      </w:r>
    </w:p>
    <w:p>
      <w:pPr>
        <w:spacing w:after="0" w:line="160" w:lineRule="exact"/>
        <w:rPr>
          <w:rFonts w:ascii="Times New Roman" w:cs="Times New Roman" w:eastAsia="Times New Roman" w:hAnsi="Times New Roman"/>
          <w:sz w:val="18"/>
          <w:szCs w:val="18"/>
          <w:i w:val="1"/>
          <w:iCs w:val="1"/>
          <w:color w:val="auto"/>
        </w:rPr>
      </w:pPr>
    </w:p>
    <w:p>
      <w:pPr>
        <w:ind w:left="980" w:right="4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was distributed to suppliers of products contracted by the Company for manufacture or of component items used in products manufactured by the Company that may contain conflict minerals.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forms for CY 2023 were provided to each vendor described above. The vendor was to declare ‘no conflict minerals present’ or ‘conflict minerals present’ with additional information provided.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majority of the vendors whose declaration forms indicated no conflict materials are present.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responses of the few vendors whose declaration forms indicated that some conflict minerals are present.</w:t>
      </w:r>
    </w:p>
    <w:p>
      <w:pPr>
        <w:spacing w:after="0" w:line="36" w:lineRule="exact"/>
        <w:rPr>
          <w:sz w:val="20"/>
          <w:szCs w:val="20"/>
          <w:color w:val="auto"/>
        </w:rPr>
      </w:pPr>
    </w:p>
    <w:p>
      <w:pPr>
        <w:ind w:left="1620" w:hanging="316"/>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material identified was tin as used in solder.</w:t>
      </w:r>
    </w:p>
    <w:p>
      <w:pPr>
        <w:spacing w:after="0" w:line="3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vendor identified the DRC or any adjoining countries as a country of origin for any conflict mineral(s).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Has no reason to believe that any necessary conflict minerals may have originated in the DRC or any adjoining country.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 J. Michael Daniel - Senior Vice President and Chief Financial Officer</w:t>
            </w:r>
          </w:p>
        </w:tc>
        <w:tc>
          <w:tcPr>
            <w:tcW w:w="1860" w:type="dxa"/>
            <w:vAlign w:val="bottom"/>
          </w:tcPr>
          <w:p>
            <w:pPr>
              <w:spacing w:after="0"/>
              <w:rPr>
                <w:sz w:val="18"/>
                <w:szCs w:val="18"/>
                <w:color w:val="auto"/>
              </w:rPr>
            </w:pPr>
          </w:p>
        </w:tc>
        <w:tc>
          <w:tcPr>
            <w:tcW w:w="21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7"/>
              </w:rPr>
              <w:t>May 29, 2024</w:t>
            </w:r>
          </w:p>
        </w:tc>
      </w:tr>
      <w:tr>
        <w:trPr>
          <w:trHeight w:val="20"/>
        </w:trPr>
        <w:tc>
          <w:tcPr>
            <w:tcW w:w="5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By (Signature and Title)</w:t>
            </w:r>
          </w:p>
        </w:tc>
        <w:tc>
          <w:tcPr>
            <w:tcW w:w="1860" w:type="dxa"/>
            <w:vAlign w:val="bottom"/>
          </w:tcPr>
          <w:p>
            <w:pPr>
              <w:spacing w:after="0"/>
              <w:rPr>
                <w:sz w:val="20"/>
                <w:szCs w:val="20"/>
                <w:color w:val="auto"/>
              </w:rPr>
            </w:pPr>
          </w:p>
        </w:tc>
        <w:tc>
          <w:tcPr>
            <w:tcW w:w="21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(Date)</w:t>
            </w:r>
          </w:p>
        </w:tc>
      </w:tr>
      <w:tr>
        <w:trPr>
          <w:trHeight w:val="432"/>
        </w:trPr>
        <w:tc>
          <w:tcPr>
            <w:tcW w:w="7140" w:type="dxa"/>
            <w:vAlign w:val="bottom"/>
            <w:gridSpan w:val="2"/>
          </w:tcPr>
          <w:p>
            <w:pPr>
              <w:ind w:left="5220"/>
              <w:spacing w:after="0"/>
              <w:rPr>
                <w:sz w:val="20"/>
                <w:szCs w:val="20"/>
                <w:color w:val="auto"/>
              </w:rPr>
            </w:pPr>
            <w:r>
              <w:rPr>
                <w:rFonts w:ascii="Times New Roman" w:cs="Times New Roman" w:eastAsia="Times New Roman" w:hAnsi="Times New Roman"/>
                <w:sz w:val="18"/>
                <w:szCs w:val="18"/>
                <w:color w:val="auto"/>
              </w:rPr>
              <w:t>Page 3 of 3</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00"/>
      </w:cols>
      <w:pgMar w:left="320" w:top="5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1"/>
    </w:lvl>
    <w:lvl w:ilvl="1">
      <w:lvlJc w:val="left"/>
      <w:lvlText w:val="%2."/>
      <w:numFmt w:val="decimal"/>
      <w:start w:val="1"/>
    </w:lvl>
  </w:abstractNum>
  <w:abstractNum w:abstractNumId="2">
    <w:nsid w:val="625558EC"/>
    <w:multiLevelType w:val="hybridMultilevel"/>
    <w:lvl w:ilvl="0">
      <w:lvlJc w:val="left"/>
      <w:lvlText w:val="%1"/>
      <w:numFmt w:val="upperLetter"/>
      <w:start w:val="1"/>
    </w:lvl>
    <w:lvl w:ilvl="1">
      <w:lvlJc w:val="left"/>
      <w:lvlText w:val="%2."/>
      <w:numFmt w:val="decimal"/>
      <w:start w:val="6"/>
    </w:lvl>
  </w:abstractNum>
  <w:abstractNum w:abstractNumId="3">
    <w:nsid w:val="238E1F29"/>
    <w:multiLevelType w:val="hybridMultilevel"/>
    <w:lvl w:ilvl="0">
      <w:lvlJc w:val="left"/>
      <w:lvlText w:val="%1."/>
      <w:numFmt w:val="upperLetter"/>
      <w:start w:val="3"/>
    </w:lvl>
    <w:lvl w:ilvl="1">
      <w:lvlJc w:val="left"/>
      <w:lvlText w:val="%2"/>
      <w:numFmt w:val="decimal"/>
      <w:start w:val="1"/>
    </w:lvl>
  </w:abstractNum>
  <w:abstractNum w:abstractNumId="4">
    <w:nsid w:val="46E87CCD"/>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2024-05-30T05:13:18Z</dcterms:created>
  <dcterms:modified xsi:type="dcterms:W3CDTF">2024-05-30T05:13:18Z</dcterms:modified>
</cp:coreProperties>
</file>