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WARDEN WILLIAM C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3525 FAIRYSTONE PARK HWY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 O BOX 626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BASSETT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24055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BASSETT FURNITURE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BSET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03/12/2025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88"/>
        <w:gridCol w:w="453"/>
        <w:gridCol w:w="798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03/12/2025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  <w:r>
              <w:rPr/>
              <w:t xml:space="preserve"> 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15.98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60,642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granted under the 2021 Stock Incentive Plan which is a Rule 16b-3 plan; vests in one year.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Risk of forfeiture until vesting and subject to stock ownership guidelines.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Price of Bassett Furniture Industries Stock at the close of business 03/12/2025.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shares are held in a trust, established by the reporting person's spouse, of which the reporting person is trustee for the benefit of the reporting person's children. The reporting person disclaims beneficial ownership of these securities.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William C. Warden,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72225" TargetMode="External"/><Relationship Id="rId5" Type="http://schemas.openxmlformats.org/officeDocument/2006/relationships/hyperlink" Target="http://www.sec.gov/cgi-bin/browse-edgar?action=getcompany&amp;CIK=00000103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652</Words>
  <Characters>3517</Characters>
  <CharactersWithSpaces>4104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