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6"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2100" w:right="3739" w:hanging="958"/>
        <w:spacing w:after="0" w:line="239" w:lineRule="auto"/>
        <w:tabs>
          <w:tab w:leader="none" w:pos="152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 EXCHANGE ACT OF 1934</w:t>
      </w:r>
    </w:p>
    <w:p>
      <w:pPr>
        <w:spacing w:after="0" w:line="186"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FOR THE QUARTERLY PERIOD ENDED MAY 30, 1998</w:t>
      </w:r>
    </w:p>
    <w:p>
      <w:pPr>
        <w:spacing w:after="0" w:line="186" w:lineRule="exact"/>
        <w:rPr>
          <w:sz w:val="24"/>
          <w:szCs w:val="24"/>
          <w:color w:val="auto"/>
        </w:rPr>
      </w:pPr>
    </w:p>
    <w:p>
      <w:pPr>
        <w:ind w:left="3720"/>
        <w:spacing w:after="0"/>
        <w:rPr>
          <w:sz w:val="20"/>
          <w:szCs w:val="20"/>
          <w:color w:val="auto"/>
        </w:rPr>
      </w:pPr>
      <w:r>
        <w:rPr>
          <w:rFonts w:ascii="Courier New" w:cs="Courier New" w:eastAsia="Courier New" w:hAnsi="Courier New"/>
          <w:sz w:val="16"/>
          <w:szCs w:val="16"/>
          <w:color w:val="auto"/>
        </w:rPr>
        <w:t>OR</w:t>
      </w:r>
    </w:p>
    <w:p>
      <w:pPr>
        <w:spacing w:after="0" w:line="372" w:lineRule="exact"/>
        <w:rPr>
          <w:sz w:val="24"/>
          <w:szCs w:val="24"/>
          <w:color w:val="auto"/>
        </w:rPr>
      </w:pPr>
    </w:p>
    <w:p>
      <w:pPr>
        <w:ind w:left="2100" w:right="3639" w:hanging="1148"/>
        <w:spacing w:after="0" w:line="239" w:lineRule="auto"/>
        <w:tabs>
          <w:tab w:leader="none" w:pos="124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 (d) OF THE SECURITIES EXCHANGE ACT OF 1934</w:t>
      </w:r>
    </w:p>
    <w:p>
      <w:pPr>
        <w:sectPr>
          <w:pgSz w:w="11900" w:h="16838" w:orient="portrait"/>
          <w:cols w:equalWidth="0" w:num="1">
            <w:col w:w="10219"/>
          </w:cols>
          <w:pgMar w:left="240" w:top="237" w:right="1440" w:bottom="1440" w:gutter="0" w:footer="0" w:header="0"/>
        </w:sectPr>
      </w:pP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4"/>
          <w:szCs w:val="24"/>
          <w:color w:val="auto"/>
        </w:rPr>
      </w:pPr>
    </w:p>
    <w:p>
      <w:pPr>
        <w:sectPr>
          <w:pgSz w:w="11900" w:h="16838" w:orient="portrait"/>
          <w:cols w:equalWidth="0" w:num="2">
            <w:col w:w="3560" w:space="720"/>
            <w:col w:w="5939"/>
          </w:cols>
          <w:pgMar w:left="240" w:top="237" w:right="1440" w:bottom="1440" w:gutter="0" w:footer="0" w:header="0"/>
          <w:type w:val="continuous"/>
        </w:sect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sectPr>
          <w:pgSz w:w="11900" w:h="16838" w:orient="portrait"/>
          <w:cols w:equalWidth="0" w:num="2">
            <w:col w:w="4200" w:space="380"/>
            <w:col w:w="5639"/>
          </w:cols>
          <w:pgMar w:left="240" w:top="23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Commission File No. 0-209</w:t>
      </w:r>
    </w:p>
    <w:p>
      <w:pPr>
        <w:sectPr>
          <w:pgSz w:w="11900" w:h="16838" w:orient="portrait"/>
          <w:cols w:equalWidth="0" w:num="1">
            <w:col w:w="10219"/>
          </w:cols>
          <w:pgMar w:left="240" w:top="237" w:right="1440" w:bottom="1440" w:gutter="0" w:footer="0" w:header="0"/>
          <w:type w:val="continuous"/>
        </w:sectPr>
      </w:pPr>
    </w:p>
    <w:p>
      <w:pPr>
        <w:spacing w:after="0" w:line="37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6" w:lineRule="exact"/>
        <w:rPr>
          <w:sz w:val="24"/>
          <w:szCs w:val="24"/>
          <w:color w:val="auto"/>
        </w:rPr>
      </w:pPr>
    </w:p>
    <w:tbl>
      <w:tblPr>
        <w:tblLayout w:type="fixed"/>
        <w:tblInd w:w="180" w:type="dxa"/>
        <w:tblCellMar>
          <w:top w:w="0" w:type="dxa"/>
          <w:left w:w="0" w:type="dxa"/>
          <w:bottom w:w="0" w:type="dxa"/>
          <w:right w:w="0" w:type="dxa"/>
        </w:tblCellMar>
      </w:tblPr>
      <w:tr>
        <w:trPr>
          <w:trHeight w:val="181"/>
        </w:trPr>
        <w:tc>
          <w:tcPr>
            <w:tcW w:w="4340" w:type="dxa"/>
            <w:vAlign w:val="bottom"/>
          </w:tcPr>
          <w:p>
            <w:pPr>
              <w:spacing w:after="0"/>
              <w:rPr>
                <w:sz w:val="20"/>
                <w:szCs w:val="20"/>
                <w:color w:val="auto"/>
              </w:rPr>
            </w:pPr>
            <w:r>
              <w:rPr>
                <w:rFonts w:ascii="Courier New" w:cs="Courier New" w:eastAsia="Courier New" w:hAnsi="Courier New"/>
                <w:sz w:val="16"/>
                <w:szCs w:val="16"/>
                <w:color w:val="auto"/>
              </w:rPr>
              <w:t>Virginia</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54-0135270</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(State or other jurisdiction</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(I.R.S. Employer</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of incorporation or organization)</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Identification No.)</w:t>
            </w:r>
          </w:p>
        </w:tc>
      </w:tr>
    </w:tbl>
    <w:p>
      <w:pPr>
        <w:spacing w:after="0" w:line="186" w:lineRule="exact"/>
        <w:rPr>
          <w:sz w:val="24"/>
          <w:szCs w:val="24"/>
          <w:color w:val="auto"/>
        </w:rPr>
      </w:pPr>
    </w:p>
    <w:p>
      <w:pPr>
        <w:ind w:left="2480"/>
        <w:spacing w:after="0"/>
        <w:rPr>
          <w:sz w:val="20"/>
          <w:szCs w:val="20"/>
          <w:color w:val="auto"/>
        </w:rPr>
      </w:pPr>
      <w:r>
        <w:rPr>
          <w:rFonts w:ascii="Courier New" w:cs="Courier New" w:eastAsia="Courier New" w:hAnsi="Courier New"/>
          <w:sz w:val="16"/>
          <w:szCs w:val="16"/>
          <w:color w:val="auto"/>
        </w:rPr>
        <w:t>3525 Fairystone Park Highway</w:t>
      </w:r>
    </w:p>
    <w:p>
      <w:pPr>
        <w:spacing w:after="0" w:line="2" w:lineRule="exact"/>
        <w:rPr>
          <w:sz w:val="24"/>
          <w:szCs w:val="24"/>
          <w:color w:val="auto"/>
        </w:rPr>
      </w:pPr>
    </w:p>
    <w:p>
      <w:pPr>
        <w:ind w:left="2580"/>
        <w:spacing w:after="0"/>
        <w:tabs>
          <w:tab w:leader="none" w:pos="4460" w:val="left"/>
        </w:tabs>
        <w:rPr>
          <w:sz w:val="20"/>
          <w:szCs w:val="20"/>
          <w:color w:val="auto"/>
        </w:rPr>
      </w:pPr>
      <w:r>
        <w:rPr>
          <w:rFonts w:ascii="Courier New" w:cs="Courier New" w:eastAsia="Courier New" w:hAnsi="Courier New"/>
          <w:sz w:val="16"/>
          <w:szCs w:val="16"/>
          <w:color w:val="auto"/>
        </w:rPr>
        <w:t>Bassett, Virginia</w:t>
        <w:tab/>
        <w:t>24055</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(Zip Code)</w:t>
      </w:r>
    </w:p>
    <w:p>
      <w:pPr>
        <w:spacing w:after="0" w:line="369"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(540) 629-6000</w:t>
      </w:r>
    </w:p>
    <w:p>
      <w:pPr>
        <w:spacing w:after="0" w:line="5" w:lineRule="exact"/>
        <w:rPr>
          <w:sz w:val="24"/>
          <w:szCs w:val="24"/>
          <w:color w:val="auto"/>
        </w:rPr>
      </w:pPr>
    </w:p>
    <w:p>
      <w:pPr>
        <w:ind w:right="3459" w:firstLine="1335"/>
        <w:spacing w:after="0" w:line="388" w:lineRule="auto"/>
        <w:rPr>
          <w:sz w:val="20"/>
          <w:szCs w:val="20"/>
          <w:color w:val="auto"/>
        </w:rPr>
      </w:pPr>
      <w:r>
        <w:rPr>
          <w:rFonts w:ascii="Courier New" w:cs="Courier New" w:eastAsia="Courier New" w:hAnsi="Courier New"/>
          <w:sz w:val="15"/>
          <w:szCs w:val="15"/>
          <w:color w:val="auto"/>
        </w:rPr>
        <w:t>(Registrant's telephone number, including area code) Indicate by check mark whether the Registrant (1) has filed all reports</w:t>
      </w:r>
    </w:p>
    <w:p>
      <w:pPr>
        <w:spacing w:after="0" w:line="237" w:lineRule="auto"/>
        <w:rPr>
          <w:sz w:val="20"/>
          <w:szCs w:val="20"/>
          <w:color w:val="auto"/>
        </w:rPr>
      </w:pPr>
      <w:r>
        <w:rPr>
          <w:rFonts w:ascii="Courier New" w:cs="Courier New" w:eastAsia="Courier New" w:hAnsi="Courier New"/>
          <w:sz w:val="16"/>
          <w:szCs w:val="16"/>
          <w:color w:val="auto"/>
        </w:rPr>
        <w:t>required to be filed by Section 13 or 15(d) of the Securities Exchange Act of</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1934 during the preceding 12 months, and (2) has been subject to such filing</w:t>
      </w:r>
    </w:p>
    <w:p>
      <w:pPr>
        <w:spacing w:after="0" w:line="2" w:lineRule="exact"/>
        <w:rPr>
          <w:sz w:val="24"/>
          <w:szCs w:val="24"/>
          <w:color w:val="auto"/>
        </w:rPr>
      </w:pPr>
    </w:p>
    <w:p>
      <w:pPr>
        <w:spacing w:after="0"/>
        <w:tabs>
          <w:tab w:leader="none" w:pos="3420" w:val="left"/>
          <w:tab w:leader="none" w:pos="4180" w:val="left"/>
          <w:tab w:leader="none" w:pos="5500" w:val="left"/>
        </w:tabs>
        <w:rPr>
          <w:sz w:val="20"/>
          <w:szCs w:val="20"/>
          <w:color w:val="auto"/>
        </w:rPr>
      </w:pPr>
      <w:r>
        <w:rPr>
          <w:rFonts w:ascii="Courier New" w:cs="Courier New" w:eastAsia="Courier New" w:hAnsi="Courier New"/>
          <w:sz w:val="16"/>
          <w:szCs w:val="16"/>
          <w:color w:val="auto"/>
        </w:rPr>
        <w:t>requirements for the past 90 days.</w:t>
        <w:tab/>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2" w:lineRule="exact"/>
        <w:rPr>
          <w:sz w:val="24"/>
          <w:szCs w:val="24"/>
          <w:color w:val="auto"/>
        </w:rPr>
      </w:pPr>
    </w:p>
    <w:p>
      <w:pPr>
        <w:ind w:left="3820"/>
        <w:spacing w:after="0"/>
        <w:tabs>
          <w:tab w:leader="none" w:pos="58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37" w:right="1440" w:bottom="1440" w:gutter="0" w:footer="0" w:header="0"/>
          <w:type w:val="continuous"/>
        </w:sectPr>
      </w:pPr>
    </w:p>
    <w:p>
      <w:pPr>
        <w:spacing w:after="0" w:line="188" w:lineRule="exact"/>
        <w:rPr>
          <w:sz w:val="24"/>
          <w:szCs w:val="24"/>
          <w:color w:val="auto"/>
        </w:rPr>
      </w:pPr>
    </w:p>
    <w:p>
      <w:pPr>
        <w:spacing w:after="0" w:line="239" w:lineRule="auto"/>
        <w:rPr>
          <w:sz w:val="20"/>
          <w:szCs w:val="20"/>
          <w:color w:val="auto"/>
        </w:rPr>
      </w:pPr>
      <w:r>
        <w:rPr>
          <w:rFonts w:ascii="Courier New" w:cs="Courier New" w:eastAsia="Courier New" w:hAnsi="Courier New"/>
          <w:sz w:val="16"/>
          <w:szCs w:val="16"/>
          <w:color w:val="auto"/>
        </w:rPr>
        <w:t>At July 7, 1998, 13,075,552 outstanding.</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shares of common stock of the Registrant were</w:t>
      </w:r>
    </w:p>
    <w:p>
      <w:pPr>
        <w:spacing w:after="0" w:line="391" w:lineRule="exact"/>
        <w:rPr>
          <w:sz w:val="24"/>
          <w:szCs w:val="24"/>
          <w:color w:val="auto"/>
        </w:rPr>
      </w:pPr>
    </w:p>
    <w:p>
      <w:pPr>
        <w:sectPr>
          <w:pgSz w:w="11900" w:h="16838" w:orient="portrait"/>
          <w:cols w:equalWidth="0" w:num="2">
            <w:col w:w="2580" w:space="180"/>
            <w:col w:w="7459"/>
          </w:cols>
          <w:pgMar w:left="240" w:top="237" w:right="1440" w:bottom="144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1 of 16</w:t>
      </w:r>
    </w:p>
    <w:p>
      <w:pPr>
        <w:sectPr>
          <w:pgSz w:w="11900" w:h="16838" w:orient="portrait"/>
          <w:cols w:equalWidth="0" w:num="1">
            <w:col w:w="10219"/>
          </w:cols>
          <w:pgMar w:left="240" w:top="237"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PART I - FINANCIAL INFORMATION</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AND SUBSIDIARIES CONDENSED CONSOLIDATED STATEMENTS OF</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OPERATIONS AND RETAINED EARNINGS - UNAUDITED</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69"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3000" w:type="dxa"/>
            <w:vAlign w:val="bottom"/>
            <w:gridSpan w:val="3"/>
          </w:tcPr>
          <w:p>
            <w:pPr>
              <w:jc w:val="right"/>
              <w:ind w:right="221"/>
              <w:spacing w:after="0"/>
              <w:rPr>
                <w:sz w:val="20"/>
                <w:szCs w:val="20"/>
                <w:color w:val="auto"/>
              </w:rPr>
            </w:pPr>
            <w:r>
              <w:rPr>
                <w:rFonts w:ascii="Courier New" w:cs="Courier New" w:eastAsia="Courier New" w:hAnsi="Courier New"/>
                <w:sz w:val="16"/>
                <w:szCs w:val="16"/>
                <w:color w:val="auto"/>
              </w:rPr>
              <w:t>Twenty-six weeks ended</w:t>
            </w: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Thirteen weeks ended</w:t>
            </w:r>
          </w:p>
        </w:tc>
      </w:tr>
      <w:tr>
        <w:trPr>
          <w:trHeight w:val="183"/>
        </w:trPr>
        <w:tc>
          <w:tcPr>
            <w:tcW w:w="3960" w:type="dxa"/>
            <w:vAlign w:val="bottom"/>
          </w:tcPr>
          <w:p>
            <w:pPr>
              <w:spacing w:after="0"/>
              <w:rPr>
                <w:sz w:val="15"/>
                <w:szCs w:val="15"/>
                <w:color w:val="auto"/>
              </w:rPr>
            </w:pPr>
          </w:p>
        </w:tc>
        <w:tc>
          <w:tcPr>
            <w:tcW w:w="3000" w:type="dxa"/>
            <w:vAlign w:val="bottom"/>
            <w:gridSpan w:val="3"/>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May 30, 1998</w:t>
            </w:r>
          </w:p>
        </w:tc>
        <w:tc>
          <w:tcPr>
            <w:tcW w:w="218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May 31, 1997</w:t>
            </w:r>
          </w:p>
        </w:tc>
        <w:tc>
          <w:tcPr>
            <w:tcW w:w="540" w:type="dxa"/>
            <w:vAlign w:val="bottom"/>
          </w:tcPr>
          <w:p>
            <w:pPr>
              <w:spacing w:after="0"/>
              <w:rPr>
                <w:sz w:val="15"/>
                <w:szCs w:val="15"/>
                <w:color w:val="auto"/>
              </w:rPr>
            </w:pPr>
          </w:p>
        </w:tc>
        <w:tc>
          <w:tcPr>
            <w:tcW w:w="132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3"/>
              </w:rPr>
              <w:t>1998</w:t>
            </w:r>
          </w:p>
        </w:tc>
        <w:tc>
          <w:tcPr>
            <w:tcW w:w="680" w:type="dxa"/>
            <w:vAlign w:val="bottom"/>
          </w:tcPr>
          <w:p>
            <w:pPr>
              <w:spacing w:after="0"/>
              <w:rPr>
                <w:sz w:val="15"/>
                <w:szCs w:val="15"/>
                <w:color w:val="auto"/>
              </w:rPr>
            </w:pP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3"/>
              </w:rPr>
              <w:t>1997</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5"/>
                <w:szCs w:val="15"/>
                <w:color w:val="auto"/>
              </w:rPr>
            </w:pPr>
          </w:p>
        </w:tc>
        <w:tc>
          <w:tcPr>
            <w:tcW w:w="132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3"/>
              </w:rPr>
              <w:t>----</w:t>
            </w:r>
          </w:p>
        </w:tc>
        <w:tc>
          <w:tcPr>
            <w:tcW w:w="680" w:type="dxa"/>
            <w:vAlign w:val="bottom"/>
          </w:tcPr>
          <w:p>
            <w:pPr>
              <w:spacing w:after="0"/>
              <w:rPr>
                <w:sz w:val="15"/>
                <w:szCs w:val="15"/>
                <w:color w:val="auto"/>
              </w:rPr>
            </w:pP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3"/>
              </w:rPr>
              <w:t>----</w:t>
            </w:r>
          </w:p>
        </w:tc>
      </w:tr>
      <w:tr>
        <w:trPr>
          <w:trHeight w:val="367"/>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$196,668</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$223,004</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$ 98,335</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$113,198</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00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160,559</w:t>
            </w:r>
          </w:p>
        </w:tc>
        <w:tc>
          <w:tcPr>
            <w:tcW w:w="10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192,930</w:t>
            </w:r>
          </w:p>
        </w:tc>
        <w:tc>
          <w:tcPr>
            <w:tcW w:w="54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79,808</w:t>
            </w:r>
          </w:p>
        </w:tc>
        <w:tc>
          <w:tcPr>
            <w:tcW w:w="68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101,357</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00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36,109</w:t>
            </w:r>
          </w:p>
        </w:tc>
        <w:tc>
          <w:tcPr>
            <w:tcW w:w="10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30,074</w:t>
            </w:r>
          </w:p>
        </w:tc>
        <w:tc>
          <w:tcPr>
            <w:tcW w:w="54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18,527</w:t>
            </w:r>
          </w:p>
        </w:tc>
        <w:tc>
          <w:tcPr>
            <w:tcW w:w="68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11,841</w:t>
            </w:r>
          </w:p>
        </w:tc>
      </w:tr>
      <w:tr>
        <w:trPr>
          <w:trHeight w:val="550"/>
        </w:trPr>
        <w:tc>
          <w:tcPr>
            <w:tcW w:w="39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00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32,153</w:t>
            </w:r>
          </w:p>
        </w:tc>
        <w:tc>
          <w:tcPr>
            <w:tcW w:w="1000" w:type="dxa"/>
            <w:vAlign w:val="bottom"/>
          </w:tcPr>
          <w:p>
            <w:pPr>
              <w:spacing w:after="0"/>
              <w:rPr>
                <w:sz w:val="24"/>
                <w:szCs w:val="24"/>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41,479</w:t>
            </w:r>
          </w:p>
        </w:tc>
        <w:tc>
          <w:tcPr>
            <w:tcW w:w="540" w:type="dxa"/>
            <w:vAlign w:val="bottom"/>
          </w:tcPr>
          <w:p>
            <w:pPr>
              <w:spacing w:after="0"/>
              <w:rPr>
                <w:sz w:val="24"/>
                <w:szCs w:val="24"/>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16,374</w:t>
            </w:r>
          </w:p>
        </w:tc>
        <w:tc>
          <w:tcPr>
            <w:tcW w:w="68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25,631</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Non-recurring charges</w:t>
            </w:r>
          </w:p>
        </w:tc>
        <w:tc>
          <w:tcPr>
            <w:tcW w:w="100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w:t>
            </w:r>
          </w:p>
        </w:tc>
        <w:tc>
          <w:tcPr>
            <w:tcW w:w="10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13,929</w:t>
            </w:r>
          </w:p>
        </w:tc>
        <w:tc>
          <w:tcPr>
            <w:tcW w:w="54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w:t>
            </w:r>
          </w:p>
        </w:tc>
        <w:tc>
          <w:tcPr>
            <w:tcW w:w="68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13,929</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(loss) from operations</w:t>
            </w:r>
          </w:p>
        </w:tc>
        <w:tc>
          <w:tcPr>
            <w:tcW w:w="100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3,956</w:t>
            </w:r>
          </w:p>
        </w:tc>
        <w:tc>
          <w:tcPr>
            <w:tcW w:w="10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(25,334)</w:t>
            </w:r>
          </w:p>
        </w:tc>
        <w:tc>
          <w:tcPr>
            <w:tcW w:w="54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2,153</w:t>
            </w:r>
          </w:p>
        </w:tc>
        <w:tc>
          <w:tcPr>
            <w:tcW w:w="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(27,719)</w:t>
            </w:r>
          </w:p>
        </w:tc>
      </w:tr>
      <w:tr>
        <w:trPr>
          <w:trHeight w:val="550"/>
        </w:trPr>
        <w:tc>
          <w:tcPr>
            <w:tcW w:w="396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100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5,860</w:t>
            </w:r>
          </w:p>
        </w:tc>
        <w:tc>
          <w:tcPr>
            <w:tcW w:w="1000" w:type="dxa"/>
            <w:vAlign w:val="bottom"/>
          </w:tcPr>
          <w:p>
            <w:pPr>
              <w:spacing w:after="0"/>
              <w:rPr>
                <w:sz w:val="24"/>
                <w:szCs w:val="24"/>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5,441</w:t>
            </w:r>
          </w:p>
        </w:tc>
        <w:tc>
          <w:tcPr>
            <w:tcW w:w="540" w:type="dxa"/>
            <w:vAlign w:val="bottom"/>
          </w:tcPr>
          <w:p>
            <w:pPr>
              <w:spacing w:after="0"/>
              <w:rPr>
                <w:sz w:val="24"/>
                <w:szCs w:val="24"/>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3,113</w:t>
            </w:r>
          </w:p>
        </w:tc>
        <w:tc>
          <w:tcPr>
            <w:tcW w:w="68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3,363</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100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9,816</w:t>
            </w:r>
          </w:p>
        </w:tc>
        <w:tc>
          <w:tcPr>
            <w:tcW w:w="10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(19,893)</w:t>
            </w:r>
          </w:p>
        </w:tc>
        <w:tc>
          <w:tcPr>
            <w:tcW w:w="54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5,266</w:t>
            </w:r>
          </w:p>
        </w:tc>
        <w:tc>
          <w:tcPr>
            <w:tcW w:w="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(24,356)</w:t>
            </w:r>
          </w:p>
        </w:tc>
      </w:tr>
      <w:tr>
        <w:trPr>
          <w:trHeight w:val="550"/>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00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(2,422)</w:t>
            </w:r>
          </w:p>
        </w:tc>
        <w:tc>
          <w:tcPr>
            <w:tcW w:w="1000" w:type="dxa"/>
            <w:vAlign w:val="bottom"/>
          </w:tcPr>
          <w:p>
            <w:pPr>
              <w:spacing w:after="0"/>
              <w:rPr>
                <w:sz w:val="24"/>
                <w:szCs w:val="24"/>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9,301</w:t>
            </w:r>
          </w:p>
        </w:tc>
        <w:tc>
          <w:tcPr>
            <w:tcW w:w="54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(1,307)</w:t>
            </w:r>
          </w:p>
        </w:tc>
        <w:tc>
          <w:tcPr>
            <w:tcW w:w="68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10,331</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7,394</w:t>
            </w:r>
          </w:p>
        </w:tc>
        <w:tc>
          <w:tcPr>
            <w:tcW w:w="2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$(10,592)</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3,959</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$(14,025)</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3960" w:type="dxa"/>
            <w:vAlign w:val="bottom"/>
          </w:tcPr>
          <w:p>
            <w:pPr>
              <w:spacing w:after="0"/>
              <w:rPr>
                <w:sz w:val="20"/>
                <w:szCs w:val="20"/>
                <w:color w:val="auto"/>
              </w:rPr>
            </w:pPr>
            <w:r>
              <w:rPr>
                <w:rFonts w:ascii="Courier New" w:cs="Courier New" w:eastAsia="Courier New" w:hAnsi="Courier New"/>
                <w:sz w:val="16"/>
                <w:szCs w:val="16"/>
                <w:color w:val="auto"/>
              </w:rPr>
              <w:t>Retained earnings-beginning of period</w:t>
            </w:r>
          </w:p>
        </w:tc>
        <w:tc>
          <w:tcPr>
            <w:tcW w:w="100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188,761</w:t>
            </w:r>
          </w:p>
        </w:tc>
        <w:tc>
          <w:tcPr>
            <w:tcW w:w="1000" w:type="dxa"/>
            <w:vAlign w:val="bottom"/>
          </w:tcPr>
          <w:p>
            <w:pPr>
              <w:spacing w:after="0"/>
              <w:rPr>
                <w:sz w:val="24"/>
                <w:szCs w:val="24"/>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222,417</w:t>
            </w:r>
          </w:p>
        </w:tc>
        <w:tc>
          <w:tcPr>
            <w:tcW w:w="540" w:type="dxa"/>
            <w:vAlign w:val="bottom"/>
          </w:tcPr>
          <w:p>
            <w:pPr>
              <w:spacing w:after="0"/>
              <w:rPr>
                <w:sz w:val="24"/>
                <w:szCs w:val="24"/>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189,586</w:t>
            </w:r>
          </w:p>
        </w:tc>
        <w:tc>
          <w:tcPr>
            <w:tcW w:w="68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220,620</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Cash dividends</w:t>
            </w:r>
          </w:p>
        </w:tc>
        <w:tc>
          <w:tcPr>
            <w:tcW w:w="100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(5,225)</w:t>
            </w:r>
          </w:p>
        </w:tc>
        <w:tc>
          <w:tcPr>
            <w:tcW w:w="10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(7,834)</w:t>
            </w:r>
          </w:p>
        </w:tc>
        <w:tc>
          <w:tcPr>
            <w:tcW w:w="54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(2,615)</w:t>
            </w:r>
          </w:p>
        </w:tc>
        <w:tc>
          <w:tcPr>
            <w:tcW w:w="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(2,604)</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Purchase and retirement of</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960" w:type="dxa"/>
            <w:vAlign w:val="bottom"/>
          </w:tcPr>
          <w:p>
            <w:pPr>
              <w:ind w:left="280"/>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w:t>
            </w:r>
          </w:p>
        </w:tc>
        <w:tc>
          <w:tcPr>
            <w:tcW w:w="100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(1,006)</w:t>
            </w:r>
          </w:p>
        </w:tc>
        <w:tc>
          <w:tcPr>
            <w:tcW w:w="54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w:t>
            </w:r>
          </w:p>
        </w:tc>
        <w:tc>
          <w:tcPr>
            <w:tcW w:w="6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(1,006)</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Retained earnings-end of period</w:t>
            </w: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$190,930</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$202,985</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$190,930</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$202,985</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396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0.57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(0.81)</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0.30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0.56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(0.81)</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0.30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Dividends per share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0.40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0.60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0.20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0.20</w:t>
            </w:r>
          </w:p>
        </w:tc>
      </w:tr>
      <w:tr>
        <w:trPr>
          <w:trHeight w:val="183"/>
        </w:trPr>
        <w:tc>
          <w:tcPr>
            <w:tcW w:w="3960" w:type="dxa"/>
            <w:vAlign w:val="bottom"/>
          </w:tcPr>
          <w:p>
            <w:pPr>
              <w:spacing w:after="0"/>
              <w:rPr>
                <w:sz w:val="15"/>
                <w:szCs w:val="15"/>
                <w:color w:val="auto"/>
              </w:rPr>
            </w:pPr>
          </w:p>
        </w:tc>
        <w:tc>
          <w:tcPr>
            <w:tcW w:w="2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right="4280"/>
        <w:spacing w:after="0" w:line="239" w:lineRule="auto"/>
        <w:rPr>
          <w:sz w:val="20"/>
          <w:szCs w:val="20"/>
          <w:color w:val="auto"/>
        </w:rPr>
      </w:pPr>
      <w:r>
        <w:rPr>
          <w:rFonts w:ascii="Courier New" w:cs="Courier New" w:eastAsia="Courier New" w:hAnsi="Courier New"/>
          <w:sz w:val="16"/>
          <w:szCs w:val="16"/>
          <w:color w:val="auto"/>
        </w:rPr>
        <w:t>The accompanying notes to condensed consolidated financial statements are an intergral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 of 16</w:t>
      </w:r>
    </w:p>
    <w:p>
      <w:pPr>
        <w:sectPr>
          <w:pgSz w:w="11900" w:h="16838" w:orient="portrait"/>
          <w:cols w:equalWidth="0" w:num="1">
            <w:col w:w="11520"/>
          </w:cols>
          <w:pgMar w:left="240" w:top="298"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PART I - FINANCIAL INFORMATION - CONTINUED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AND SUBSIDIARIES CONDENSED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CONSOLIDATED BALANCE SHEETS - UNAUDITED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MAY 30, 1998 AND NOVEMBER 30, 1997</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62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140" w:type="dxa"/>
            <w:vAlign w:val="bottom"/>
          </w:tcPr>
          <w:p>
            <w:pPr>
              <w:spacing w:after="0"/>
              <w:rPr>
                <w:sz w:val="15"/>
                <w:szCs w:val="15"/>
                <w:color w:val="auto"/>
              </w:rPr>
            </w:pPr>
          </w:p>
        </w:tc>
        <w:tc>
          <w:tcPr>
            <w:tcW w:w="13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1998</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3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Cash &amp; cash quivalents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24,038</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29,552</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Marketable securities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49,796</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49,985</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Trade accounts receivable,net</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50,233</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57,327</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Inventories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48,019</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41,714</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Prepaid expenses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657</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1,405</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Refundable income taxes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4,944</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5,025</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Deferred income taxes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13,117</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15,476</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190,804</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200,484</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Property &amp; equipment:</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Cost</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171,746</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168,026</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Allowances for depreciation</w:t>
            </w:r>
          </w:p>
        </w:tc>
        <w:tc>
          <w:tcPr>
            <w:tcW w:w="114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(126,312)</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(124,547)</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Total property &amp; equipment</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45,434</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43,479</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Other long-term assets:</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Investment securities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33,268</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29,922</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Investment in affiliated companies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33,288</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30,502</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Deferred income taxes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1,458</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1,866</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Assets held for sale</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2,837</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3,506</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10,066</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10,566</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Total other long-term assets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80,917</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76,362</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$ 317,155</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$ 320,325</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Accounts payable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13,934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21,694</w:t>
            </w: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Other accrued liabilities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25,556</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26,213</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39,490</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47,907</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Long-term liabilities</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Employee benefits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11,624</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11,248</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Common stock</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65,390</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65,256</w:t>
            </w:r>
          </w:p>
        </w:tc>
      </w:tr>
      <w:tr>
        <w:trPr>
          <w:trHeight w:val="183"/>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Additional paid in capital</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3,090</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2,438</w:t>
            </w:r>
          </w:p>
        </w:tc>
      </w:tr>
      <w:tr>
        <w:trPr>
          <w:trHeight w:val="183"/>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Retained earnings</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190,930</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188,761</w:t>
            </w:r>
          </w:p>
        </w:tc>
      </w:tr>
      <w:tr>
        <w:trPr>
          <w:trHeight w:val="183"/>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Unrealized holding gains,net of income tax effect</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7,929</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5,575</w:t>
            </w:r>
          </w:p>
        </w:tc>
      </w:tr>
      <w:tr>
        <w:trPr>
          <w:trHeight w:val="183"/>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Unamorized stock compensation</w:t>
            </w:r>
          </w:p>
        </w:tc>
        <w:tc>
          <w:tcPr>
            <w:tcW w:w="114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(1,298)</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(860)</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114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266,041</w:t>
            </w:r>
          </w:p>
        </w:tc>
        <w:tc>
          <w:tcPr>
            <w:tcW w:w="5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261,170</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$ 317,155</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$ 320,325</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The accompanying notes to condensed consolidated financial statements are an integral part of the condensed consolidated financial statements.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 of 16</w:t>
      </w:r>
    </w:p>
    <w:p>
      <w:pPr>
        <w:sectPr>
          <w:pgSz w:w="11900" w:h="16838" w:orient="portrait"/>
          <w:cols w:equalWidth="0" w:num="1">
            <w:col w:w="10219"/>
          </w:cols>
          <w:pgMar w:left="240" w:top="298"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jc w:val="center"/>
        <w:ind w:right="2599"/>
        <w:spacing w:after="0" w:line="241" w:lineRule="auto"/>
        <w:rPr>
          <w:sz w:val="20"/>
          <w:szCs w:val="20"/>
          <w:color w:val="auto"/>
        </w:rPr>
      </w:pPr>
      <w:r>
        <w:rPr>
          <w:rFonts w:ascii="Courier New" w:cs="Courier New" w:eastAsia="Courier New" w:hAnsi="Courier New"/>
          <w:sz w:val="16"/>
          <w:szCs w:val="16"/>
          <w:color w:val="auto"/>
        </w:rPr>
        <w:t>BASSETT FURNITURE INDUSTRIES, INCORPORATED AND SUBSIDIARIES CONDENSED CONSOLIDATED SATEMENTS OF CASH FLOWS - UNAUDITED FOR THE 26 WEEK PERIOD ENDED MAY 30, 1998 AND MAY 31, 1997</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6480" w:type="dxa"/>
            <w:vAlign w:val="bottom"/>
          </w:tcPr>
          <w:p>
            <w:pPr>
              <w:ind w:left="1900"/>
              <w:spacing w:after="0"/>
              <w:rPr>
                <w:sz w:val="20"/>
                <w:szCs w:val="20"/>
                <w:color w:val="auto"/>
              </w:rPr>
            </w:pPr>
            <w:r>
              <w:rPr>
                <w:rFonts w:ascii="Courier New" w:cs="Courier New" w:eastAsia="Courier New" w:hAnsi="Courier New"/>
                <w:sz w:val="16"/>
                <w:szCs w:val="16"/>
                <w:color w:val="auto"/>
              </w:rPr>
              <w:t>(in thousands except per share data)</w:t>
            </w: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917"/>
        </w:trPr>
        <w:tc>
          <w:tcPr>
            <w:tcW w:w="6480" w:type="dxa"/>
            <w:vAlign w:val="bottom"/>
          </w:tcPr>
          <w:p>
            <w:pPr>
              <w:spacing w:after="0"/>
              <w:rPr>
                <w:sz w:val="24"/>
                <w:szCs w:val="24"/>
                <w:color w:val="auto"/>
              </w:rPr>
            </w:pPr>
          </w:p>
        </w:tc>
        <w:tc>
          <w:tcPr>
            <w:tcW w:w="1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4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$ 7,394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($10,592)</w:t>
            </w:r>
          </w:p>
        </w:tc>
      </w:tr>
      <w:tr>
        <w:trPr>
          <w:trHeight w:val="183"/>
        </w:trPr>
        <w:tc>
          <w:tcPr>
            <w:tcW w:w="6480" w:type="dxa"/>
            <w:vAlign w:val="bottom"/>
          </w:tcPr>
          <w:p>
            <w:pPr>
              <w:ind w:left="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6480" w:type="dxa"/>
            <w:vAlign w:val="bottom"/>
          </w:tcPr>
          <w:p>
            <w:pPr>
              <w:ind w:left="80"/>
              <w:spacing w:after="0"/>
              <w:rPr>
                <w:sz w:val="20"/>
                <w:szCs w:val="20"/>
                <w:color w:val="auto"/>
              </w:rPr>
            </w:pPr>
            <w:r>
              <w:rPr>
                <w:rFonts w:ascii="Courier New" w:cs="Courier New" w:eastAsia="Courier New" w:hAnsi="Courier New"/>
                <w:sz w:val="16"/>
                <w:szCs w:val="16"/>
                <w:color w:val="auto"/>
              </w:rPr>
              <w:t>Operating Activities:</w:t>
            </w: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Non-recurring charges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17,592</w:t>
            </w:r>
          </w:p>
        </w:tc>
      </w:tr>
      <w:tr>
        <w:trPr>
          <w:trHeight w:val="183"/>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Depreciation and amortization</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3,464</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3,538</w:t>
            </w:r>
          </w:p>
        </w:tc>
      </w:tr>
      <w:tr>
        <w:trPr>
          <w:trHeight w:val="183"/>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Equity in undistributed income of affiliated companies</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(3,331)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(2,755)</w:t>
            </w:r>
          </w:p>
        </w:tc>
      </w:tr>
      <w:tr>
        <w:trPr>
          <w:trHeight w:val="367"/>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Provision for losses on trade accounts receivable</w:t>
            </w:r>
          </w:p>
        </w:tc>
        <w:tc>
          <w:tcPr>
            <w:tcW w:w="182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210</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362</w:t>
            </w:r>
          </w:p>
        </w:tc>
        <w:tc>
          <w:tcPr>
            <w:tcW w:w="1240" w:type="dxa"/>
            <w:vAlign w:val="bottom"/>
          </w:tcPr>
          <w:p>
            <w:pPr>
              <w:spacing w:after="0"/>
              <w:rPr>
                <w:sz w:val="15"/>
                <w:szCs w:val="15"/>
                <w:color w:val="auto"/>
              </w:rPr>
            </w:pPr>
          </w:p>
        </w:tc>
      </w:tr>
      <w:tr>
        <w:trPr>
          <w:trHeight w:val="183"/>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Provision for deferred income taxes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1,114</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508</w:t>
            </w:r>
          </w:p>
        </w:tc>
      </w:tr>
      <w:tr>
        <w:trPr>
          <w:trHeight w:val="183"/>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Net gain from sales of investment securities</w:t>
            </w:r>
          </w:p>
        </w:tc>
        <w:tc>
          <w:tcPr>
            <w:tcW w:w="18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(234)</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(206)</w:t>
            </w:r>
          </w:p>
        </w:tc>
        <w:tc>
          <w:tcPr>
            <w:tcW w:w="1240" w:type="dxa"/>
            <w:vAlign w:val="bottom"/>
          </w:tcPr>
          <w:p>
            <w:pPr>
              <w:spacing w:after="0"/>
              <w:rPr>
                <w:sz w:val="15"/>
                <w:szCs w:val="15"/>
                <w:color w:val="auto"/>
              </w:rPr>
            </w:pPr>
          </w:p>
        </w:tc>
      </w:tr>
      <w:tr>
        <w:trPr>
          <w:trHeight w:val="183"/>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Net gain from sales of property &amp; equipment</w:t>
            </w:r>
          </w:p>
        </w:tc>
        <w:tc>
          <w:tcPr>
            <w:tcW w:w="18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(930)</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(349)</w:t>
            </w:r>
          </w:p>
        </w:tc>
        <w:tc>
          <w:tcPr>
            <w:tcW w:w="1240" w:type="dxa"/>
            <w:vAlign w:val="bottom"/>
          </w:tcPr>
          <w:p>
            <w:pPr>
              <w:spacing w:after="0"/>
              <w:rPr>
                <w:sz w:val="15"/>
                <w:szCs w:val="15"/>
                <w:color w:val="auto"/>
              </w:rPr>
            </w:pPr>
          </w:p>
        </w:tc>
      </w:tr>
      <w:tr>
        <w:trPr>
          <w:trHeight w:val="183"/>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Compensation earned under restricted stock plan</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105</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480" w:type="dxa"/>
            <w:vAlign w:val="bottom"/>
          </w:tcPr>
          <w:p>
            <w:pPr>
              <w:ind w:left="660"/>
              <w:spacing w:after="0"/>
              <w:rPr>
                <w:sz w:val="20"/>
                <w:szCs w:val="20"/>
                <w:color w:val="auto"/>
              </w:rPr>
            </w:pPr>
            <w:r>
              <w:rPr>
                <w:rFonts w:ascii="Courier New" w:cs="Courier New" w:eastAsia="Courier New" w:hAnsi="Courier New"/>
                <w:sz w:val="16"/>
                <w:szCs w:val="16"/>
                <w:color w:val="auto"/>
              </w:rPr>
              <w:t>Changes in operating assets &amp; liabilities:</w:t>
            </w: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6480" w:type="dxa"/>
            <w:vAlign w:val="bottom"/>
          </w:tcPr>
          <w:p>
            <w:pPr>
              <w:ind w:left="1240"/>
              <w:spacing w:after="0"/>
              <w:rPr>
                <w:sz w:val="20"/>
                <w:szCs w:val="20"/>
                <w:color w:val="auto"/>
              </w:rPr>
            </w:pPr>
            <w:r>
              <w:rPr>
                <w:rFonts w:ascii="Courier New" w:cs="Courier New" w:eastAsia="Courier New" w:hAnsi="Courier New"/>
                <w:sz w:val="16"/>
                <w:szCs w:val="16"/>
                <w:color w:val="auto"/>
              </w:rPr>
              <w:t>Trade accounts receivable</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6,732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778</w:t>
            </w:r>
          </w:p>
        </w:tc>
      </w:tr>
      <w:tr>
        <w:trPr>
          <w:trHeight w:val="183"/>
        </w:trPr>
        <w:tc>
          <w:tcPr>
            <w:tcW w:w="6480" w:type="dxa"/>
            <w:vAlign w:val="bottom"/>
          </w:tcPr>
          <w:p>
            <w:pPr>
              <w:ind w:left="1240"/>
              <w:spacing w:after="0"/>
              <w:rPr>
                <w:sz w:val="20"/>
                <w:szCs w:val="20"/>
                <w:color w:val="auto"/>
              </w:rPr>
            </w:pPr>
            <w:r>
              <w:rPr>
                <w:rFonts w:ascii="Courier New" w:cs="Courier New" w:eastAsia="Courier New" w:hAnsi="Courier New"/>
                <w:sz w:val="16"/>
                <w:szCs w:val="16"/>
                <w:color w:val="auto"/>
              </w:rPr>
              <w:t>Inventory</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(6,305)</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1,498</w:t>
            </w:r>
          </w:p>
        </w:tc>
      </w:tr>
      <w:tr>
        <w:trPr>
          <w:trHeight w:val="183"/>
        </w:trPr>
        <w:tc>
          <w:tcPr>
            <w:tcW w:w="6480" w:type="dxa"/>
            <w:vAlign w:val="bottom"/>
          </w:tcPr>
          <w:p>
            <w:pPr>
              <w:ind w:left="1240"/>
              <w:spacing w:after="0"/>
              <w:rPr>
                <w:sz w:val="20"/>
                <w:szCs w:val="20"/>
                <w:color w:val="auto"/>
              </w:rPr>
            </w:pPr>
            <w:r>
              <w:rPr>
                <w:rFonts w:ascii="Courier New" w:cs="Courier New" w:eastAsia="Courier New" w:hAnsi="Courier New"/>
                <w:sz w:val="16"/>
                <w:szCs w:val="16"/>
                <w:color w:val="auto"/>
              </w:rPr>
              <w:t>Prepaid expenses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748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928</w:t>
            </w:r>
          </w:p>
        </w:tc>
      </w:tr>
      <w:tr>
        <w:trPr>
          <w:trHeight w:val="183"/>
        </w:trPr>
        <w:tc>
          <w:tcPr>
            <w:tcW w:w="6480" w:type="dxa"/>
            <w:vAlign w:val="bottom"/>
          </w:tcPr>
          <w:p>
            <w:pPr>
              <w:ind w:left="1240"/>
              <w:spacing w:after="0"/>
              <w:rPr>
                <w:sz w:val="20"/>
                <w:szCs w:val="20"/>
                <w:color w:val="auto"/>
              </w:rPr>
            </w:pPr>
            <w:r>
              <w:rPr>
                <w:rFonts w:ascii="Courier New" w:cs="Courier New" w:eastAsia="Courier New" w:hAnsi="Courier New"/>
                <w:sz w:val="16"/>
                <w:szCs w:val="16"/>
                <w:color w:val="auto"/>
              </w:rPr>
              <w:t>Refundable income taxes</w:t>
            </w:r>
          </w:p>
        </w:tc>
        <w:tc>
          <w:tcPr>
            <w:tcW w:w="182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81</w:t>
            </w:r>
          </w:p>
        </w:tc>
        <w:tc>
          <w:tcPr>
            <w:tcW w:w="1240" w:type="dxa"/>
            <w:vAlign w:val="bottom"/>
          </w:tcPr>
          <w:p>
            <w:pPr>
              <w:spacing w:after="0"/>
              <w:rPr>
                <w:sz w:val="15"/>
                <w:szCs w:val="15"/>
                <w:color w:val="auto"/>
              </w:rPr>
            </w:pPr>
          </w:p>
        </w:tc>
      </w:tr>
      <w:tr>
        <w:trPr>
          <w:trHeight w:val="183"/>
        </w:trPr>
        <w:tc>
          <w:tcPr>
            <w:tcW w:w="6480" w:type="dxa"/>
            <w:vAlign w:val="bottom"/>
          </w:tcPr>
          <w:p>
            <w:pPr>
              <w:ind w:left="124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(8,417)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(3,180)</w:t>
            </w:r>
          </w:p>
        </w:tc>
      </w:tr>
      <w:tr>
        <w:trPr>
          <w:trHeight w:val="183"/>
        </w:trPr>
        <w:tc>
          <w:tcPr>
            <w:tcW w:w="6480" w:type="dxa"/>
            <w:vAlign w:val="bottom"/>
          </w:tcPr>
          <w:p>
            <w:pPr>
              <w:ind w:left="1240"/>
              <w:spacing w:after="0"/>
              <w:rPr>
                <w:sz w:val="20"/>
                <w:szCs w:val="20"/>
                <w:color w:val="auto"/>
              </w:rPr>
            </w:pPr>
            <w:r>
              <w:rPr>
                <w:rFonts w:ascii="Courier New" w:cs="Courier New" w:eastAsia="Courier New" w:hAnsi="Courier New"/>
                <w:sz w:val="16"/>
                <w:szCs w:val="16"/>
                <w:color w:val="auto"/>
              </w:rPr>
              <w:t>Long-term liabilities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376</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480" w:type="dxa"/>
            <w:vAlign w:val="bottom"/>
          </w:tcPr>
          <w:p>
            <w:pPr>
              <w:ind w:left="94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1,768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7,624</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4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6480" w:type="dxa"/>
            <w:vAlign w:val="bottom"/>
          </w:tcPr>
          <w:p>
            <w:pPr>
              <w:ind w:left="380"/>
              <w:spacing w:after="0"/>
              <w:rPr>
                <w:sz w:val="20"/>
                <w:szCs w:val="20"/>
                <w:color w:val="auto"/>
              </w:rPr>
            </w:pPr>
            <w:r>
              <w:rPr>
                <w:rFonts w:ascii="Courier New" w:cs="Courier New" w:eastAsia="Courier New" w:hAnsi="Courier New"/>
                <w:sz w:val="16"/>
                <w:szCs w:val="16"/>
                <w:color w:val="auto"/>
              </w:rPr>
              <w:t>Purchases of property and equipment</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(7,455)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(5,700)</w:t>
            </w:r>
          </w:p>
        </w:tc>
      </w:tr>
      <w:tr>
        <w:trPr>
          <w:trHeight w:val="183"/>
        </w:trPr>
        <w:tc>
          <w:tcPr>
            <w:tcW w:w="648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sales of property &amp; equipment</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3,054</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1,147</w:t>
            </w:r>
          </w:p>
        </w:tc>
      </w:tr>
      <w:tr>
        <w:trPr>
          <w:trHeight w:val="183"/>
        </w:trPr>
        <w:tc>
          <w:tcPr>
            <w:tcW w:w="6480" w:type="dxa"/>
            <w:vAlign w:val="bottom"/>
          </w:tcPr>
          <w:p>
            <w:pPr>
              <w:ind w:left="380"/>
              <w:spacing w:after="0"/>
              <w:rPr>
                <w:sz w:val="20"/>
                <w:szCs w:val="20"/>
                <w:color w:val="auto"/>
              </w:rPr>
            </w:pPr>
            <w:r>
              <w:rPr>
                <w:rFonts w:ascii="Courier New" w:cs="Courier New" w:eastAsia="Courier New" w:hAnsi="Courier New"/>
                <w:sz w:val="16"/>
                <w:szCs w:val="16"/>
                <w:color w:val="auto"/>
              </w:rPr>
              <w:t>Purchases of investment securities</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(476)</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(1,200)</w:t>
            </w:r>
          </w:p>
        </w:tc>
      </w:tr>
      <w:tr>
        <w:trPr>
          <w:trHeight w:val="183"/>
        </w:trPr>
        <w:tc>
          <w:tcPr>
            <w:tcW w:w="6480" w:type="dxa"/>
            <w:vAlign w:val="bottom"/>
          </w:tcPr>
          <w:p>
            <w:pPr>
              <w:ind w:left="380"/>
              <w:spacing w:after="0"/>
              <w:rPr>
                <w:sz w:val="20"/>
                <w:szCs w:val="20"/>
                <w:color w:val="auto"/>
              </w:rPr>
            </w:pPr>
            <w:r>
              <w:rPr>
                <w:rFonts w:ascii="Courier New" w:cs="Courier New" w:eastAsia="Courier New" w:hAnsi="Courier New"/>
                <w:sz w:val="16"/>
                <w:szCs w:val="16"/>
                <w:color w:val="auto"/>
              </w:rPr>
              <w:t>Dividend from affilate</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545</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545</w:t>
            </w:r>
          </w:p>
        </w:tc>
      </w:tr>
      <w:tr>
        <w:trPr>
          <w:trHeight w:val="183"/>
        </w:trPr>
        <w:tc>
          <w:tcPr>
            <w:tcW w:w="648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sale of investments securities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1,343</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1,889</w:t>
            </w:r>
          </w:p>
        </w:tc>
      </w:tr>
      <w:tr>
        <w:trPr>
          <w:trHeight w:val="183"/>
        </w:trPr>
        <w:tc>
          <w:tcPr>
            <w:tcW w:w="6480" w:type="dxa"/>
            <w:vAlign w:val="bottom"/>
          </w:tcPr>
          <w:p>
            <w:pPr>
              <w:ind w:left="380"/>
              <w:spacing w:after="0"/>
              <w:rPr>
                <w:sz w:val="20"/>
                <w:szCs w:val="20"/>
                <w:color w:val="auto"/>
              </w:rPr>
            </w:pPr>
            <w:r>
              <w:rPr>
                <w:rFonts w:ascii="Courier New" w:cs="Courier New" w:eastAsia="Courier New" w:hAnsi="Courier New"/>
                <w:sz w:val="16"/>
                <w:szCs w:val="16"/>
                <w:color w:val="auto"/>
              </w:rPr>
              <w:t>Other assets</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(1,256)</w:t>
            </w:r>
          </w:p>
        </w:tc>
      </w:tr>
      <w:tr>
        <w:trPr>
          <w:trHeight w:val="183"/>
        </w:trPr>
        <w:tc>
          <w:tcPr>
            <w:tcW w:w="648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sale of marketable securities, net</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189</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48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414</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480" w:type="dxa"/>
            <w:vAlign w:val="bottom"/>
          </w:tcPr>
          <w:p>
            <w:pPr>
              <w:ind w:left="1040"/>
              <w:spacing w:after="0"/>
              <w:rPr>
                <w:sz w:val="20"/>
                <w:szCs w:val="20"/>
                <w:color w:val="auto"/>
              </w:rPr>
            </w:pPr>
            <w:r>
              <w:rPr>
                <w:rFonts w:ascii="Courier New" w:cs="Courier New" w:eastAsia="Courier New" w:hAnsi="Courier New"/>
                <w:sz w:val="16"/>
                <w:szCs w:val="16"/>
                <w:color w:val="auto"/>
              </w:rPr>
              <w:t>Net cash provided by investing activities</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(2,300)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(4,161)</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4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6480" w:type="dxa"/>
            <w:vAlign w:val="bottom"/>
          </w:tcPr>
          <w:p>
            <w:pPr>
              <w:ind w:left="180"/>
              <w:spacing w:after="0"/>
              <w:rPr>
                <w:sz w:val="20"/>
                <w:szCs w:val="20"/>
                <w:color w:val="auto"/>
              </w:rPr>
            </w:pPr>
            <w:r>
              <w:rPr>
                <w:rFonts w:ascii="Courier New" w:cs="Courier New" w:eastAsia="Courier New" w:hAnsi="Courier New"/>
                <w:sz w:val="16"/>
                <w:szCs w:val="16"/>
                <w:color w:val="auto"/>
              </w:rPr>
              <w:t>Issuance of common stock</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243</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r>
      <w:tr>
        <w:trPr>
          <w:trHeight w:val="183"/>
        </w:trPr>
        <w:tc>
          <w:tcPr>
            <w:tcW w:w="6480" w:type="dxa"/>
            <w:vAlign w:val="bottom"/>
          </w:tcPr>
          <w:p>
            <w:pPr>
              <w:ind w:left="180"/>
              <w:spacing w:after="0"/>
              <w:rPr>
                <w:sz w:val="20"/>
                <w:szCs w:val="20"/>
                <w:color w:val="auto"/>
              </w:rPr>
            </w:pPr>
            <w:r>
              <w:rPr>
                <w:rFonts w:ascii="Courier New" w:cs="Courier New" w:eastAsia="Courier New" w:hAnsi="Courier New"/>
                <w:sz w:val="16"/>
                <w:szCs w:val="16"/>
                <w:color w:val="auto"/>
              </w:rPr>
              <w:t>Purchase of common stock</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(1,350)</w:t>
            </w:r>
          </w:p>
        </w:tc>
      </w:tr>
      <w:tr>
        <w:trPr>
          <w:trHeight w:val="367"/>
        </w:trPr>
        <w:tc>
          <w:tcPr>
            <w:tcW w:w="6480" w:type="dxa"/>
            <w:vAlign w:val="bottom"/>
          </w:tcPr>
          <w:p>
            <w:pPr>
              <w:ind w:left="180"/>
              <w:spacing w:after="0"/>
              <w:rPr>
                <w:sz w:val="20"/>
                <w:szCs w:val="20"/>
                <w:color w:val="auto"/>
              </w:rPr>
            </w:pPr>
            <w:r>
              <w:rPr>
                <w:rFonts w:ascii="Courier New" w:cs="Courier New" w:eastAsia="Courier New" w:hAnsi="Courier New"/>
                <w:sz w:val="16"/>
                <w:szCs w:val="16"/>
                <w:color w:val="auto"/>
              </w:rPr>
              <w:t>Cash dividends</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(5,225)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(7,834)</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480" w:type="dxa"/>
            <w:vAlign w:val="bottom"/>
          </w:tcPr>
          <w:p>
            <w:pPr>
              <w:ind w:left="1140"/>
              <w:spacing w:after="0"/>
              <w:rPr>
                <w:sz w:val="20"/>
                <w:szCs w:val="20"/>
                <w:color w:val="auto"/>
              </w:rPr>
            </w:pPr>
            <w:r>
              <w:rPr>
                <w:rFonts w:ascii="Courier New" w:cs="Courier New" w:eastAsia="Courier New" w:hAnsi="Courier New"/>
                <w:sz w:val="16"/>
                <w:szCs w:val="16"/>
                <w:color w:val="auto"/>
              </w:rPr>
              <w:t>Net cash used in financing activities</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(4,982)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(9,128)</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48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1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(5,514)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(5,665)</w:t>
            </w:r>
          </w:p>
        </w:tc>
      </w:tr>
      <w:tr>
        <w:trPr>
          <w:trHeight w:val="367"/>
        </w:trPr>
        <w:tc>
          <w:tcPr>
            <w:tcW w:w="648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29,552</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57,285</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48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$24,038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$51,620</w:t>
            </w:r>
          </w:p>
        </w:tc>
      </w:tr>
      <w:tr>
        <w:trPr>
          <w:trHeight w:val="183"/>
        </w:trPr>
        <w:tc>
          <w:tcPr>
            <w:tcW w:w="6480" w:type="dxa"/>
            <w:vAlign w:val="bottom"/>
          </w:tcPr>
          <w:p>
            <w:pPr>
              <w:spacing w:after="0"/>
              <w:rPr>
                <w:sz w:val="15"/>
                <w:szCs w:val="15"/>
                <w:color w:val="auto"/>
              </w:rPr>
            </w:pPr>
          </w:p>
        </w:tc>
        <w:tc>
          <w:tcPr>
            <w:tcW w:w="1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The accompanying notes to condensed consolidated financial statements are an integral part of the condensed consolidated financial statements.</w:t>
      </w:r>
    </w:p>
    <w:p>
      <w:pPr>
        <w:sectPr>
          <w:pgSz w:w="11900" w:h="16838" w:orient="portrait"/>
          <w:cols w:equalWidth="0" w:num="1">
            <w:col w:w="10219"/>
          </w:cols>
          <w:pgMar w:left="240" w:top="298" w:right="1440" w:bottom="11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 of 16</w:t>
      </w:r>
    </w:p>
    <w:p>
      <w:pPr>
        <w:sectPr>
          <w:pgSz w:w="11900" w:h="16838" w:orient="portrait"/>
          <w:cols w:equalWidth="0" w:num="1">
            <w:col w:w="10219"/>
          </w:cols>
          <w:pgMar w:left="240" w:top="298" w:right="1440" w:bottom="113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BASSETT FURNTURE INDUSTRIES, INCORPORATED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AND SUBSIDIARIES NOTES TO CONDENSED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CONSOLIDATED FINANCIAL STATEMENTS-UNAUDITED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MAY 30, 1998 (in thousands except per share data)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Basis of presentation:</w:t>
      </w:r>
    </w:p>
    <w:p>
      <w:pPr>
        <w:spacing w:after="0" w:line="188" w:lineRule="exact"/>
        <w:rPr>
          <w:sz w:val="20"/>
          <w:szCs w:val="20"/>
          <w:color w:val="auto"/>
        </w:rPr>
      </w:pPr>
    </w:p>
    <w:p>
      <w:pPr>
        <w:ind w:right="3059"/>
        <w:spacing w:after="0" w:line="242"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Inventories:</w:t>
      </w:r>
    </w:p>
    <w:p>
      <w:pPr>
        <w:spacing w:after="0" w:line="188"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Inventories are carried at last-in, first-out (LIFO) cost which is not in excess of market. Inventories at May 30, 1998 and November 30, 1997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May 30,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November 30,</w:t>
            </w:r>
          </w:p>
        </w:tc>
      </w:tr>
      <w:tr>
        <w:trPr>
          <w:trHeight w:val="183"/>
        </w:trPr>
        <w:tc>
          <w:tcPr>
            <w:tcW w:w="5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1998</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5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0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280" w:type="dxa"/>
            <w:vAlign w:val="bottom"/>
          </w:tcPr>
          <w:p>
            <w:pPr>
              <w:spacing w:after="0"/>
              <w:rPr>
                <w:sz w:val="24"/>
                <w:szCs w:val="24"/>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$35,434</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$29,485</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10,195</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9,025</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Raw materials and supplies</w:t>
            </w: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27,981</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28,420</w:t>
            </w:r>
          </w:p>
        </w:tc>
      </w:tr>
      <w:tr>
        <w:trPr>
          <w:trHeight w:val="183"/>
        </w:trPr>
        <w:tc>
          <w:tcPr>
            <w:tcW w:w="5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Total inventories valued at first-in, first-out</w:t>
            </w: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73,610</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66,930</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(FIFO) cost</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LIFO adjustment</w:t>
            </w: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25,591</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25,216</w:t>
            </w:r>
          </w:p>
        </w:tc>
      </w:tr>
      <w:tr>
        <w:trPr>
          <w:trHeight w:val="183"/>
        </w:trPr>
        <w:tc>
          <w:tcPr>
            <w:tcW w:w="5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Total inventories</w:t>
            </w: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$48,019</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$41,714</w:t>
            </w:r>
          </w:p>
        </w:tc>
      </w:tr>
      <w:tr>
        <w:trPr>
          <w:trHeight w:val="183"/>
        </w:trPr>
        <w:tc>
          <w:tcPr>
            <w:tcW w:w="5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100"/>
        </w:trPr>
        <w:tc>
          <w:tcPr>
            <w:tcW w:w="5060" w:type="dxa"/>
            <w:vAlign w:val="bottom"/>
          </w:tcPr>
          <w:p>
            <w:pPr>
              <w:spacing w:after="0"/>
              <w:rPr>
                <w:sz w:val="20"/>
                <w:szCs w:val="20"/>
                <w:color w:val="auto"/>
              </w:rPr>
            </w:pPr>
            <w:r>
              <w:rPr>
                <w:rFonts w:ascii="Courier New" w:cs="Courier New" w:eastAsia="Courier New" w:hAnsi="Courier New"/>
                <w:sz w:val="16"/>
                <w:szCs w:val="16"/>
                <w:color w:val="auto"/>
              </w:rPr>
              <w:t>Note C. Investment in affiliated companies:</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7"/>
        </w:trPr>
        <w:tc>
          <w:tcPr>
            <w:tcW w:w="7580" w:type="dxa"/>
            <w:vAlign w:val="bottom"/>
            <w:gridSpan w:val="3"/>
          </w:tcPr>
          <w:p>
            <w:pPr>
              <w:spacing w:after="0"/>
              <w:rPr>
                <w:sz w:val="20"/>
                <w:szCs w:val="20"/>
                <w:color w:val="auto"/>
              </w:rPr>
            </w:pPr>
            <w:r>
              <w:rPr>
                <w:rFonts w:ascii="Courier New" w:cs="Courier New" w:eastAsia="Courier New" w:hAnsi="Courier New"/>
                <w:sz w:val="16"/>
                <w:szCs w:val="16"/>
                <w:color w:val="auto"/>
              </w:rPr>
              <w:t>Summarized combined income statement information for the Company's equity</w:t>
            </w:r>
          </w:p>
        </w:tc>
        <w:tc>
          <w:tcPr>
            <w:tcW w:w="1200" w:type="dxa"/>
            <w:vAlign w:val="bottom"/>
          </w:tcPr>
          <w:p>
            <w:pPr>
              <w:spacing w:after="0"/>
              <w:rPr>
                <w:sz w:val="24"/>
                <w:szCs w:val="24"/>
                <w:color w:val="auto"/>
              </w:rPr>
            </w:pPr>
          </w:p>
        </w:tc>
      </w:tr>
      <w:tr>
        <w:trPr>
          <w:trHeight w:val="183"/>
        </w:trPr>
        <w:tc>
          <w:tcPr>
            <w:tcW w:w="7580" w:type="dxa"/>
            <w:vAlign w:val="bottom"/>
            <w:gridSpan w:val="3"/>
          </w:tcPr>
          <w:p>
            <w:pPr>
              <w:spacing w:after="0"/>
              <w:rPr>
                <w:sz w:val="20"/>
                <w:szCs w:val="20"/>
                <w:color w:val="auto"/>
              </w:rPr>
            </w:pPr>
            <w:r>
              <w:rPr>
                <w:rFonts w:ascii="Courier New" w:cs="Courier New" w:eastAsia="Courier New" w:hAnsi="Courier New"/>
                <w:sz w:val="16"/>
                <w:szCs w:val="16"/>
                <w:color w:val="auto"/>
                <w:w w:val="99"/>
              </w:rPr>
              <w:t>method investments for the twenty-six week period ended May 30,1998 and the six</w:t>
            </w:r>
          </w:p>
        </w:tc>
        <w:tc>
          <w:tcPr>
            <w:tcW w:w="120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month period ended May 31, 1997 is as follows:</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917"/>
        </w:trPr>
        <w:tc>
          <w:tcPr>
            <w:tcW w:w="5060" w:type="dxa"/>
            <w:vAlign w:val="bottom"/>
          </w:tcPr>
          <w:p>
            <w:pPr>
              <w:spacing w:after="0"/>
              <w:rPr>
                <w:sz w:val="24"/>
                <w:szCs w:val="24"/>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1998</w:t>
            </w: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1997</w:t>
            </w:r>
          </w:p>
        </w:tc>
        <w:tc>
          <w:tcPr>
            <w:tcW w:w="1200" w:type="dxa"/>
            <w:vAlign w:val="bottom"/>
          </w:tcPr>
          <w:p>
            <w:pPr>
              <w:spacing w:after="0"/>
              <w:rPr>
                <w:sz w:val="24"/>
                <w:szCs w:val="24"/>
                <w:color w:val="auto"/>
              </w:rPr>
            </w:pPr>
          </w:p>
        </w:tc>
      </w:tr>
      <w:tr>
        <w:trPr>
          <w:trHeight w:val="183"/>
        </w:trPr>
        <w:tc>
          <w:tcPr>
            <w:tcW w:w="50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367"/>
        </w:trPr>
        <w:tc>
          <w:tcPr>
            <w:tcW w:w="50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$20,600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$20,285</w:t>
            </w:r>
          </w:p>
        </w:tc>
        <w:tc>
          <w:tcPr>
            <w:tcW w:w="1200" w:type="dxa"/>
            <w:vAlign w:val="bottom"/>
          </w:tcPr>
          <w:p>
            <w:pPr>
              <w:spacing w:after="0"/>
              <w:rPr>
                <w:sz w:val="24"/>
                <w:szCs w:val="24"/>
                <w:color w:val="auto"/>
              </w:rPr>
            </w:pP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11,139</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10,743</w:t>
            </w:r>
          </w:p>
        </w:tc>
        <w:tc>
          <w:tcPr>
            <w:tcW w:w="120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6,987</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7,106</w:t>
            </w:r>
          </w:p>
        </w:tc>
        <w:tc>
          <w:tcPr>
            <w:tcW w:w="1200" w:type="dxa"/>
            <w:vAlign w:val="bottom"/>
          </w:tcPr>
          <w:p>
            <w:pPr>
              <w:spacing w:after="0"/>
              <w:rPr>
                <w:sz w:val="15"/>
                <w:szCs w:val="15"/>
                <w:color w:val="auto"/>
              </w:rPr>
            </w:pPr>
          </w:p>
        </w:tc>
      </w:tr>
      <w:tr>
        <w:trPr>
          <w:trHeight w:val="1284"/>
        </w:trPr>
        <w:tc>
          <w:tcPr>
            <w:tcW w:w="5060" w:type="dxa"/>
            <w:vAlign w:val="bottom"/>
          </w:tcPr>
          <w:p>
            <w:pPr>
              <w:ind w:left="3440"/>
              <w:spacing w:after="0"/>
              <w:rPr>
                <w:sz w:val="20"/>
                <w:szCs w:val="20"/>
                <w:color w:val="auto"/>
              </w:rPr>
            </w:pPr>
            <w:r>
              <w:rPr>
                <w:rFonts w:ascii="Courier New" w:cs="Courier New" w:eastAsia="Courier New" w:hAnsi="Courier New"/>
                <w:sz w:val="16"/>
                <w:szCs w:val="16"/>
                <w:color w:val="auto"/>
              </w:rPr>
              <w:t>5 of 16</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298"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BASSETT FURNTURE INDUSTRIES, INCORPORATED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AND SUBSIDIARIES NOTES TO CONDENSED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CONSOLIDATED FINANCIAL STATEMENTS-UNAUDITED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MAY 30, 1998 (in thousands except per share data)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Restructuring, Impaired Assets and Nonrecurring Charges:</w:t>
      </w:r>
    </w:p>
    <w:p>
      <w:pPr>
        <w:spacing w:after="0" w:line="188"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During 1997, the Company commenced the restructuring of certain of its operations and recorded restructuring and impaired asset charges of $20,646. Of these charges, $14,397 was utilized during 1997, leaving $6,249 in reserves to be utilized in future periods as the remaining activities related to the restructuring charges are completed. The restructuring plans included the closure of 14 manufacturing facilities and the serverance of approximately 1,000 employees. As of November 30, 1997, five of the 14 facilities were closed and approximately 600 employees had been severed. During the first quarter of fiscal 1998, the remaining nine facilities were closed and approximately 400 employees were severed. In the second quarter of 1998, one additional Mattress Division plant at Chehalis, Washington, was closed. The estimated exit costs were small and additional one-time charges were not needed.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Activity within the restructuring reserves was as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16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November 30,</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Reserves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February 28,</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Reserves</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May 30, 1998</w:t>
            </w:r>
          </w:p>
        </w:tc>
      </w:tr>
      <w:tr>
        <w:trPr>
          <w:trHeight w:val="183"/>
        </w:trPr>
        <w:tc>
          <w:tcPr>
            <w:tcW w:w="1580" w:type="dxa"/>
            <w:vAlign w:val="bottom"/>
          </w:tcPr>
          <w:p>
            <w:pPr>
              <w:spacing w:after="0"/>
              <w:rPr>
                <w:sz w:val="15"/>
                <w:szCs w:val="15"/>
                <w:color w:val="auto"/>
              </w:rPr>
            </w:pPr>
          </w:p>
        </w:tc>
        <w:tc>
          <w:tcPr>
            <w:tcW w:w="16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1997 reserve</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utilized in</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1998 reserve</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utilized in</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reserve</w:t>
            </w:r>
          </w:p>
        </w:tc>
      </w:tr>
      <w:tr>
        <w:trPr>
          <w:trHeight w:val="183"/>
        </w:trPr>
        <w:tc>
          <w:tcPr>
            <w:tcW w:w="1580" w:type="dxa"/>
            <w:vAlign w:val="bottom"/>
          </w:tcPr>
          <w:p>
            <w:pPr>
              <w:spacing w:after="0"/>
              <w:rPr>
                <w:sz w:val="15"/>
                <w:szCs w:val="15"/>
                <w:color w:val="auto"/>
              </w:rPr>
            </w:pP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balance</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1st Qtr 1998</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balance</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2nd Qtr 1998</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balance</w:t>
            </w:r>
          </w:p>
        </w:tc>
      </w:tr>
      <w:tr>
        <w:trPr>
          <w:trHeight w:val="183"/>
        </w:trPr>
        <w:tc>
          <w:tcPr>
            <w:tcW w:w="1580" w:type="dxa"/>
            <w:vAlign w:val="bottom"/>
          </w:tcPr>
          <w:p>
            <w:pPr>
              <w:spacing w:after="0"/>
              <w:rPr>
                <w:sz w:val="15"/>
                <w:szCs w:val="15"/>
                <w:color w:val="auto"/>
              </w:rPr>
            </w:pPr>
          </w:p>
        </w:tc>
        <w:tc>
          <w:tcPr>
            <w:tcW w:w="758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Severance &amp;</w:t>
            </w: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related employee</w:t>
            </w: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benefit costs</w:t>
            </w:r>
          </w:p>
        </w:tc>
        <w:tc>
          <w:tcPr>
            <w:tcW w:w="16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$4,910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$1,620</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$3,290</w:t>
            </w:r>
          </w:p>
        </w:tc>
        <w:tc>
          <w:tcPr>
            <w:tcW w:w="15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$832</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$2,458</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Lease exit costs</w:t>
            </w:r>
          </w:p>
        </w:tc>
        <w:tc>
          <w:tcPr>
            <w:tcW w:w="16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614</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582</w:t>
            </w:r>
          </w:p>
        </w:tc>
        <w:tc>
          <w:tcPr>
            <w:tcW w:w="15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548</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725</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725</w:t>
            </w:r>
          </w:p>
        </w:tc>
        <w:tc>
          <w:tcPr>
            <w:tcW w:w="15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679</w:t>
            </w:r>
          </w:p>
        </w:tc>
      </w:tr>
      <w:tr>
        <w:trPr>
          <w:trHeight w:val="183"/>
        </w:trPr>
        <w:tc>
          <w:tcPr>
            <w:tcW w:w="1580" w:type="dxa"/>
            <w:vAlign w:val="bottom"/>
          </w:tcPr>
          <w:p>
            <w:pPr>
              <w:spacing w:after="0"/>
              <w:rPr>
                <w:sz w:val="15"/>
                <w:szCs w:val="15"/>
                <w:color w:val="auto"/>
              </w:rPr>
            </w:pPr>
          </w:p>
        </w:tc>
        <w:tc>
          <w:tcPr>
            <w:tcW w:w="16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6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$6,249</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$1,652</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$4,597</w:t>
            </w:r>
          </w:p>
        </w:tc>
        <w:tc>
          <w:tcPr>
            <w:tcW w:w="15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$912</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$3,685</w:t>
            </w:r>
          </w:p>
        </w:tc>
      </w:tr>
      <w:tr>
        <w:trPr>
          <w:trHeight w:val="183"/>
        </w:trPr>
        <w:tc>
          <w:tcPr>
            <w:tcW w:w="1580" w:type="dxa"/>
            <w:vAlign w:val="bottom"/>
          </w:tcPr>
          <w:p>
            <w:pPr>
              <w:spacing w:after="0"/>
              <w:rPr>
                <w:sz w:val="15"/>
                <w:szCs w:val="15"/>
                <w:color w:val="auto"/>
              </w:rPr>
            </w:pPr>
          </w:p>
        </w:tc>
        <w:tc>
          <w:tcPr>
            <w:tcW w:w="16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jc w:val="both"/>
        <w:ind w:right="2879"/>
        <w:spacing w:after="0" w:line="259" w:lineRule="auto"/>
        <w:rPr>
          <w:sz w:val="20"/>
          <w:szCs w:val="20"/>
          <w:color w:val="auto"/>
        </w:rPr>
      </w:pPr>
      <w:r>
        <w:rPr>
          <w:rFonts w:ascii="Courier New" w:cs="Courier New" w:eastAsia="Courier New" w:hAnsi="Courier New"/>
          <w:sz w:val="15"/>
          <w:szCs w:val="15"/>
          <w:color w:val="auto"/>
        </w:rPr>
        <w:t>The Company projected at November 30, 1997, that it would incur an additional $10,540 of charges during 1998 as a result of (1) operating inefficiencies at plants involved in consolidations and (2) costs incurred at idle facilities.</w:t>
      </w:r>
    </w:p>
    <w:p>
      <w:pPr>
        <w:jc w:val="both"/>
        <w:ind w:right="2879"/>
        <w:spacing w:after="0" w:line="239" w:lineRule="auto"/>
        <w:rPr>
          <w:sz w:val="20"/>
          <w:szCs w:val="20"/>
          <w:color w:val="auto"/>
        </w:rPr>
      </w:pPr>
      <w:r>
        <w:rPr>
          <w:rFonts w:ascii="Courier New" w:cs="Courier New" w:eastAsia="Courier New" w:hAnsi="Courier New"/>
          <w:sz w:val="16"/>
          <w:szCs w:val="16"/>
          <w:color w:val="auto"/>
        </w:rPr>
        <w:t>The total of these expenses incurred during the 13 week periods ended May 30, 1998 and February 28, 1998 was $1,537 and $1,469,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6 of 16</w:t>
      </w:r>
    </w:p>
    <w:p>
      <w:pPr>
        <w:sectPr>
          <w:pgSz w:w="11900" w:h="16838" w:orient="portrait"/>
          <w:cols w:equalWidth="0" w:num="1">
            <w:col w:w="10219"/>
          </w:cols>
          <w:pgMar w:left="240" w:top="298"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AND SUBSIDIARIES MAY 30, 1998</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(in thousands of dollars)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Contingencies:</w:t>
      </w:r>
    </w:p>
    <w:p>
      <w:pPr>
        <w:spacing w:after="0" w:line="188"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A suit was filed in June, 1997, in the Superior Court of the State of California for the County of Los Angeles (the "Superior Court") against the Company, two major retailers and certain current and former employees of the Company. The suit sought certification of a class consisting of all consumers who purchased certain mattresses and box springs from the major retailers which were manufactured by a subsidiary of the Company, E. B. Malone Corporation, with different specifications than those originally manufactured for sale by these retailers. The suit alleged various causes of action, including negligent misrepresentation, breach of warranty, violations of deceptive practices laws and fraud. Plantiffs sought compensatory damages of $100 million and punitive damages. In September, 1997, the Superior Court sustained the Company's demurrers to several of plantiffs causes of action, but granted the plantifffs leave to amend. Plantiffs Second Amended Complaint added certain independent retailers and consumers as additional plantiffs. In December, 1997, the Superior Court once again sustained the Company's demurrers to several of plantiffs causes of action, but also once again granted plantiffs leave to amend. Plantiffs filed a Third Amended Complaint. In February, 1998, the Superior Court sustained the Company's demurrers to many of the individual claims, this time without granting plantiffs leave to amend. The Superior Court also sustained the Company's demurrer to the class action allegations in the Third Amended Complaint, without granting leave to amend, and transferred the entire action out of the class action department. Plantiffs have filed a notice of appeal from the class action ruling. Plantiffs also filed a petition for a writ of mandamus or other extraordinary relief seeking immediate review of the other demurrer rulings, which petition was denied.</w:t>
      </w:r>
    </w:p>
    <w:p>
      <w:pPr>
        <w:spacing w:after="0" w:line="36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suit has been recently transferred from the Superior Court for the County of Los Angeles to the Superior Court for Orange County. Although it is impossible to predict the ultimate outcome of this litigation, the Company intends to vigorously defend this suit because it believes that the damages sought are unjustified and because this case is inappropriate for class action treatment. Because the Company believes that the two major retailers were unaware of the changes in specifications, the Company has agreed to indemnify the two major retailers with respect to the above.</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is also involved in various other claims and actions, including environmental matters at certain of its plant facilities, which arise in the normal course of business.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Board of Directors for Bassett Furniture Industries, Inc. has approved a stock repurchase program for up to 1.3 million shares of its Common Stock for an aggregate purchase price not to exceed $40 million. Bassett currently has approximately 13 million shares outstanding. The repurchases may be effected from time to time in accordance with applicable securities laws, through open market transactions, in block purchases, in privately negotiated transactions, or otherwise, and on such terms and conditions, all as may be approved by any Authorized Officer.</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Board of Directors adopted a Shareholder Rights Plan, which replaces a similar plan that expired on May 16, 1998. The Plan was not adopted in response to any specific effort to acquire control of the Company. If a person or group acquires beneficial ownership of 20% or more of the Common Stock outstanding, each Right distributed under the Plan will entitle its holder (other than such person or group) to purchase, at the Right's then-current exercise price, a number of shares of the Company's Common Stock having a market value of twice such price. Detailed descriptions of the Rights are being sent to the Company's shareholders and have been filed with the Securities and Exchange Commission.</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 of 16</w:t>
      </w:r>
    </w:p>
    <w:p>
      <w:pPr>
        <w:sectPr>
          <w:pgSz w:w="11900" w:h="16838" w:orient="portrait"/>
          <w:cols w:equalWidth="0" w:num="1">
            <w:col w:w="10219"/>
          </w:cols>
          <w:pgMar w:left="240" w:top="298"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AND SUBSIDIARIES MAY 30, 1998</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(in thousands of dollars)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Earnings per share:</w:t>
      </w:r>
    </w:p>
    <w:p>
      <w:pPr>
        <w:spacing w:after="0" w:line="188" w:lineRule="exact"/>
        <w:rPr>
          <w:sz w:val="20"/>
          <w:szCs w:val="20"/>
          <w:color w:val="auto"/>
        </w:rPr>
      </w:pPr>
    </w:p>
    <w:p>
      <w:pPr>
        <w:ind w:right="3240"/>
        <w:spacing w:after="0" w:line="241" w:lineRule="auto"/>
        <w:rPr>
          <w:sz w:val="20"/>
          <w:szCs w:val="20"/>
          <w:color w:val="auto"/>
        </w:rPr>
      </w:pPr>
      <w:r>
        <w:rPr>
          <w:rFonts w:ascii="Courier New" w:cs="Courier New" w:eastAsia="Courier New" w:hAnsi="Courier New"/>
          <w:sz w:val="16"/>
          <w:szCs w:val="16"/>
          <w:color w:val="auto"/>
        </w:rPr>
        <w:t>The Company adopted SFAS No. 128, "Earnings per Share," effective December 1, 1997. As a result, the Company's reported earnings per share for 1997 have been restated. The effect of this accounting change on previously reported earnings per share (EPS) data was not material.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Income</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Shares</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Per share amount</w:t>
            </w:r>
          </w:p>
        </w:tc>
      </w:tr>
      <w:tr>
        <w:trPr>
          <w:trHeight w:val="183"/>
        </w:trPr>
        <w:tc>
          <w:tcPr>
            <w:tcW w:w="2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For the twenty-six weeks ended</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rPr>
              <w:t>May 30, 1998</w:t>
            </w: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5440" w:type="dxa"/>
            <w:vAlign w:val="bottom"/>
            <w:gridSpan w:val="2"/>
          </w:tcPr>
          <w:p>
            <w:pPr>
              <w:spacing w:after="0"/>
              <w:rPr>
                <w:sz w:val="20"/>
                <w:szCs w:val="20"/>
                <w:color w:val="auto"/>
              </w:rPr>
            </w:pPr>
            <w:r>
              <w:rPr>
                <w:rFonts w:ascii="Courier New" w:cs="Courier New" w:eastAsia="Courier New" w:hAnsi="Courier New"/>
                <w:sz w:val="16"/>
                <w:szCs w:val="16"/>
                <w:color w:val="auto"/>
                <w:w w:val="99"/>
              </w:rPr>
              <w:t>- -------------------------------------------------------</w:t>
            </w: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67"/>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Net income available to common</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rPr>
              <w:t>stockholders</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$7,394</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13,023,627</w:t>
            </w:r>
          </w:p>
        </w:tc>
        <w:tc>
          <w:tcPr>
            <w:tcW w:w="2000" w:type="dxa"/>
            <w:vAlign w:val="bottom"/>
          </w:tcPr>
          <w:p>
            <w:pPr>
              <w:ind w:left="1240"/>
              <w:spacing w:after="0"/>
              <w:rPr>
                <w:sz w:val="20"/>
                <w:szCs w:val="20"/>
                <w:color w:val="auto"/>
              </w:rPr>
            </w:pPr>
            <w:r>
              <w:rPr>
                <w:rFonts w:ascii="Courier New" w:cs="Courier New" w:eastAsia="Courier New" w:hAnsi="Courier New"/>
                <w:sz w:val="16"/>
                <w:szCs w:val="16"/>
                <w:color w:val="auto"/>
              </w:rPr>
              <w:t>$0.57</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Effect of dilutive securities:</w:t>
            </w:r>
          </w:p>
        </w:tc>
        <w:tc>
          <w:tcPr>
            <w:tcW w:w="2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54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107,271</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2900" w:type="dxa"/>
            <w:vAlign w:val="bottom"/>
          </w:tcPr>
          <w:p>
            <w:pPr>
              <w:ind w:left="380"/>
              <w:spacing w:after="0"/>
              <w:rPr>
                <w:sz w:val="20"/>
                <w:szCs w:val="20"/>
                <w:color w:val="auto"/>
              </w:rPr>
            </w:pPr>
            <w:r>
              <w:rPr>
                <w:rFonts w:ascii="Courier New" w:cs="Courier New" w:eastAsia="Courier New" w:hAnsi="Courier New"/>
                <w:sz w:val="16"/>
                <w:szCs w:val="16"/>
                <w:color w:val="auto"/>
              </w:rPr>
              <w:t>Restricted stock issued to</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rPr>
              <w:t>employees</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6,419</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2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54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$7,394</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13,137,317</w:t>
            </w:r>
          </w:p>
        </w:tc>
        <w:tc>
          <w:tcPr>
            <w:tcW w:w="2000" w:type="dxa"/>
            <w:vAlign w:val="bottom"/>
          </w:tcPr>
          <w:p>
            <w:pPr>
              <w:ind w:left="1240"/>
              <w:spacing w:after="0"/>
              <w:rPr>
                <w:sz w:val="20"/>
                <w:szCs w:val="20"/>
                <w:color w:val="auto"/>
              </w:rPr>
            </w:pPr>
            <w:r>
              <w:rPr>
                <w:rFonts w:ascii="Courier New" w:cs="Courier New" w:eastAsia="Courier New" w:hAnsi="Courier New"/>
                <w:sz w:val="16"/>
                <w:szCs w:val="16"/>
                <w:color w:val="auto"/>
              </w:rPr>
              <w:t>$0.56</w:t>
            </w:r>
          </w:p>
        </w:tc>
      </w:tr>
      <w:tr>
        <w:trPr>
          <w:trHeight w:val="183"/>
        </w:trPr>
        <w:tc>
          <w:tcPr>
            <w:tcW w:w="2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ind w:left="1240"/>
              <w:spacing w:after="0"/>
              <w:rPr>
                <w:sz w:val="20"/>
                <w:szCs w:val="20"/>
                <w:color w:val="auto"/>
              </w:rPr>
            </w:pPr>
            <w:r>
              <w:rPr>
                <w:rFonts w:ascii="Courier New" w:cs="Courier New" w:eastAsia="Courier New" w:hAnsi="Courier New"/>
                <w:sz w:val="16"/>
                <w:szCs w:val="16"/>
                <w:color w:val="auto"/>
              </w:rPr>
              <w:t>======</w:t>
            </w:r>
          </w:p>
        </w:tc>
      </w:tr>
      <w:tr>
        <w:trPr>
          <w:trHeight w:val="550"/>
        </w:trPr>
        <w:tc>
          <w:tcPr>
            <w:tcW w:w="5440" w:type="dxa"/>
            <w:vAlign w:val="bottom"/>
            <w:gridSpan w:val="2"/>
          </w:tcPr>
          <w:p>
            <w:pPr>
              <w:spacing w:after="0"/>
              <w:rPr>
                <w:sz w:val="20"/>
                <w:szCs w:val="20"/>
                <w:color w:val="auto"/>
              </w:rPr>
            </w:pPr>
            <w:r>
              <w:rPr>
                <w:rFonts w:ascii="Courier New" w:cs="Courier New" w:eastAsia="Courier New" w:hAnsi="Courier New"/>
                <w:sz w:val="16"/>
                <w:szCs w:val="16"/>
                <w:color w:val="auto"/>
              </w:rPr>
              <w:t>For the thirteen weeks ended May 30, 1998</w:t>
            </w: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83"/>
        </w:trPr>
        <w:tc>
          <w:tcPr>
            <w:tcW w:w="5440" w:type="dxa"/>
            <w:vAlign w:val="bottom"/>
            <w:gridSpan w:val="2"/>
          </w:tcPr>
          <w:p>
            <w:pPr>
              <w:spacing w:after="0"/>
              <w:rPr>
                <w:sz w:val="20"/>
                <w:szCs w:val="20"/>
                <w:color w:val="auto"/>
              </w:rPr>
            </w:pPr>
            <w:r>
              <w:rPr>
                <w:rFonts w:ascii="Courier New" w:cs="Courier New" w:eastAsia="Courier New" w:hAnsi="Courier New"/>
                <w:sz w:val="16"/>
                <w:szCs w:val="16"/>
                <w:color w:val="auto"/>
                <w:w w:val="99"/>
              </w:rPr>
              <w:t>- -------------------------------------------------------</w:t>
            </w: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67"/>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Net income available to common</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rPr>
              <w:t>stockholders</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$3,959</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13,027,005</w:t>
            </w:r>
          </w:p>
        </w:tc>
        <w:tc>
          <w:tcPr>
            <w:tcW w:w="2000" w:type="dxa"/>
            <w:vAlign w:val="bottom"/>
          </w:tcPr>
          <w:p>
            <w:pPr>
              <w:ind w:left="1240"/>
              <w:spacing w:after="0"/>
              <w:rPr>
                <w:sz w:val="20"/>
                <w:szCs w:val="20"/>
                <w:color w:val="auto"/>
              </w:rPr>
            </w:pPr>
            <w:r>
              <w:rPr>
                <w:rFonts w:ascii="Courier New" w:cs="Courier New" w:eastAsia="Courier New" w:hAnsi="Courier New"/>
                <w:sz w:val="16"/>
                <w:szCs w:val="16"/>
                <w:color w:val="auto"/>
              </w:rPr>
              <w:t>$0.30</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Effect of dilutive securities:</w:t>
            </w:r>
          </w:p>
        </w:tc>
        <w:tc>
          <w:tcPr>
            <w:tcW w:w="2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3"/>
        </w:trPr>
        <w:tc>
          <w:tcPr>
            <w:tcW w:w="54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120,199</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2900" w:type="dxa"/>
            <w:vAlign w:val="bottom"/>
          </w:tcPr>
          <w:p>
            <w:pPr>
              <w:ind w:left="380"/>
              <w:spacing w:after="0"/>
              <w:rPr>
                <w:sz w:val="20"/>
                <w:szCs w:val="20"/>
                <w:color w:val="auto"/>
              </w:rPr>
            </w:pPr>
            <w:r>
              <w:rPr>
                <w:rFonts w:ascii="Courier New" w:cs="Courier New" w:eastAsia="Courier New" w:hAnsi="Courier New"/>
                <w:sz w:val="16"/>
                <w:szCs w:val="16"/>
                <w:color w:val="auto"/>
              </w:rPr>
              <w:t>Restricted stock issued to</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rPr>
              <w:t>employees</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10,885</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2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54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$3,959</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13,158,089</w:t>
            </w:r>
          </w:p>
        </w:tc>
        <w:tc>
          <w:tcPr>
            <w:tcW w:w="2000" w:type="dxa"/>
            <w:vAlign w:val="bottom"/>
          </w:tcPr>
          <w:p>
            <w:pPr>
              <w:ind w:left="1240"/>
              <w:spacing w:after="0"/>
              <w:rPr>
                <w:sz w:val="20"/>
                <w:szCs w:val="20"/>
                <w:color w:val="auto"/>
              </w:rPr>
            </w:pPr>
            <w:r>
              <w:rPr>
                <w:rFonts w:ascii="Courier New" w:cs="Courier New" w:eastAsia="Courier New" w:hAnsi="Courier New"/>
                <w:sz w:val="16"/>
                <w:szCs w:val="16"/>
                <w:color w:val="auto"/>
              </w:rPr>
              <w:t>$0.30</w:t>
            </w:r>
          </w:p>
        </w:tc>
      </w:tr>
      <w:tr>
        <w:trPr>
          <w:trHeight w:val="183"/>
        </w:trPr>
        <w:tc>
          <w:tcPr>
            <w:tcW w:w="2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ind w:left="1240"/>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six months ended May 31,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 available to common stockholders</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$(10,592)</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w w:val="97"/>
              </w:rPr>
              <w:t>13,062,736</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$(0.81)</w:t>
            </w:r>
          </w:p>
        </w:tc>
      </w:tr>
      <w:tr>
        <w:trPr>
          <w:trHeight w:val="183"/>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5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158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30,250</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800" w:type="dxa"/>
            <w:vAlign w:val="bottom"/>
          </w:tcPr>
          <w:p>
            <w:pPr>
              <w:spacing w:after="0"/>
              <w:rPr>
                <w:sz w:val="24"/>
                <w:szCs w:val="24"/>
                <w:color w:val="auto"/>
              </w:rPr>
            </w:pPr>
          </w:p>
        </w:tc>
        <w:tc>
          <w:tcPr>
            <w:tcW w:w="9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Diluted earnings per share</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$(10,592)</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w w:val="97"/>
              </w:rPr>
              <w:t>13,092,986</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$(0.81)</w:t>
            </w:r>
          </w:p>
        </w:tc>
      </w:tr>
      <w:tr>
        <w:trPr>
          <w:trHeight w:val="183"/>
        </w:trPr>
        <w:tc>
          <w:tcPr>
            <w:tcW w:w="8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50"/>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For the three months ended May 31, 1997</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 available to common stockholders</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$(14,025)</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w w:val="97"/>
              </w:rPr>
              <w:t>13,050,156</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$(1.07)</w:t>
            </w:r>
          </w:p>
        </w:tc>
      </w:tr>
      <w:tr>
        <w:trPr>
          <w:trHeight w:val="183"/>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5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158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30,250</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800" w:type="dxa"/>
            <w:vAlign w:val="bottom"/>
          </w:tcPr>
          <w:p>
            <w:pPr>
              <w:spacing w:after="0"/>
              <w:rPr>
                <w:sz w:val="24"/>
                <w:szCs w:val="24"/>
                <w:color w:val="auto"/>
              </w:rPr>
            </w:pPr>
          </w:p>
        </w:tc>
        <w:tc>
          <w:tcPr>
            <w:tcW w:w="9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Diluted earnings per share</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$(14,025)</w:t>
            </w:r>
          </w:p>
        </w:tc>
        <w:tc>
          <w:tcPr>
            <w:tcW w:w="1660" w:type="dxa"/>
            <w:vAlign w:val="bottom"/>
          </w:tcPr>
          <w:p>
            <w:pPr>
              <w:jc w:val="right"/>
              <w:ind w:right="621"/>
              <w:spacing w:after="0"/>
              <w:rPr>
                <w:sz w:val="20"/>
                <w:szCs w:val="20"/>
                <w:color w:val="auto"/>
              </w:rPr>
            </w:pPr>
            <w:r>
              <w:rPr>
                <w:rFonts w:ascii="Courier New" w:cs="Courier New" w:eastAsia="Courier New" w:hAnsi="Courier New"/>
                <w:sz w:val="16"/>
                <w:szCs w:val="16"/>
                <w:color w:val="auto"/>
                <w:w w:val="97"/>
              </w:rPr>
              <w:t>13,080,406</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$(1.07)</w:t>
            </w:r>
          </w:p>
        </w:tc>
      </w:tr>
      <w:tr>
        <w:trPr>
          <w:trHeight w:val="183"/>
        </w:trPr>
        <w:tc>
          <w:tcPr>
            <w:tcW w:w="8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50"/>
        </w:trPr>
        <w:tc>
          <w:tcPr>
            <w:tcW w:w="7440" w:type="dxa"/>
            <w:vAlign w:val="bottom"/>
            <w:gridSpan w:val="3"/>
          </w:tcPr>
          <w:p>
            <w:pPr>
              <w:spacing w:after="0"/>
              <w:rPr>
                <w:sz w:val="20"/>
                <w:szCs w:val="20"/>
                <w:color w:val="auto"/>
              </w:rPr>
            </w:pPr>
            <w:r>
              <w:rPr>
                <w:rFonts w:ascii="Courier New" w:cs="Courier New" w:eastAsia="Courier New" w:hAnsi="Courier New"/>
                <w:sz w:val="16"/>
                <w:szCs w:val="16"/>
                <w:color w:val="auto"/>
              </w:rPr>
              <w:t>Options to purchase 804,898 shares of common stock at prices ranging from</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w w:val="99"/>
              </w:rPr>
              <w:t>$32.25 to $37.40 per share were outstanding during the second</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quarter of 1998</w:t>
            </w:r>
          </w:p>
        </w:tc>
        <w:tc>
          <w:tcPr>
            <w:tcW w:w="16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7440" w:type="dxa"/>
            <w:vAlign w:val="bottom"/>
            <w:gridSpan w:val="3"/>
          </w:tcPr>
          <w:p>
            <w:pPr>
              <w:spacing w:after="0"/>
              <w:rPr>
                <w:sz w:val="20"/>
                <w:szCs w:val="20"/>
                <w:color w:val="auto"/>
              </w:rPr>
            </w:pPr>
            <w:r>
              <w:rPr>
                <w:rFonts w:ascii="Courier New" w:cs="Courier New" w:eastAsia="Courier New" w:hAnsi="Courier New"/>
                <w:sz w:val="16"/>
                <w:szCs w:val="16"/>
                <w:color w:val="auto"/>
              </w:rPr>
              <w:t>but were not included in the computation of diluted EPS because the options'</w:t>
            </w:r>
          </w:p>
        </w:tc>
        <w:tc>
          <w:tcPr>
            <w:tcW w:w="16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w w:val="99"/>
              </w:rPr>
              <w:t>exercise prices were greater than the average market price of</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the common</w:t>
            </w:r>
          </w:p>
        </w:tc>
        <w:tc>
          <w:tcPr>
            <w:tcW w:w="16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664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98"/>
              </w:rPr>
              <w:t>In 1997, 317,069 shares at prices ranging from $25.75 to $37.40 were</w:t>
            </w:r>
          </w:p>
        </w:tc>
        <w:tc>
          <w:tcPr>
            <w:tcW w:w="166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similarly excluded.</w:t>
      </w:r>
    </w:p>
    <w:p>
      <w:pPr>
        <w:sectPr>
          <w:pgSz w:w="11900" w:h="16838" w:orient="portrait"/>
          <w:cols w:equalWidth="0" w:num="1">
            <w:col w:w="10780"/>
          </w:cols>
          <w:pgMar w:left="240" w:top="298" w:right="879"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 of 16</w:t>
      </w:r>
    </w:p>
    <w:p>
      <w:pPr>
        <w:sectPr>
          <w:pgSz w:w="11900" w:h="16838" w:orient="portrait"/>
          <w:cols w:equalWidth="0" w:num="1">
            <w:col w:w="10780"/>
          </w:cols>
          <w:pgMar w:left="240" w:top="298" w:right="879" w:bottom="947"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AND SUBSIDIARIES MAY 30,1998</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(in thousands of dollars)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Earnings per share (continued):</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Basic earnings per common share was computed by dividing net income by the weighted average number of shares of common stock outstanding during the period. Diluted earnings per common share reflect the potential dilution that could occur if securities or other contracts to issue common stock were exercised or converted into common stock.</w:t>
      </w:r>
    </w:p>
    <w:p>
      <w:pPr>
        <w:spacing w:after="0" w:line="190"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major components of net income expressed as a percentage of net sales are as follows. The proforma data and the following discussions of net sales and costs and expenses excludes the effect of sales from closed operations and the effect of nonrecurring charges.</w:t>
      </w:r>
    </w:p>
    <w:p>
      <w:pPr>
        <w:spacing w:after="0" w:line="200" w:lineRule="exact"/>
        <w:rPr>
          <w:sz w:val="20"/>
          <w:szCs w:val="20"/>
          <w:color w:val="auto"/>
        </w:rPr>
      </w:pPr>
    </w:p>
    <w:p>
      <w:pPr>
        <w:spacing w:after="0" w:line="353"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6"/>
          <w:szCs w:val="16"/>
          <w:color w:val="auto"/>
        </w:rPr>
        <w:t>For the thirteen weeks ended May 30, 1998 and May 31, 1997 and 1996</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1997</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Actual</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Proforma</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Actual</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Proforma</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Actual</w:t>
            </w:r>
          </w:p>
        </w:tc>
      </w:tr>
      <w:tr>
        <w:trPr>
          <w:trHeight w:val="183"/>
        </w:trPr>
        <w:tc>
          <w:tcPr>
            <w:tcW w:w="266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79.9%</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84.1%</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18.8</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20.1</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15.9</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SG&amp;A expenses</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22.6</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15.4</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(24.5)</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(21.5)</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for the second quarter compared with prior years was as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Second Quarter</w:t>
            </w:r>
          </w:p>
        </w:tc>
        <w:tc>
          <w:tcPr>
            <w:tcW w:w="1000" w:type="dxa"/>
            <w:vAlign w:val="bottom"/>
          </w:tcPr>
          <w:p>
            <w:pPr>
              <w:spacing w:after="0"/>
              <w:rPr>
                <w:sz w:val="15"/>
                <w:szCs w:val="15"/>
                <w:color w:val="auto"/>
              </w:rPr>
            </w:pPr>
          </w:p>
        </w:tc>
      </w:tr>
      <w:tr>
        <w:trPr>
          <w:trHeight w:val="183"/>
        </w:trPr>
        <w:tc>
          <w:tcPr>
            <w:tcW w:w="2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r>
      <w:tr>
        <w:trPr>
          <w:trHeight w:val="183"/>
        </w:trPr>
        <w:tc>
          <w:tcPr>
            <w:tcW w:w="2760" w:type="dxa"/>
            <w:vAlign w:val="bottom"/>
          </w:tcPr>
          <w:p>
            <w:pPr>
              <w:spacing w:after="0"/>
              <w:rPr>
                <w:sz w:val="15"/>
                <w:szCs w:val="15"/>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1998</w:t>
            </w:r>
          </w:p>
        </w:tc>
        <w:tc>
          <w:tcPr>
            <w:tcW w:w="190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1997</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760" w:type="dxa"/>
            <w:vAlign w:val="bottom"/>
          </w:tcPr>
          <w:p>
            <w:pPr>
              <w:spacing w:after="0"/>
              <w:rPr>
                <w:sz w:val="15"/>
                <w:szCs w:val="15"/>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27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$98,335</w:t>
            </w:r>
          </w:p>
        </w:tc>
        <w:tc>
          <w:tcPr>
            <w:tcW w:w="1900" w:type="dxa"/>
            <w:vAlign w:val="bottom"/>
          </w:tcPr>
          <w:p>
            <w:pPr>
              <w:ind w:left="520"/>
              <w:spacing w:after="0"/>
              <w:rPr>
                <w:sz w:val="20"/>
                <w:szCs w:val="20"/>
                <w:color w:val="auto"/>
              </w:rPr>
            </w:pPr>
            <w:r>
              <w:rPr>
                <w:rFonts w:ascii="Courier New" w:cs="Courier New" w:eastAsia="Courier New" w:hAnsi="Courier New"/>
                <w:sz w:val="16"/>
                <w:szCs w:val="16"/>
                <w:color w:val="auto"/>
              </w:rPr>
              <w:t>$113,198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$111,273</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 change from prior year</w:t>
            </w: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(13.1)%</w:t>
            </w:r>
          </w:p>
        </w:tc>
        <w:tc>
          <w:tcPr>
            <w:tcW w:w="1900" w:type="dxa"/>
            <w:vAlign w:val="bottom"/>
          </w:tcPr>
          <w:p>
            <w:pPr>
              <w:ind w:left="520"/>
              <w:spacing w:after="0"/>
              <w:rPr>
                <w:sz w:val="20"/>
                <w:szCs w:val="20"/>
                <w:color w:val="auto"/>
              </w:rPr>
            </w:pPr>
            <w:r>
              <w:rPr>
                <w:rFonts w:ascii="Courier New" w:cs="Courier New" w:eastAsia="Courier New" w:hAnsi="Courier New"/>
                <w:sz w:val="16"/>
                <w:szCs w:val="16"/>
                <w:color w:val="auto"/>
              </w:rPr>
              <w:t>1.7%</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w:t>
            </w:r>
          </w:p>
        </w:tc>
      </w:tr>
      <w:tr>
        <w:trPr>
          <w:trHeight w:val="917"/>
        </w:trPr>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Year-to-date</w:t>
            </w:r>
          </w:p>
        </w:tc>
        <w:tc>
          <w:tcPr>
            <w:tcW w:w="1000" w:type="dxa"/>
            <w:vAlign w:val="bottom"/>
          </w:tcPr>
          <w:p>
            <w:pPr>
              <w:spacing w:after="0"/>
              <w:rPr>
                <w:sz w:val="24"/>
                <w:szCs w:val="24"/>
                <w:color w:val="auto"/>
              </w:rPr>
            </w:pPr>
          </w:p>
        </w:tc>
      </w:tr>
      <w:tr>
        <w:trPr>
          <w:trHeight w:val="183"/>
        </w:trPr>
        <w:tc>
          <w:tcPr>
            <w:tcW w:w="2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r>
      <w:tr>
        <w:trPr>
          <w:trHeight w:val="183"/>
        </w:trPr>
        <w:tc>
          <w:tcPr>
            <w:tcW w:w="2760" w:type="dxa"/>
            <w:vAlign w:val="bottom"/>
          </w:tcPr>
          <w:p>
            <w:pPr>
              <w:spacing w:after="0"/>
              <w:rPr>
                <w:sz w:val="15"/>
                <w:szCs w:val="15"/>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1998</w:t>
            </w:r>
          </w:p>
        </w:tc>
        <w:tc>
          <w:tcPr>
            <w:tcW w:w="19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1997</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760" w:type="dxa"/>
            <w:vAlign w:val="bottom"/>
          </w:tcPr>
          <w:p>
            <w:pPr>
              <w:spacing w:after="0"/>
              <w:rPr>
                <w:sz w:val="15"/>
                <w:szCs w:val="15"/>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27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$196,668</w:t>
            </w:r>
          </w:p>
        </w:tc>
        <w:tc>
          <w:tcPr>
            <w:tcW w:w="1900" w:type="dxa"/>
            <w:vAlign w:val="bottom"/>
          </w:tcPr>
          <w:p>
            <w:pPr>
              <w:ind w:left="520"/>
              <w:spacing w:after="0"/>
              <w:rPr>
                <w:sz w:val="20"/>
                <w:szCs w:val="20"/>
                <w:color w:val="auto"/>
              </w:rPr>
            </w:pPr>
            <w:r>
              <w:rPr>
                <w:rFonts w:ascii="Courier New" w:cs="Courier New" w:eastAsia="Courier New" w:hAnsi="Courier New"/>
                <w:sz w:val="16"/>
                <w:szCs w:val="16"/>
                <w:color w:val="auto"/>
              </w:rPr>
              <w:t>$223,004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$223,224</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change from prior year</w:t>
            </w: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(11.8)%</w:t>
            </w:r>
          </w:p>
        </w:tc>
        <w:tc>
          <w:tcPr>
            <w:tcW w:w="1900" w:type="dxa"/>
            <w:vAlign w:val="bottom"/>
          </w:tcPr>
          <w:p>
            <w:pPr>
              <w:ind w:left="520"/>
              <w:spacing w:after="0"/>
              <w:rPr>
                <w:sz w:val="20"/>
                <w:szCs w:val="20"/>
                <w:color w:val="auto"/>
              </w:rPr>
            </w:pPr>
            <w:r>
              <w:rPr>
                <w:rFonts w:ascii="Courier New" w:cs="Courier New" w:eastAsia="Courier New" w:hAnsi="Courier New"/>
                <w:sz w:val="16"/>
                <w:szCs w:val="16"/>
                <w:color w:val="auto"/>
              </w:rPr>
              <w:t>(0.1)%</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w:t>
            </w:r>
          </w:p>
        </w:tc>
      </w:tr>
    </w:tbl>
    <w:p>
      <w:pPr>
        <w:spacing w:after="0" w:line="372"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Wood Division sales were very strong throughout the quarter, increasing 23% over prior year levels. However, Upholstery Division and Mattress Division sales decreased significantly below the 1997 second quarter volume. Certain recently introduced suites produced by the Wood Division, combined with improvements in overall quality, account for the significant sales increase. The sales decline in the Upholstery Division is attributable to the consolidation of motion furniture manufacturing into the Dumas, Arkansas plant, which resulted in the elimination of numerous SKU's and related sales. Eliminating the motion furniture consolidation, Upholstery sales were flat to the prior year. These results are generally attributable to the Company's strategic efforts to upgrade its upholstery product, improve margins and better align its customer base with the Company's distribution strategy. Mattress Division sales are down due to the loss of Levitz Furniture as a customer in late 1997 but are up if those sales are eliminated from prior year sales.</w:t>
      </w:r>
    </w:p>
    <w:p>
      <w:pPr>
        <w:spacing w:after="0" w:line="184"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Overall, the net decrease in sales resulted primarily from the discontinuance of the National/Mt. Airy and Impact product lines, which accounted for $18,739 of sales in the second quarter of 1997 compared to $766 in 1998.</w:t>
      </w:r>
    </w:p>
    <w:p>
      <w:pPr>
        <w:sectPr>
          <w:pgSz w:w="11900" w:h="16838" w:orient="portrait"/>
          <w:cols w:equalWidth="0" w:num="1">
            <w:col w:w="10219"/>
          </w:cols>
          <w:pgMar w:left="240" w:top="298" w:right="1440" w:bottom="0" w:gutter="0" w:footer="0" w:header="0"/>
        </w:sectPr>
      </w:pPr>
    </w:p>
    <w:bookmarkStart w:id="9" w:name="page10"/>
    <w:bookmarkEnd w:id="9"/>
    <w:p>
      <w:pPr>
        <w:ind w:left="2240"/>
        <w:spacing w:after="0"/>
        <w:rPr>
          <w:sz w:val="20"/>
          <w:szCs w:val="20"/>
          <w:color w:val="auto"/>
        </w:rPr>
      </w:pPr>
      <w:r>
        <w:rPr>
          <w:rFonts w:ascii="Courier New" w:cs="Courier New" w:eastAsia="Courier New" w:hAnsi="Courier New"/>
          <w:sz w:val="15"/>
          <w:szCs w:val="15"/>
          <w:color w:val="auto"/>
        </w:rPr>
        <w:t>9 of 16</w:t>
      </w:r>
    </w:p>
    <w:p>
      <w:pPr>
        <w:sectPr>
          <w:pgSz w:w="11900" w:h="16838" w:orient="portrait"/>
          <w:cols w:equalWidth="0" w:num="1">
            <w:col w:w="9019"/>
          </w:cols>
          <w:pgMar w:left="1440" w:top="87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AND SUBSIDIARIES MAY 30,1998</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(in thousands of dollars)</w:t>
      </w:r>
    </w:p>
    <w:p>
      <w:pPr>
        <w:spacing w:after="0" w:line="188"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373"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Management is optimistic regarding sales volumes. Although the second quarter is a seasonally slow quarter, in 1998 the sales volume was equal to the first quarter sales volume. The Company performed just above plan for the second quarter and is solidly above plan for the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and expenses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showed marked improvement in operating efficiencies in the second quarter as gross profit margin increased to 18.8% of net sales from 10.5% in 1997. This improvement is a direct result of the efficiencies gained through the Company's restructuring activities of 1997 and early 1998. In addition the Company has several new plant managers and a new general manager of wood and upholstery manufacturing operations. Management is aggressively attacking costs and inefficiencies. Gross profit margins have improved in virtually every facility compared to a year ago. All of the facilities that were involved in consolidations have shown improvements in production volumes and operating margins.</w:t>
      </w:r>
    </w:p>
    <w:p>
      <w:pPr>
        <w:spacing w:after="0" w:line="190"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5"/>
          <w:szCs w:val="15"/>
          <w:color w:val="auto"/>
        </w:rPr>
        <w:t>The 1997 cost of sales percentages were to up as the Company took nonrecurring and restructuring charges totaling $28,374. Of these charges, $6,195 effected cost of sales, $8,250 effected SG&amp;A expenses and $13,929 were shown as restructuring charges. These charges were taken as the Company decided to eliminate two product lines (Impact and National/Mt. Airy) and close one wood manufacturing plant and consolidate it into an existing facility.</w:t>
      </w:r>
    </w:p>
    <w:p>
      <w:pPr>
        <w:spacing w:after="0" w:line="17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SG&amp;A expenses, excluding the effect of the one-time charges in 1997, decreased slightly in 1998 compared to 1997. The Company continues to add key management positions to grow the business, increased expenditures to promote the Bassett brand name and continued expenditures to grow the Bassett Furniture Direct ("BFD") stores and introduced the @t Home With Bassett Gallery concept. Expenses related to BFD stores and Gallery stores continue to escalate as the total number of these stores grows.</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SG&amp;A expenses as a percentage of sales for 1997 were up 1.2% over 1996 due to costs associated with product promotion, BFD and Gallery store programs and the Company's focus on customer service.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Other income at $3,113 was basically flat to the prior year. In the second quarter of 1997, other income included a gain on the sale of closed facilities totaling $700. The increase in cash, cash equivalents and marketable securities by $22,200 over the prior year allowed the Company to increase its investment income in 1998. In addition, the change in investment strategy announced in the fourth quarter of 1997 accounted for increased income for the quarter.</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In the second quarter of 1997, other income was down $915 from the second quarter of 1996, when the Company generated $2,034 in income from gains on the sale of investment securities. The 1997 quarter did include a gain on sale of closed facilities totaling $700.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gridSpan w:val="3"/>
          </w:tcPr>
          <w:p>
            <w:pPr>
              <w:spacing w:after="0"/>
              <w:rPr>
                <w:sz w:val="20"/>
                <w:szCs w:val="20"/>
                <w:color w:val="auto"/>
              </w:rPr>
            </w:pPr>
            <w:r>
              <w:rPr>
                <w:rFonts w:ascii="Courier New" w:cs="Courier New" w:eastAsia="Courier New" w:hAnsi="Courier New"/>
                <w:sz w:val="16"/>
                <w:szCs w:val="16"/>
                <w:color w:val="auto"/>
              </w:rPr>
              <w:t>Income taxes</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67"/>
        </w:trPr>
        <w:tc>
          <w:tcPr>
            <w:tcW w:w="1960" w:type="dxa"/>
            <w:vAlign w:val="bottom"/>
            <w:gridSpan w:val="3"/>
          </w:tcPr>
          <w:p>
            <w:pPr>
              <w:spacing w:after="0"/>
              <w:rPr>
                <w:sz w:val="20"/>
                <w:szCs w:val="20"/>
                <w:color w:val="auto"/>
              </w:rPr>
            </w:pPr>
            <w:r>
              <w:rPr>
                <w:rFonts w:ascii="Courier New" w:cs="Courier New" w:eastAsia="Courier New" w:hAnsi="Courier New"/>
                <w:sz w:val="16"/>
                <w:szCs w:val="16"/>
                <w:color w:val="auto"/>
              </w:rPr>
              <w:t>The effective income</w:t>
            </w:r>
          </w:p>
        </w:tc>
        <w:tc>
          <w:tcPr>
            <w:tcW w:w="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tax rate</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for the second</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quarter of 1998 was 24.8 %</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compared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(42.4) %</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The 1997 rate</w:t>
            </w:r>
          </w:p>
        </w:tc>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is a negative rate due to the loss</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incurred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as</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a result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the restructuring and</w:t>
            </w:r>
          </w:p>
        </w:tc>
        <w:tc>
          <w:tcPr>
            <w:tcW w:w="326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 of 16</w:t>
      </w:r>
    </w:p>
    <w:p>
      <w:pPr>
        <w:sectPr>
          <w:pgSz w:w="11900" w:h="16838" w:orient="portrait"/>
          <w:cols w:equalWidth="0" w:num="1">
            <w:col w:w="10219"/>
          </w:cols>
          <w:pgMar w:left="240" w:top="298"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5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AND SUBSIDIARIES MAY 30,1998</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(in thousands of dollars)</w:t>
      </w:r>
    </w:p>
    <w:p>
      <w:pPr>
        <w:spacing w:after="0" w:line="188"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189"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one-time charges.The 1998 rate is being forced upward as the company continues to improve in operating income. In addition, many of the items in the current investment portfolio, under the new investment strategy, have higher tax rates than investments under the previous strategy. The new portfolio strategy is, however, generating a higher net income.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Cash provided by operating activities was $1,768 in 1998 compared to $ 7,624 in 1997.The significant decline in cash provided by operating activities occurred as the Company reduced its outstanding accounts payable and accrued liabilities during the second quarter by $8,417 in 1998 compared to $3,180 in 1997; a net decrease of $5,237. In addition, the sale of a closed facility in 1997 added to the prior year's cash provided by operating activities.</w:t>
      </w:r>
    </w:p>
    <w:p>
      <w:pPr>
        <w:spacing w:after="0" w:line="187"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Company has decreased its accounts receivable outstanding by $6,732 since year-end. This is mainly attributable to the decreases in sales resulting from the closed plants and discontinued divisions.</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Inventories have increased $6,305 during 1998. The manufacturing facilities have produced ahead of projections, resulting in inventory increases. Also the Company is building inventory in anticipation of the third and forth quarters, which have traditionally been stronger than the second quarter.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rPr>
              <w:t>The current ratio as of May</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w w:val="98"/>
              </w:rPr>
              <w:t>30, 1998 and May 31, 1997, respectively,</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was 4.83</w:t>
            </w:r>
          </w:p>
        </w:tc>
      </w:tr>
      <w:tr>
        <w:trPr>
          <w:trHeight w:val="183"/>
        </w:trPr>
        <w:tc>
          <w:tcPr>
            <w:tcW w:w="6480" w:type="dxa"/>
            <w:vAlign w:val="bottom"/>
            <w:gridSpan w:val="3"/>
          </w:tcPr>
          <w:p>
            <w:pPr>
              <w:spacing w:after="0"/>
              <w:rPr>
                <w:sz w:val="20"/>
                <w:szCs w:val="20"/>
                <w:color w:val="auto"/>
              </w:rPr>
            </w:pPr>
            <w:r>
              <w:rPr>
                <w:rFonts w:ascii="Courier New" w:cs="Courier New" w:eastAsia="Courier New" w:hAnsi="Courier New"/>
                <w:sz w:val="16"/>
                <w:szCs w:val="16"/>
                <w:color w:val="auto"/>
              </w:rPr>
              <w:t>to 1 and 5.48 to 1.  Working capital for 1998 was $151,314 compared</w:t>
            </w:r>
          </w:p>
        </w:tc>
        <w:tc>
          <w:tcPr>
            <w:tcW w:w="1060" w:type="dxa"/>
            <w:vAlign w:val="bottom"/>
          </w:tcPr>
          <w:p>
            <w:pPr>
              <w:spacing w:after="0"/>
              <w:rPr>
                <w:sz w:val="20"/>
                <w:szCs w:val="20"/>
                <w:color w:val="auto"/>
              </w:rPr>
            </w:pPr>
            <w:r>
              <w:rPr>
                <w:rFonts w:ascii="Courier New" w:cs="Courier New" w:eastAsia="Courier New" w:hAnsi="Courier New"/>
                <w:sz w:val="16"/>
                <w:szCs w:val="16"/>
                <w:color w:val="auto"/>
                <w:w w:val="98"/>
              </w:rPr>
              <w:t>to $145,620</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in 1997. There</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are no material commitments for capital expenditures</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at May 30,</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1998.  Capital</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expenditures</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made in the future for normal expansion</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are</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anticipated to</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be made from</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w w:val="98"/>
              </w:rPr>
              <w:t>funds generated by operating activities.</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The</w:t>
            </w:r>
          </w:p>
        </w:tc>
      </w:tr>
      <w:tr>
        <w:trPr>
          <w:trHeight w:val="183"/>
        </w:trPr>
        <w:tc>
          <w:tcPr>
            <w:tcW w:w="6480" w:type="dxa"/>
            <w:vAlign w:val="bottom"/>
            <w:gridSpan w:val="3"/>
          </w:tcPr>
          <w:p>
            <w:pPr>
              <w:spacing w:after="0"/>
              <w:rPr>
                <w:sz w:val="20"/>
                <w:szCs w:val="20"/>
                <w:color w:val="auto"/>
              </w:rPr>
            </w:pPr>
            <w:r>
              <w:rPr>
                <w:rFonts w:ascii="Courier New" w:cs="Courier New" w:eastAsia="Courier New" w:hAnsi="Courier New"/>
                <w:sz w:val="16"/>
                <w:szCs w:val="16"/>
                <w:color w:val="auto"/>
                <w:w w:val="98"/>
              </w:rPr>
              <w:t>Company has not typically used the debt or equity markets as sources</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of funds</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or capital.</w:t>
            </w:r>
          </w:p>
        </w:tc>
        <w:tc>
          <w:tcPr>
            <w:tcW w:w="12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88"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The Company's consolidated financial statements are prepared on the basis of historical dollars and are not intended to show the impact of inflation or changing prices. Neither inflation nor changing prices has had a material effect on the Company's consolidated financial position and results of operations in prior years.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is involved in various claims and litigation, including a lawsuit concerning a subsidiary, E. B. Malone Corporation, as well as environmental matters at certain plant facilities, which arise in the normal course of business. The details of these matters are described in Note E in the Notes to Condensed Consolidated Financial Statements.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40" w:type="dxa"/>
            <w:vAlign w:val="bottom"/>
            <w:gridSpan w:val="3"/>
          </w:tcPr>
          <w:p>
            <w:pPr>
              <w:spacing w:after="0"/>
              <w:rPr>
                <w:sz w:val="20"/>
                <w:szCs w:val="20"/>
                <w:color w:val="auto"/>
              </w:rPr>
            </w:pPr>
            <w:r>
              <w:rPr>
                <w:rFonts w:ascii="Courier New" w:cs="Courier New" w:eastAsia="Courier New" w:hAnsi="Courier New"/>
                <w:sz w:val="16"/>
                <w:szCs w:val="16"/>
                <w:color w:val="auto"/>
              </w:rPr>
              <w:t>The Company's Board of</w:t>
            </w:r>
          </w:p>
        </w:tc>
        <w:tc>
          <w:tcPr>
            <w:tcW w:w="54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Directors approved a stock repurchase program and</w:t>
            </w:r>
          </w:p>
        </w:tc>
      </w:t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adopted</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Shareholders</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Rights Plan.</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The details</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w w:val="98"/>
              </w:rPr>
              <w:t>to these matters are described</w:t>
            </w:r>
          </w:p>
        </w:tc>
      </w:t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in Note</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E</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in the Notes</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to Condensed</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Consolidated</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11 of 16</w:t>
      </w:r>
    </w:p>
    <w:p>
      <w:pPr>
        <w:sectPr>
          <w:pgSz w:w="11900" w:h="16838" w:orient="portrait"/>
          <w:cols w:equalWidth="0" w:num="1">
            <w:col w:w="10219"/>
          </w:cols>
          <w:pgMar w:left="240" w:top="298"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AND SUBSIDIARIES MAY 30,1998</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(in thousands of dollars)</w:t>
      </w:r>
    </w:p>
    <w:p>
      <w:pPr>
        <w:spacing w:after="0" w:line="188"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Over the past few years, the Company has been steadily reengineering its business processes and information systems to prepare for the conversion to year 2000. This effort has incorporated an analysis of Year 2000 issues, and management believes that appropriate and timely action has been taken to minimize the negative impact of this event. The Year 2000 issue results from the inability of many computer systems and applications to recognize the year 2000 as the year following 1999. This could cause systems to process critical information incorrectly. The Company plans to implement new systems and technologies in 1998 and 1999 that will provide solutions to these issues. The most significant step in accomplishing this goal was completed in the first quarter of 1998 when a comprehensive enterprise system (which had been installed in over 4,400 companies and is Year 2000 compliant) was purchased; implementation began immediately and should be completed in the third quarter of 1999. As of the end of the second quarter, the Company has engaged a consultant, knowledgable of the enterprise system being installed, to advise and assist in the installation and implementation of the system. The Company continues to work with its customers, suppliers and third party service providers to identify external weaknesses and provide solutions which will prevent the disruption of business activities at that time. The Company does not expect the cost of implementation to have a material adverse effect on its future results of operations, liquidity or capital resources.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Safe-harbor forward-looking statements</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This discussion contains certain forward-looking statements within the meaning of the Private Securities Litigation Reform Act of 1995 with respect to the financial condition, results of operations and business of Bassett Furniture Industries, Incorporated. These forward-looking statements involve certain risks and uncertainties. No assurance can be given that any such matters will be realized. Factors that may cause actual results to differ materially from those contemplated by such forward-looking statements include, among others, the following possibilities: (I) competitive conditions in the industry in which the Company operates; and (II) general economic conditions that are less favorable than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12 of 16</w:t>
      </w:r>
    </w:p>
    <w:p>
      <w:pPr>
        <w:sectPr>
          <w:pgSz w:w="11900" w:h="16838" w:orient="portrait"/>
          <w:cols w:equalWidth="0" w:num="1">
            <w:col w:w="10219"/>
          </w:cols>
          <w:pgMar w:left="240" w:top="298" w:right="1440" w:bottom="1440" w:gutter="0" w:footer="0" w:header="0"/>
        </w:sectPr>
      </w:pPr>
    </w:p>
    <w:bookmarkStart w:id="13" w:name="page14"/>
    <w:bookmarkEnd w:id="13"/>
    <w:p>
      <w:pPr>
        <w:ind w:left="282"/>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PART II - OTHER INFORMATION</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AND SUBSIDIARIES MAY 30, 1998</w:t>
      </w:r>
    </w:p>
    <w:p>
      <w:pPr>
        <w:spacing w:after="0" w:line="369"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6" w:lineRule="exact"/>
        <w:rPr>
          <w:sz w:val="20"/>
          <w:szCs w:val="20"/>
          <w:color w:val="auto"/>
        </w:rPr>
      </w:pPr>
    </w:p>
    <w:p>
      <w:pPr>
        <w:ind w:left="382" w:hanging="382"/>
        <w:spacing w:after="0"/>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2" w:lineRule="exact"/>
        <w:rPr>
          <w:rFonts w:ascii="Courier New" w:cs="Courier New" w:eastAsia="Courier New" w:hAnsi="Courier New"/>
          <w:sz w:val="16"/>
          <w:szCs w:val="16"/>
          <w:color w:val="auto"/>
        </w:rPr>
      </w:pPr>
    </w:p>
    <w:p>
      <w:pPr>
        <w:ind w:left="862" w:hanging="481"/>
        <w:spacing w:after="0"/>
        <w:tabs>
          <w:tab w:leader="none" w:pos="8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8" w:lineRule="exact"/>
        <w:rPr>
          <w:sz w:val="20"/>
          <w:szCs w:val="20"/>
          <w:color w:val="auto"/>
        </w:rPr>
      </w:pPr>
    </w:p>
    <w:p>
      <w:pPr>
        <w:ind w:left="2" w:right="2679"/>
        <w:spacing w:after="0"/>
        <w:rPr>
          <w:sz w:val="20"/>
          <w:szCs w:val="20"/>
          <w:color w:val="auto"/>
        </w:rPr>
      </w:pPr>
      <w:r>
        <w:rPr>
          <w:rFonts w:ascii="Courier New" w:cs="Courier New" w:eastAsia="Courier New" w:hAnsi="Courier New"/>
          <w:sz w:val="16"/>
          <w:szCs w:val="16"/>
          <w:color w:val="auto"/>
        </w:rPr>
        <w:t>No reports were filed on Form 8-K during the quarter. However, item 5 on this Form 10-Q contains information not previously reported in a report on Form 8-K, with respect to which information is not called for by this form.</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5. Other information.</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Board of Directors for Bassett Furniture Industries, Inc. has approved a stock repurchase program for up to 1.3 million shares of its Common Stock for an aggregate purchase price not to exceed $40 million. Bassett currently has approximately 13 million shares outstanding. The repurchases may be effected from time to time in accordance with applicable securities laws, through open market transactions, in block purchases, in privately negotiated transactions, or otherwise, and on such terms and conditions, all as may be approved by any Authorized Officer.</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"This share repurchase program reflects our confidence in Bassett s strategic plan and future opportunities for growth and reinforces management s commitment to further enhance shareholder value," said Paul Fulton, Chairman and Chief Executive Officer of the Company. He added, "Management and the Board of Directors want to be in a position so that anytime it is felt that the market evaluation our Company does not reflect the strengths and prospects of our Company, we want to be in a position to repurchase our Common Stock on an opportunistic basis."</w:t>
      </w:r>
    </w:p>
    <w:p>
      <w:pPr>
        <w:spacing w:after="0" w:line="18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The Board of Directors also approved payment of a cash dividend of</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$.20 per share to holders of record on August 17, 1998, payable on September 1,</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1998.</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Board of Directors adopted a Shareholder Rights Plan, which replaces a similar plan that expired on May 16, 1998. The Plan is not being adopted in response to any specific effort to acquire control of the Company. If a person or group acquires beneficial ownership of 20% or more of the Common Stock outstanding, each Right distributed under the Plan will entitle its holder (other than such person or group) to purchase, at the Rights then-current exercise price, a number of shares of the Company's Common Stock having a market value of twice such price. Detailed descriptions of the Rights will be sent to the Company's shareholders and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13 of 16</w:t>
      </w:r>
    </w:p>
    <w:p>
      <w:pPr>
        <w:sectPr>
          <w:pgSz w:w="11900" w:h="16838" w:orient="portrait"/>
          <w:cols w:equalWidth="0" w:num="1">
            <w:col w:w="10221"/>
          </w:cols>
          <w:pgMar w:left="238" w:top="298" w:right="1440" w:bottom="1440" w:gutter="0" w:footer="0" w:header="0"/>
        </w:sectPr>
      </w:pPr>
    </w:p>
    <w:bookmarkStart w:id="14" w:name="page15"/>
    <w:bookmarkEnd w:id="14"/>
    <w:p>
      <w:pPr>
        <w:ind w:left="282"/>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SIGNATURES</w:t>
      </w:r>
    </w:p>
    <w:p>
      <w:pPr>
        <w:spacing w:after="0" w:line="372" w:lineRule="exact"/>
        <w:rPr>
          <w:sz w:val="20"/>
          <w:szCs w:val="20"/>
          <w:color w:val="auto"/>
        </w:rPr>
      </w:pPr>
    </w:p>
    <w:p>
      <w:pPr>
        <w:jc w:val="both"/>
        <w:ind w:left="2" w:right="3359"/>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DOUGLAS W. MILLER</w:t>
      </w:r>
    </w:p>
    <w:p>
      <w:pPr>
        <w:spacing w:after="0" w:line="2" w:lineRule="exact"/>
        <w:rPr>
          <w:sz w:val="20"/>
          <w:szCs w:val="20"/>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Douglas W. Miller, Vice President, Chief Financial Officer</w:t>
      </w:r>
    </w:p>
    <w:p>
      <w:pPr>
        <w:spacing w:after="0" w:line="369" w:lineRule="exact"/>
        <w:rPr>
          <w:sz w:val="20"/>
          <w:szCs w:val="20"/>
          <w:color w:val="auto"/>
        </w:rPr>
      </w:pPr>
    </w:p>
    <w:p>
      <w:pPr>
        <w:ind w:left="2"/>
        <w:spacing w:after="0"/>
        <w:tabs>
          <w:tab w:leader="none" w:pos="742" w:val="left"/>
        </w:tabs>
        <w:rPr>
          <w:sz w:val="20"/>
          <w:szCs w:val="20"/>
          <w:color w:val="auto"/>
        </w:rPr>
      </w:pPr>
      <w:r>
        <w:rPr>
          <w:rFonts w:ascii="Courier New" w:cs="Courier New" w:eastAsia="Courier New" w:hAnsi="Courier New"/>
          <w:sz w:val="16"/>
          <w:szCs w:val="16"/>
          <w:color w:val="auto"/>
        </w:rPr>
        <w:t>DATE:</w:t>
        <w:tab/>
        <w:t>July 14, 1998</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14 of 16</w:t>
      </w:r>
    </w:p>
    <w:p>
      <w:pPr>
        <w:sectPr>
          <w:pgSz w:w="11900" w:h="16838" w:orient="portrait"/>
          <w:cols w:equalWidth="0" w:num="1">
            <w:col w:w="10221"/>
          </w:cols>
          <w:pgMar w:left="238" w:top="298"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1"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QUARTERLY REPORT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quarter 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197" w:lineRule="exact"/>
        <w:rPr>
          <w:sz w:val="20"/>
          <w:szCs w:val="20"/>
          <w:color w:val="auto"/>
        </w:rPr>
      </w:pPr>
    </w:p>
    <w:p>
      <w:pPr>
        <w:sectPr>
          <w:pgSz w:w="11900" w:h="16838" w:orient="portrait"/>
          <w:cols w:equalWidth="0" w:num="2">
            <w:col w:w="5760" w:space="720"/>
            <w:col w:w="3739"/>
          </w:cols>
          <w:pgMar w:left="240" w:top="29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May 30,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6620" w:space="720"/>
            <w:col w:w="287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1"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15 of 16</w:t>
      </w:r>
    </w:p>
    <w:p>
      <w:pPr>
        <w:sectPr>
          <w:pgSz w:w="11900" w:h="16838" w:orient="portrait"/>
          <w:cols w:equalWidth="0" w:num="1">
            <w:col w:w="10219"/>
          </w:cols>
          <w:pgMar w:left="240" w:top="298"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2200" w:type="dxa"/>
            <w:vAlign w:val="bottom"/>
          </w:tcPr>
          <w:p>
            <w:pPr>
              <w:jc w:val="right"/>
              <w:ind w:right="1641"/>
              <w:spacing w:after="0"/>
              <w:rPr>
                <w:sz w:val="20"/>
                <w:szCs w:val="20"/>
                <w:color w:val="auto"/>
              </w:rPr>
            </w:pPr>
            <w:r>
              <w:rPr>
                <w:rFonts w:ascii="Courier New" w:cs="Courier New" w:eastAsia="Courier New" w:hAnsi="Courier New"/>
                <w:sz w:val="16"/>
                <w:szCs w:val="16"/>
                <w:color w:val="auto"/>
              </w:rPr>
              <w:t>16</w:t>
            </w:r>
          </w:p>
        </w:tc>
        <w:tc>
          <w:tcPr>
            <w:tcW w:w="41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734"/>
        </w:trPr>
        <w:tc>
          <w:tcPr>
            <w:tcW w:w="220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414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Exhibit Description</w:t>
            </w:r>
          </w:p>
        </w:tc>
        <w:tc>
          <w:tcPr>
            <w:tcW w:w="1960" w:type="dxa"/>
            <w:vAlign w:val="bottom"/>
          </w:tcPr>
          <w:p>
            <w:pPr>
              <w:jc w:val="center"/>
              <w:ind w:left="721"/>
              <w:spacing w:after="0"/>
              <w:rPr>
                <w:sz w:val="20"/>
                <w:szCs w:val="20"/>
                <w:color w:val="auto"/>
              </w:rPr>
            </w:pPr>
            <w:r>
              <w:rPr>
                <w:rFonts w:ascii="Courier New" w:cs="Courier New" w:eastAsia="Courier New" w:hAnsi="Courier New"/>
                <w:sz w:val="16"/>
                <w:szCs w:val="16"/>
                <w:color w:val="auto"/>
                <w:w w:val="98"/>
              </w:rPr>
              <w:t>Page No.</w:t>
            </w:r>
          </w:p>
        </w:tc>
      </w:tr>
      <w:tr>
        <w:trPr>
          <w:trHeight w:val="183"/>
        </w:trPr>
        <w:tc>
          <w:tcPr>
            <w:tcW w:w="2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4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200" w:type="dxa"/>
            <w:vAlign w:val="bottom"/>
          </w:tcPr>
          <w:p>
            <w:pPr>
              <w:jc w:val="right"/>
              <w:ind w:right="1741"/>
              <w:spacing w:after="0"/>
              <w:rPr>
                <w:sz w:val="20"/>
                <w:szCs w:val="20"/>
                <w:color w:val="auto"/>
              </w:rPr>
            </w:pPr>
            <w:r>
              <w:rPr>
                <w:rFonts w:ascii="Courier New" w:cs="Courier New" w:eastAsia="Courier New" w:hAnsi="Courier New"/>
                <w:sz w:val="16"/>
                <w:szCs w:val="16"/>
                <w:color w:val="auto"/>
              </w:rPr>
              <w:t>27</w:t>
            </w:r>
          </w:p>
        </w:tc>
        <w:tc>
          <w:tcPr>
            <w:tcW w:w="4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Financial Data Schedule</w:t>
            </w:r>
          </w:p>
        </w:tc>
        <w:tc>
          <w:tcPr>
            <w:tcW w:w="1960" w:type="dxa"/>
            <w:vAlign w:val="bottom"/>
          </w:tcPr>
          <w:p>
            <w:pPr>
              <w:jc w:val="center"/>
              <w:ind w:left="721"/>
              <w:spacing w:after="0"/>
              <w:rPr>
                <w:sz w:val="20"/>
                <w:szCs w:val="20"/>
                <w:color w:val="auto"/>
              </w:rPr>
            </w:pPr>
            <w:r>
              <w:rPr>
                <w:rFonts w:ascii="Courier New" w:cs="Courier New" w:eastAsia="Courier New" w:hAnsi="Courier New"/>
                <w:sz w:val="16"/>
                <w:szCs w:val="16"/>
                <w:color w:val="auto"/>
                <w:w w:val="97"/>
              </w:rPr>
              <w:t>page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16 of 16</w:t>
      </w:r>
    </w:p>
    <w:p>
      <w:pPr>
        <w:sectPr>
          <w:pgSz w:w="11900" w:h="16838" w:orient="portrait"/>
          <w:cols w:equalWidth="0" w:num="1">
            <w:col w:w="10219"/>
          </w:cols>
          <w:pgMar w:left="240" w:top="29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USD</w:t>
      </w:r>
    </w:p>
    <w:p>
      <w:pPr>
        <w:spacing w:after="0" w:line="36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6-MOS</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NOV-28-1998</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DEC-01-1997</w:t>
      </w:r>
    </w:p>
    <w:p>
      <w:pPr>
        <w:spacing w:after="0" w:line="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MAY-30-1998</w:t>
      </w:r>
    </w:p>
    <w:p>
      <w:pPr>
        <w:spacing w:after="0" w:line="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1,000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24,038</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49,796</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51,380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1,147</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48,019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190,804</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171,746</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126,312</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317,155</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39,490</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65,390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200,651</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317,155</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196,668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196,668</w:t>
      </w:r>
    </w:p>
    <w:p>
      <w:pPr>
        <w:spacing w:after="0" w:line="2"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6"/>
          <w:szCs w:val="16"/>
          <w:color w:val="auto"/>
        </w:rPr>
        <w:t>160,559</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192,712</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320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9,816</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2,422</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7,394</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7,394</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.57</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.56</w:t>
      </w:r>
    </w:p>
    <w:sectPr>
      <w:pgSz w:w="11900" w:h="16838" w:orient="portrait"/>
      <w:cols w:equalWidth="0" w:num="1">
        <w:col w:w="10119"/>
      </w:cols>
      <w:pgMar w:left="34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lvl w:ilvl="1">
      <w:lvlJc w:val="left"/>
      <w:lvlText w:val="(%2)"/>
      <w:numFmt w:val="decimal"/>
      <w:start w:val="2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2019-12-20T04:40:54Z</dcterms:created>
  <dcterms:modified xsi:type="dcterms:W3CDTF">2019-12-20T04:40:54Z</dcterms:modified>
</cp:coreProperties>
</file>