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UNITED STATES</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WASHINGTON, D.C. 20599</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8-K</w:t>
      </w:r>
    </w:p>
    <w:p>
      <w:pPr>
        <w:spacing w:after="0" w:line="173" w:lineRule="exact"/>
        <w:rPr>
          <w:sz w:val="24"/>
          <w:szCs w:val="24"/>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CURRENT REPORT PURSUANT TO SECTION 13 OR 15(d) OF THE SECURITIES EXCHANGE ACT OF 1934</w:t>
      </w:r>
    </w:p>
    <w:p>
      <w:pPr>
        <w:sectPr>
          <w:pgSz w:w="11900" w:h="16838" w:orient="portrait"/>
          <w:cols w:equalWidth="0" w:num="1">
            <w:col w:w="10239"/>
          </w:cols>
          <w:pgMar w:left="220" w:top="225" w:right="1440" w:bottom="1440" w:gutter="0" w:footer="0" w:header="0"/>
        </w:sectPr>
      </w:pPr>
    </w:p>
    <w:p>
      <w:pPr>
        <w:spacing w:after="0" w:line="200" w:lineRule="exact"/>
        <w:rPr>
          <w:sz w:val="24"/>
          <w:szCs w:val="24"/>
          <w:color w:val="auto"/>
        </w:rPr>
      </w:pPr>
    </w:p>
    <w:p>
      <w:pPr>
        <w:spacing w:after="0" w:line="310"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5"/>
          <w:szCs w:val="15"/>
          <w:color w:val="auto"/>
        </w:rPr>
        <w:t>June 25, 2003</w:t>
      </w:r>
    </w:p>
    <w:p>
      <w:pPr>
        <w:spacing w:after="0" w:line="5"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sectPr>
          <w:pgSz w:w="11900" w:h="16838" w:orient="portrait"/>
          <w:cols w:equalWidth="0" w:num="2">
            <w:col w:w="4640" w:space="180"/>
            <w:col w:w="5419"/>
          </w:cols>
          <w:pgMar w:left="220" w:top="225" w:right="1440" w:bottom="1440" w:gutter="0" w:footer="0" w:header="0"/>
          <w:type w:val="continuous"/>
        </w:sectPr>
      </w:pPr>
    </w:p>
    <w:p>
      <w:pPr>
        <w:ind w:left="1680"/>
        <w:spacing w:after="0"/>
        <w:rPr>
          <w:sz w:val="20"/>
          <w:szCs w:val="20"/>
          <w:color w:val="auto"/>
        </w:rPr>
      </w:pPr>
      <w:r>
        <w:rPr>
          <w:rFonts w:ascii="Courier New" w:cs="Courier New" w:eastAsia="Courier New" w:hAnsi="Courier New"/>
          <w:sz w:val="15"/>
          <w:szCs w:val="15"/>
          <w:color w:val="auto"/>
        </w:rPr>
        <w:t>BASSETT FURNITURE INDUSTRIES, INCORPORATED</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25" w:right="1440" w:bottom="1440" w:gutter="0" w:footer="0" w:header="0"/>
          <w:type w:val="continuous"/>
        </w:sectPr>
      </w:pPr>
    </w:p>
    <w:p>
      <w:pPr>
        <w:spacing w:after="0" w:line="171"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VIRGINIA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ind w:left="100"/>
        <w:spacing w:after="0" w:line="237" w:lineRule="auto"/>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0-209</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(Comission File No.)</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54-0135270</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237" w:lineRule="auto"/>
        <w:rPr>
          <w:sz w:val="20"/>
          <w:szCs w:val="20"/>
          <w:color w:val="auto"/>
        </w:rPr>
      </w:pPr>
      <w:r>
        <w:rPr>
          <w:rFonts w:ascii="Courier New" w:cs="Courier New" w:eastAsia="Courier New" w:hAnsi="Courier New"/>
          <w:sz w:val="15"/>
          <w:szCs w:val="15"/>
          <w:color w:val="auto"/>
        </w:rPr>
        <w:t>Identification No.)</w:t>
      </w:r>
    </w:p>
    <w:p>
      <w:pPr>
        <w:spacing w:after="0" w:line="167" w:lineRule="exact"/>
        <w:rPr>
          <w:sz w:val="24"/>
          <w:szCs w:val="24"/>
          <w:color w:val="auto"/>
        </w:rPr>
      </w:pPr>
    </w:p>
    <w:p>
      <w:pPr>
        <w:sectPr>
          <w:pgSz w:w="11900" w:h="16838" w:orient="portrait"/>
          <w:cols w:equalWidth="0" w:num="3">
            <w:col w:w="2900" w:space="260"/>
            <w:col w:w="1920" w:space="260"/>
            <w:col w:w="4899"/>
          </w:cols>
          <w:pgMar w:left="220" w:top="225" w:right="1440" w:bottom="1440" w:gutter="0" w:footer="0" w:header="0"/>
          <w:type w:val="continuous"/>
        </w:sectPr>
      </w:pPr>
    </w:p>
    <w:p>
      <w:pPr>
        <w:ind w:left="1500"/>
        <w:spacing w:after="0"/>
        <w:rPr>
          <w:sz w:val="20"/>
          <w:szCs w:val="20"/>
          <w:color w:val="auto"/>
        </w:rPr>
      </w:pPr>
      <w:r>
        <w:rPr>
          <w:rFonts w:ascii="Courier New" w:cs="Courier New" w:eastAsia="Courier New" w:hAnsi="Courier New"/>
          <w:sz w:val="15"/>
          <w:szCs w:val="15"/>
          <w:color w:val="auto"/>
        </w:rPr>
        <w:t>3525 FAIRYSTONE PARK HIGHWAY</w:t>
      </w:r>
    </w:p>
    <w:p>
      <w:pPr>
        <w:ind w:left="1500"/>
        <w:spacing w:after="0"/>
        <w:tabs>
          <w:tab w:leader="none" w:pos="5840" w:val="left"/>
        </w:tabs>
        <w:rPr>
          <w:sz w:val="20"/>
          <w:szCs w:val="20"/>
          <w:color w:val="auto"/>
        </w:rPr>
      </w:pPr>
      <w:r>
        <w:rPr>
          <w:rFonts w:ascii="Courier New" w:cs="Courier New" w:eastAsia="Courier New" w:hAnsi="Courier New"/>
          <w:sz w:val="15"/>
          <w:szCs w:val="15"/>
          <w:color w:val="auto"/>
        </w:rPr>
        <w:t>BASSETT, VIRGINIA</w:t>
      </w:r>
      <w:r>
        <w:rPr>
          <w:sz w:val="20"/>
          <w:szCs w:val="20"/>
          <w:color w:val="auto"/>
        </w:rPr>
        <w:tab/>
      </w:r>
      <w:r>
        <w:rPr>
          <w:rFonts w:ascii="Courier New" w:cs="Courier New" w:eastAsia="Courier New" w:hAnsi="Courier New"/>
          <w:sz w:val="14"/>
          <w:szCs w:val="14"/>
          <w:color w:val="auto"/>
        </w:rPr>
        <w:t>24055</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440"/>
        <w:spacing w:after="0"/>
        <w:tabs>
          <w:tab w:leader="none" w:pos="568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10239"/>
          </w:cols>
          <w:pgMar w:left="220" w:top="225" w:right="1440" w:bottom="1440" w:gutter="0" w:footer="0" w:header="0"/>
          <w:type w:val="continuous"/>
        </w:sectPr>
      </w:pPr>
    </w:p>
    <w:p>
      <w:pPr>
        <w:spacing w:after="0" w:line="173"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276/629-6000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5180" w:space="80"/>
            <w:col w:w="4979"/>
          </w:cols>
          <w:pgMar w:left="220" w:top="225" w:right="1440" w:bottom="1440" w:gutter="0" w:footer="0" w:header="0"/>
          <w:type w:val="continuous"/>
        </w:sectPr>
      </w:pPr>
    </w:p>
    <w:p>
      <w:pPr>
        <w:spacing w:after="0" w:line="285"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3" w:lineRule="exact"/>
        <w:rPr>
          <w:sz w:val="24"/>
          <w:szCs w:val="24"/>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On June 25, 2003, Bassett Furniture Industries issued the news release attached hereto as Exhibit (99) to this report (the "News Release") relating to, among other things, the financial results for the second quarter of fiscal year 2003. A copy of the press release announcing this information is attached to this report as Exhibit 99 and is incorporated herein by reference.</w:t>
      </w:r>
    </w:p>
    <w:p>
      <w:pPr>
        <w:spacing w:after="0" w:line="200" w:lineRule="exact"/>
        <w:rPr>
          <w:sz w:val="24"/>
          <w:szCs w:val="24"/>
          <w:color w:val="auto"/>
        </w:rPr>
      </w:pPr>
    </w:p>
    <w:p>
      <w:pPr>
        <w:spacing w:after="0" w:line="293"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66" w:lineRule="exact"/>
        <w:rPr>
          <w:sz w:val="24"/>
          <w:szCs w:val="24"/>
          <w:color w:val="auto"/>
        </w:rPr>
      </w:pPr>
    </w:p>
    <w:p>
      <w:pPr>
        <w:ind w:left="1140" w:hanging="343"/>
        <w:spacing w:after="0"/>
        <w:tabs>
          <w:tab w:leader="none" w:pos="11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2" w:lineRule="exact"/>
        <w:rPr>
          <w:rFonts w:ascii="Courier New" w:cs="Courier New" w:eastAsia="Courier New" w:hAnsi="Courier New"/>
          <w:sz w:val="15"/>
          <w:szCs w:val="15"/>
          <w:color w:val="auto"/>
        </w:rPr>
      </w:pPr>
    </w:p>
    <w:p>
      <w:pPr>
        <w:ind w:left="1760" w:right="3319" w:hanging="438"/>
        <w:spacing w:after="0" w:line="234" w:lineRule="auto"/>
        <w:tabs>
          <w:tab w:leader="none" w:pos="1760"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News release issued by Bassett Furniture Industries on June 25, 2003.</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174"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BASSETT FURNITURE INDUSTRIES, INCORPORATED</w:t>
      </w:r>
    </w:p>
    <w:p>
      <w:pPr>
        <w:sectPr>
          <w:pgSz w:w="11900" w:h="16838" w:orient="portrait"/>
          <w:cols w:equalWidth="0" w:num="1">
            <w:col w:w="10239"/>
          </w:cols>
          <w:pgMar w:left="220" w:top="449"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25, 2002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Barry C. Safrit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Barry C. Safrit</w:t>
      </w:r>
    </w:p>
    <w:p>
      <w:pPr>
        <w:spacing w:after="0" w:line="237" w:lineRule="auto"/>
        <w:tabs>
          <w:tab w:leader="none" w:pos="760" w:val="left"/>
        </w:tabs>
        <w:rPr>
          <w:sz w:val="20"/>
          <w:szCs w:val="20"/>
          <w:color w:val="auto"/>
        </w:rPr>
      </w:pPr>
      <w:r>
        <w:rPr>
          <w:rFonts w:ascii="Courier New" w:cs="Courier New" w:eastAsia="Courier New" w:hAnsi="Courier New"/>
          <w:sz w:val="15"/>
          <w:szCs w:val="15"/>
          <w:color w:val="auto"/>
        </w:rPr>
        <w:t>Title:</w:t>
        <w:tab/>
        <w:t>Vice President, Chief Financial</w:t>
      </w:r>
    </w:p>
    <w:p>
      <w:pPr>
        <w:ind w:left="780"/>
        <w:spacing w:after="0" w:line="238" w:lineRule="auto"/>
        <w:rPr>
          <w:sz w:val="20"/>
          <w:szCs w:val="20"/>
          <w:color w:val="auto"/>
        </w:rPr>
      </w:pPr>
      <w:r>
        <w:rPr>
          <w:rFonts w:ascii="Courier New" w:cs="Courier New" w:eastAsia="Courier New" w:hAnsi="Courier New"/>
          <w:sz w:val="15"/>
          <w:szCs w:val="15"/>
          <w:color w:val="auto"/>
        </w:rPr>
        <w:t>Officer</w:t>
      </w:r>
    </w:p>
    <w:p>
      <w:pPr>
        <w:sectPr>
          <w:pgSz w:w="11900" w:h="16838" w:orient="portrait"/>
          <w:cols w:equalWidth="0" w:num="3">
            <w:col w:w="440" w:space="180"/>
            <w:col w:w="1740" w:space="720"/>
            <w:col w:w="7159"/>
          </w:cols>
          <w:pgMar w:left="220" w:top="449" w:right="1440" w:bottom="1440" w:gutter="0" w:footer="0" w:header="0"/>
          <w:type w:val="continuous"/>
        </w:sectPr>
      </w:pPr>
    </w:p>
    <w:bookmarkStart w:id="2" w:name="page3"/>
    <w:bookmarkEnd w:id="2"/>
    <w:p>
      <w:pPr>
        <w:ind w:left="2700"/>
        <w:spacing w:after="0"/>
        <w:rPr>
          <w:sz w:val="20"/>
          <w:szCs w:val="20"/>
          <w:color w:val="auto"/>
        </w:rPr>
      </w:pPr>
      <w:r>
        <w:rPr>
          <w:rFonts w:ascii="Courier New" w:cs="Courier New" w:eastAsia="Courier New" w:hAnsi="Courier New"/>
          <w:sz w:val="15"/>
          <w:szCs w:val="15"/>
          <w:color w:val="auto"/>
        </w:rPr>
        <w:t>EXHIBIT INDEX</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Description</w:t>
      </w:r>
    </w:p>
    <w:p>
      <w:pPr>
        <w:spacing w:after="0" w:line="173" w:lineRule="exact"/>
        <w:rPr>
          <w:sz w:val="20"/>
          <w:szCs w:val="20"/>
          <w:color w:val="auto"/>
        </w:rPr>
      </w:pPr>
    </w:p>
    <w:p>
      <w:pPr>
        <w:ind w:left="1820" w:right="3399" w:hanging="2098"/>
        <w:spacing w:after="0" w:line="234" w:lineRule="auto"/>
        <w:tabs>
          <w:tab w:leader="none" w:pos="1800" w:val="left"/>
        </w:tabs>
        <w:rPr>
          <w:sz w:val="20"/>
          <w:szCs w:val="20"/>
          <w:color w:val="auto"/>
        </w:rPr>
      </w:pPr>
      <w:r>
        <w:rPr>
          <w:rFonts w:ascii="Courier New" w:cs="Courier New" w:eastAsia="Courier New" w:hAnsi="Courier New"/>
          <w:sz w:val="15"/>
          <w:szCs w:val="15"/>
          <w:color w:val="auto"/>
        </w:rPr>
        <w:t>Exhibit No. 99</w:t>
      </w:r>
      <w:r>
        <w:rPr>
          <w:sz w:val="20"/>
          <w:szCs w:val="20"/>
          <w:color w:val="auto"/>
        </w:rPr>
        <w:tab/>
      </w:r>
      <w:r>
        <w:rPr>
          <w:rFonts w:ascii="Courier New" w:cs="Courier New" w:eastAsia="Courier New" w:hAnsi="Courier New"/>
          <w:sz w:val="15"/>
          <w:szCs w:val="15"/>
          <w:color w:val="auto"/>
        </w:rPr>
        <w:t>News release issued by Bassett Furniture Industries on June 25, 2003.</w:t>
      </w:r>
    </w:p>
    <w:p>
      <w:pPr>
        <w:sectPr>
          <w:pgSz w:w="11900" w:h="16838" w:orient="portrait"/>
          <w:cols w:equalWidth="0" w:num="1">
            <w:col w:w="9959"/>
          </w:cols>
          <w:pgMar w:left="500" w:top="44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Exhibit 99</w:t>
            </w: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Bassett Logo</w:t>
            </w: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Bassett Furniture Industries, Inc.</w:t>
            </w:r>
          </w:p>
        </w:tc>
        <w:tc>
          <w:tcPr>
            <w:tcW w:w="2320" w:type="dxa"/>
            <w:vAlign w:val="bottom"/>
            <w:gridSpan w:val="3"/>
          </w:tcPr>
          <w:p>
            <w:pPr>
              <w:ind w:left="880"/>
              <w:spacing w:after="0"/>
              <w:rPr>
                <w:sz w:val="20"/>
                <w:szCs w:val="20"/>
                <w:color w:val="auto"/>
              </w:rPr>
            </w:pPr>
            <w:r>
              <w:rPr>
                <w:rFonts w:ascii="Courier New" w:cs="Courier New" w:eastAsia="Courier New" w:hAnsi="Courier New"/>
                <w:sz w:val="15"/>
                <w:szCs w:val="15"/>
                <w:color w:val="auto"/>
                <w:w w:val="98"/>
              </w:rPr>
              <w:t>Barry C. Safrit,</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w w:val="93"/>
              </w:rPr>
              <w:t>V.P., CFO</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P.O. Box 626</w:t>
            </w:r>
          </w:p>
        </w:tc>
        <w:tc>
          <w:tcPr>
            <w:tcW w:w="1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(276)</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629-6757 -</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Investors</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Bassett, VA 24055</w:t>
            </w:r>
          </w:p>
        </w:tc>
        <w:tc>
          <w:tcPr>
            <w:tcW w:w="1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(276)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629-6332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Fax</w:t>
            </w:r>
          </w:p>
        </w:tc>
      </w:tr>
      <w:tr>
        <w:trPr>
          <w:trHeight w:val="336"/>
        </w:trPr>
        <w:tc>
          <w:tcPr>
            <w:tcW w:w="3860" w:type="dxa"/>
            <w:vAlign w:val="bottom"/>
          </w:tcPr>
          <w:p>
            <w:pPr>
              <w:spacing w:after="0"/>
              <w:rPr>
                <w:sz w:val="24"/>
                <w:szCs w:val="24"/>
                <w:color w:val="auto"/>
              </w:rPr>
            </w:pPr>
          </w:p>
        </w:tc>
        <w:tc>
          <w:tcPr>
            <w:tcW w:w="3140" w:type="dxa"/>
            <w:vAlign w:val="bottom"/>
            <w:gridSpan w:val="4"/>
          </w:tcPr>
          <w:p>
            <w:pPr>
              <w:ind w:left="880"/>
              <w:spacing w:after="0"/>
              <w:rPr>
                <w:sz w:val="20"/>
                <w:szCs w:val="20"/>
                <w:color w:val="auto"/>
              </w:rPr>
            </w:pPr>
            <w:r>
              <w:rPr>
                <w:rFonts w:ascii="Courier New" w:cs="Courier New" w:eastAsia="Courier New" w:hAnsi="Courier New"/>
                <w:sz w:val="15"/>
                <w:szCs w:val="15"/>
                <w:color w:val="auto"/>
              </w:rPr>
              <w:t>Jay S. Moore, Dir. of</w:t>
            </w:r>
          </w:p>
        </w:tc>
      </w:tr>
      <w:tr>
        <w:trPr>
          <w:trHeight w:val="168"/>
        </w:trPr>
        <w:tc>
          <w:tcPr>
            <w:tcW w:w="3860" w:type="dxa"/>
            <w:vAlign w:val="bottom"/>
          </w:tcPr>
          <w:p>
            <w:pPr>
              <w:spacing w:after="0"/>
              <w:rPr>
                <w:sz w:val="14"/>
                <w:szCs w:val="14"/>
                <w:color w:val="auto"/>
              </w:rPr>
            </w:pPr>
          </w:p>
        </w:tc>
        <w:tc>
          <w:tcPr>
            <w:tcW w:w="218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w w:val="95"/>
              </w:rPr>
              <w:t>Communications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For Immediate Release</w:t>
            </w:r>
          </w:p>
        </w:tc>
        <w:tc>
          <w:tcPr>
            <w:tcW w:w="1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(276)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629-6450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Media</w:t>
            </w:r>
          </w:p>
        </w:tc>
      </w:tr>
      <w:tr>
        <w:trPr>
          <w:trHeight w:val="168"/>
        </w:trPr>
        <w:tc>
          <w:tcPr>
            <w:tcW w:w="3860" w:type="dxa"/>
            <w:vAlign w:val="bottom"/>
          </w:tcPr>
          <w:p>
            <w:pPr>
              <w:spacing w:after="0"/>
              <w:rPr>
                <w:sz w:val="14"/>
                <w:szCs w:val="14"/>
                <w:color w:val="auto"/>
              </w:rPr>
            </w:pPr>
          </w:p>
        </w:tc>
        <w:tc>
          <w:tcPr>
            <w:tcW w:w="1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(276)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629-6418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Fax</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News Release</w:t>
      </w:r>
    </w:p>
    <w:p>
      <w:pPr>
        <w:spacing w:after="0" w:line="237" w:lineRule="auto"/>
        <w:rPr>
          <w:sz w:val="20"/>
          <w:szCs w:val="20"/>
          <w:color w:val="auto"/>
        </w:rPr>
      </w:pPr>
      <w:r>
        <w:rPr>
          <w:rFonts w:ascii="Courier New" w:cs="Courier New" w:eastAsia="Courier New" w:hAnsi="Courier New"/>
          <w:sz w:val="15"/>
          <w:szCs w:val="15"/>
          <w:color w:val="auto"/>
        </w:rPr>
        <w:t>Bassett Announces Second Quarter 2003 Earnings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(Bassett, Va.) - June 25, 2003 - Bassett Furniture Industries Inc. announced today the financial results for its second fiscal quarter ended May 31, 2003.</w:t>
      </w:r>
    </w:p>
    <w:p>
      <w:pPr>
        <w:spacing w:after="0" w:line="174"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Sales for the second quarter of 2003 were $71.5 million, down 11.6% from second quarter 2002 levels. The decrease was due to industry-wide soft retail conditions as well as the previously disclosed significant sales decrease with JCPenney.</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Sales for the first half of the year were $144.8 million compared to $165.7 million for the first half of 2002. Nearly half of the $20.8 million decline was the sales decrease with JCPenney. The remaining decline was indicative of economic conditions as well as an extra week included in the first half of fiscal 2002 (27 weeks vs. 26 weeks).</w:t>
      </w:r>
    </w:p>
    <w:p>
      <w:pPr>
        <w:spacing w:after="0" w:line="174" w:lineRule="exact"/>
        <w:rPr>
          <w:sz w:val="20"/>
          <w:szCs w:val="20"/>
          <w:color w:val="auto"/>
        </w:rPr>
      </w:pPr>
    </w:p>
    <w:p>
      <w:pPr>
        <w:jc w:val="both"/>
        <w:ind w:right="3319" w:firstLine="525"/>
        <w:spacing w:after="0" w:line="236" w:lineRule="auto"/>
        <w:rPr>
          <w:sz w:val="20"/>
          <w:szCs w:val="20"/>
          <w:color w:val="auto"/>
        </w:rPr>
      </w:pPr>
      <w:r>
        <w:rPr>
          <w:rFonts w:ascii="Courier New" w:cs="Courier New" w:eastAsia="Courier New" w:hAnsi="Courier New"/>
          <w:sz w:val="15"/>
          <w:szCs w:val="15"/>
          <w:color w:val="auto"/>
        </w:rPr>
        <w:t>The Bassett Furniture Direct (BFD) retail store program continues to grow with 93 stores currently in operation. Licensees opened five additional stores in the second quarter making a total of nine stores opened in the first half of fiscal 2003. The Company expects licensees to open eleven stores in the second half for a total of 20 new stores in fiscal 2003. Sales to BFD stores were 45% of total Company sales in 2002 and are planned to be approximately 55% of total Bassett sales in 2003.</w:t>
      </w:r>
    </w:p>
    <w:p>
      <w:pPr>
        <w:spacing w:after="0" w:line="17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Company reported a modest operating loss for the quarter which was reflective of the sales environment and costs associated with consolidating its Dublin, Ga., wood manufacturing facility into its Bassett, Va., facility as previously announced. Management believes that the Company's wood division will be better positioned to produce higher operating earnings in domestic wood in subsequent quarters based on the restructuring efforts completed during the second quarter. Upholstery division gross margin for the quarter improved by 1.8 points over the gross margin from the previous year quarter, despite lower sales volume. Import division sales increased slightly with continued solid profit margins in this segment.</w:t>
      </w:r>
    </w:p>
    <w:p>
      <w:pPr>
        <w:spacing w:after="0" w:line="179"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The Company reported net income for the quarter of $1.2 million or $.10 per diluted share compared to net income of $2.9 million or $.24 per diluted share for the second quarter of 2002. Earnings from investments were better than expected and better than in the second quarter of 2002.</w:t>
      </w:r>
    </w:p>
    <w:p>
      <w:pPr>
        <w:spacing w:after="0" w:line="175" w:lineRule="exact"/>
        <w:rPr>
          <w:sz w:val="20"/>
          <w:szCs w:val="20"/>
          <w:color w:val="auto"/>
        </w:rPr>
      </w:pPr>
    </w:p>
    <w:p>
      <w:pPr>
        <w:jc w:val="both"/>
        <w:ind w:right="3579" w:firstLine="525"/>
        <w:spacing w:after="0" w:line="235" w:lineRule="auto"/>
        <w:rPr>
          <w:sz w:val="20"/>
          <w:szCs w:val="20"/>
          <w:color w:val="auto"/>
        </w:rPr>
      </w:pPr>
      <w:r>
        <w:rPr>
          <w:rFonts w:ascii="Courier New" w:cs="Courier New" w:eastAsia="Courier New" w:hAnsi="Courier New"/>
          <w:sz w:val="15"/>
          <w:szCs w:val="15"/>
          <w:color w:val="auto"/>
        </w:rPr>
        <w:t>Net loss on a year to date basis was $(.1) million or $(.01) per share including a previously announced $3.2 million charge related to closing its Dublin facility in the first quarter.</w:t>
      </w:r>
    </w:p>
    <w:p>
      <w:pPr>
        <w:spacing w:after="0" w:line="200" w:lineRule="exact"/>
        <w:rPr>
          <w:sz w:val="20"/>
          <w:szCs w:val="20"/>
          <w:color w:val="auto"/>
        </w:rPr>
      </w:pPr>
    </w:p>
    <w:p>
      <w:pPr>
        <w:spacing w:after="0" w:line="288"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"Earnings continue to be a challenge in this tough economic and industry environment," said Robert H. Spilman Jr., president and chief executive officer. "We are pleased with the operating cash flow we generated during the quarter and our investment results. Additionally, we made progress in positioning our overall cost structure. We continue to be encouraged by the new stores we are opening, and the number of prospects we have who want to own and operate Bassett stores in the future. We remain committed to our goal of 150 BFDs by the end of our fiscal 2005."</w:t>
      </w:r>
    </w:p>
    <w:p>
      <w:pPr>
        <w:spacing w:after="0" w:line="177"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The Company borrowed $4 million during the first half of 2003 to support increased inventory levels of the Company's growing Import Division in addition to funding capital spending. During the second quarter the Company generated positive operating cash flow as inventory and receivable levels decreased by $2.5 million and $1.3 million respectively and the Company received an income tax refund. Bassett repurchased 69,278 of its shares at a cost of $.9 million during the first half of 2003 and has $10.3 million remaining on its share repurchase program. The Company's debt to capital ratio was 3.1% at May 31, 2003.</w:t>
      </w:r>
    </w:p>
    <w:p>
      <w:pPr>
        <w:spacing w:after="0" w:line="178" w:lineRule="exact"/>
        <w:rPr>
          <w:sz w:val="20"/>
          <w:szCs w:val="20"/>
          <w:color w:val="auto"/>
        </w:rPr>
      </w:pPr>
    </w:p>
    <w:p>
      <w:pPr>
        <w:ind w:right="3839" w:firstLine="525"/>
        <w:spacing w:after="0" w:line="235" w:lineRule="auto"/>
        <w:rPr>
          <w:sz w:val="20"/>
          <w:szCs w:val="20"/>
          <w:color w:val="auto"/>
        </w:rPr>
      </w:pPr>
      <w:r>
        <w:rPr>
          <w:rFonts w:ascii="Courier New" w:cs="Courier New" w:eastAsia="Courier New" w:hAnsi="Courier New"/>
          <w:sz w:val="15"/>
          <w:szCs w:val="15"/>
          <w:color w:val="auto"/>
        </w:rPr>
        <w:t>Bassett Furniture's Board of Directors yesterday declared a regular quarterly dividend of $.20 per share payable on September 2, 2003, to shareholders of record on August 15, 2003.</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Bassett Furniture Industries Inc., based in Bassett, Va., is one of the world's leading manufacturers and marketers of branded home furnishings. Bassett's products, designed to provide quality, style and value, are sold through Bassett Furniture Direct(TM) stores, At Home with Bassett(R), and other furniture and department stores. The Company's common stock is traded on the NASDAQ market under the symbol BSET. More information about Bassett is available on the Company's Internet site at www.bassettfurniture.com.</w:t>
      </w:r>
    </w:p>
    <w:p>
      <w:pPr>
        <w:spacing w:after="0" w:line="176"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Certain of the statements in the immediately preceding paragraphs, particularly those preceded by, followed by or including the words "believes," "expects,"</w:t>
      </w:r>
    </w:p>
    <w:p>
      <w:pPr>
        <w:sectPr>
          <w:pgSz w:w="11900" w:h="16838" w:orient="portrait"/>
          <w:cols w:equalWidth="0" w:num="1">
            <w:col w:w="10239"/>
          </w:cols>
          <w:pgMar w:left="220" w:top="640" w:right="1440" w:bottom="0" w:gutter="0" w:footer="0" w:header="0"/>
        </w:sectPr>
      </w:pPr>
    </w:p>
    <w:bookmarkStart w:id="4" w:name="page5"/>
    <w:bookmarkEnd w:id="4"/>
    <w:p>
      <w:pPr>
        <w:ind w:right="3239"/>
        <w:spacing w:after="0" w:line="237" w:lineRule="auto"/>
        <w:rPr>
          <w:sz w:val="20"/>
          <w:szCs w:val="20"/>
          <w:color w:val="auto"/>
        </w:rPr>
      </w:pPr>
      <w:r>
        <w:rPr>
          <w:rFonts w:ascii="Courier New" w:cs="Courier New" w:eastAsia="Courier New" w:hAnsi="Courier New"/>
          <w:sz w:val="15"/>
          <w:szCs w:val="15"/>
          <w:color w:val="auto"/>
        </w:rPr>
        <w:t>"anticipates," "intends," "should," "estimates," or similar expressions, or those relating to or anticipating financial results for periods beyond the second quarter of fiscal year 2003, constitute "forward looking statements" within the meaning of Section 27A of the Securities Act of 1933, as amended. For those statements, Bassett claims the protection of the safe harbor for forward looking statements contained in the Private Securities Litigation Reform Act of 1995. In many cases, Bassett cannot predict what factors would cause actual results to differ materially from those indicated in the forward looking statements. Expectations included in the forward-looking statements are based on preliminary information as well as certain assumptions which management believes to be reasonable at this time. The following important factors affect Bassett and could cause those results to differ materially from those expressed in the forward looking statements: the effects of recent events and the effects of future governmental and military responses to such events on demand for furniture at the retail level, and the economic, competitive, governmental, technological and other factors identified in Bassett's filings with the Securities and Exchange Commission.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141" w:right="1440" w:bottom="1440" w:gutter="0" w:footer="0" w:header="0"/>
        </w:sectPr>
      </w:pPr>
    </w:p>
    <w:bookmarkStart w:id="5" w:name="page6"/>
    <w:bookmarkEnd w:id="5"/>
    <w:p>
      <w:pPr>
        <w:jc w:val="center"/>
        <w:ind w:right="1379"/>
        <w:spacing w:after="0"/>
        <w:rPr>
          <w:sz w:val="20"/>
          <w:szCs w:val="20"/>
          <w:color w:val="auto"/>
        </w:rPr>
      </w:pPr>
      <w:r>
        <w:rPr>
          <w:rFonts w:ascii="Courier New" w:cs="Courier New" w:eastAsia="Courier New" w:hAnsi="Courier New"/>
          <w:sz w:val="15"/>
          <w:szCs w:val="15"/>
          <w:color w:val="auto"/>
        </w:rPr>
        <w:t>BASSETT FURNITURE INDUSTRIES, INC. AND SUBSIDIARIES</w:t>
      </w:r>
    </w:p>
    <w:p>
      <w:pPr>
        <w:jc w:val="center"/>
        <w:ind w:right="1379"/>
        <w:spacing w:after="0" w:line="237" w:lineRule="auto"/>
        <w:rPr>
          <w:sz w:val="20"/>
          <w:szCs w:val="20"/>
          <w:color w:val="auto"/>
        </w:rPr>
      </w:pPr>
      <w:r>
        <w:rPr>
          <w:rFonts w:ascii="Courier New" w:cs="Courier New" w:eastAsia="Courier New" w:hAnsi="Courier New"/>
          <w:sz w:val="15"/>
          <w:szCs w:val="15"/>
          <w:color w:val="auto"/>
        </w:rPr>
        <w:t>Condensed Consolidated Statements of Income - Unaudited (Stated in thousands of</w:t>
      </w:r>
    </w:p>
    <w:tbl>
      <w:tblPr>
        <w:tblLayout w:type="fixed"/>
        <w:tblInd w:w="0" w:type="dxa"/>
        <w:tblCellMar>
          <w:top w:w="0" w:type="dxa"/>
          <w:left w:w="0" w:type="dxa"/>
          <w:bottom w:w="0" w:type="dxa"/>
          <w:right w:w="0" w:type="dxa"/>
        </w:tblCellMar>
      </w:tblPr>
      <w:tr>
        <w:trPr>
          <w:trHeight w:val="169"/>
        </w:trPr>
        <w:tc>
          <w:tcPr>
            <w:tcW w:w="6220" w:type="dxa"/>
            <w:vAlign w:val="bottom"/>
            <w:gridSpan w:val="3"/>
          </w:tcPr>
          <w:p>
            <w:pPr>
              <w:jc w:val="right"/>
              <w:ind w:right="287"/>
              <w:spacing w:after="0" w:line="169" w:lineRule="exact"/>
              <w:rPr>
                <w:sz w:val="20"/>
                <w:szCs w:val="20"/>
                <w:color w:val="auto"/>
              </w:rPr>
            </w:pPr>
            <w:r>
              <w:rPr>
                <w:rFonts w:ascii="Courier New" w:cs="Courier New" w:eastAsia="Courier New" w:hAnsi="Courier New"/>
                <w:sz w:val="15"/>
                <w:szCs w:val="15"/>
                <w:color w:val="auto"/>
              </w:rPr>
              <w:t>dollars except for per share data)</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3"/>
        </w:trPr>
        <w:tc>
          <w:tcPr>
            <w:tcW w:w="3380" w:type="dxa"/>
            <w:vAlign w:val="bottom"/>
          </w:tcPr>
          <w:p>
            <w:pPr>
              <w:spacing w:after="0"/>
              <w:rPr>
                <w:sz w:val="24"/>
                <w:szCs w:val="24"/>
                <w:color w:val="auto"/>
              </w:rPr>
            </w:pPr>
          </w:p>
        </w:tc>
        <w:tc>
          <w:tcPr>
            <w:tcW w:w="284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13 Weeks Ended</w:t>
            </w:r>
          </w:p>
        </w:tc>
        <w:tc>
          <w:tcPr>
            <w:tcW w:w="2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13 Weeks Ended</w:t>
            </w:r>
          </w:p>
        </w:tc>
      </w:tr>
      <w:tr>
        <w:trPr>
          <w:trHeight w:val="168"/>
        </w:trPr>
        <w:tc>
          <w:tcPr>
            <w:tcW w:w="3380" w:type="dxa"/>
            <w:vAlign w:val="bottom"/>
          </w:tcPr>
          <w:p>
            <w:pPr>
              <w:spacing w:after="0"/>
              <w:rPr>
                <w:sz w:val="14"/>
                <w:szCs w:val="14"/>
                <w:color w:val="auto"/>
              </w:rPr>
            </w:pPr>
          </w:p>
        </w:tc>
        <w:tc>
          <w:tcPr>
            <w:tcW w:w="284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May 31, 2003</w:t>
            </w:r>
          </w:p>
        </w:tc>
        <w:tc>
          <w:tcPr>
            <w:tcW w:w="25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June 1, 2002</w:t>
            </w:r>
          </w:p>
        </w:tc>
      </w:tr>
      <w:tr>
        <w:trPr>
          <w:trHeight w:val="168"/>
        </w:trPr>
        <w:tc>
          <w:tcPr>
            <w:tcW w:w="3380" w:type="dxa"/>
            <w:vAlign w:val="bottom"/>
          </w:tcPr>
          <w:p>
            <w:pPr>
              <w:spacing w:after="0"/>
              <w:rPr>
                <w:sz w:val="14"/>
                <w:szCs w:val="14"/>
                <w:color w:val="auto"/>
              </w:rPr>
            </w:pPr>
          </w:p>
        </w:tc>
        <w:tc>
          <w:tcPr>
            <w:tcW w:w="28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5"/>
              </w:rPr>
              <w:t>Percent of</w:t>
            </w:r>
          </w:p>
        </w:tc>
        <w:tc>
          <w:tcPr>
            <w:tcW w:w="148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Percent of</w:t>
            </w:r>
          </w:p>
        </w:tc>
      </w:tr>
      <w:tr>
        <w:trPr>
          <w:trHeight w:val="168"/>
        </w:trPr>
        <w:tc>
          <w:tcPr>
            <w:tcW w:w="338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Amount</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Net Sales</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Amount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Sales</w:t>
            </w:r>
          </w:p>
        </w:tc>
      </w:tr>
      <w:tr>
        <w:trPr>
          <w:trHeight w:val="168"/>
        </w:trPr>
        <w:tc>
          <w:tcPr>
            <w:tcW w:w="3380" w:type="dxa"/>
            <w:vAlign w:val="bottom"/>
          </w:tcPr>
          <w:p>
            <w:pPr>
              <w:spacing w:after="0"/>
              <w:rPr>
                <w:sz w:val="14"/>
                <w:szCs w:val="14"/>
                <w:color w:val="auto"/>
              </w:rPr>
            </w:pPr>
          </w:p>
        </w:tc>
        <w:tc>
          <w:tcPr>
            <w:tcW w:w="28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$71,529</w:t>
            </w: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100.0%</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$ 80,904</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56,398</w:t>
            </w: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78.8%</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62,455</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77.2%</w:t>
            </w:r>
          </w:p>
        </w:tc>
      </w:tr>
      <w:tr>
        <w:trPr>
          <w:trHeight w:val="168"/>
        </w:trPr>
        <w:tc>
          <w:tcPr>
            <w:tcW w:w="3380" w:type="dxa"/>
            <w:vAlign w:val="bottom"/>
          </w:tcPr>
          <w:p>
            <w:pPr>
              <w:spacing w:after="0"/>
              <w:rPr>
                <w:sz w:val="14"/>
                <w:szCs w:val="14"/>
                <w:color w:val="auto"/>
              </w:rPr>
            </w:pPr>
          </w:p>
        </w:tc>
        <w:tc>
          <w:tcPr>
            <w:tcW w:w="28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15,131</w:t>
            </w: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21.2%</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18,449</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22.8%</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15,409</w:t>
            </w: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21.5%</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15,820</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19.6%</w:t>
            </w:r>
          </w:p>
        </w:tc>
      </w:tr>
      <w:tr>
        <w:trPr>
          <w:trHeight w:val="168"/>
        </w:trPr>
        <w:tc>
          <w:tcPr>
            <w:tcW w:w="3380" w:type="dxa"/>
            <w:vAlign w:val="bottom"/>
          </w:tcPr>
          <w:p>
            <w:pPr>
              <w:spacing w:after="0"/>
              <w:rPr>
                <w:sz w:val="14"/>
                <w:szCs w:val="14"/>
                <w:color w:val="auto"/>
              </w:rPr>
            </w:pPr>
          </w:p>
        </w:tc>
        <w:tc>
          <w:tcPr>
            <w:tcW w:w="28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-0.4%</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2,629</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Other income , net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1,657</w:t>
            </w: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2.3%</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1,544</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w:t>
            </w:r>
          </w:p>
        </w:tc>
      </w:tr>
      <w:tr>
        <w:trPr>
          <w:trHeight w:val="168"/>
        </w:trPr>
        <w:tc>
          <w:tcPr>
            <w:tcW w:w="3380" w:type="dxa"/>
            <w:vAlign w:val="bottom"/>
          </w:tcPr>
          <w:p>
            <w:pPr>
              <w:spacing w:after="0"/>
              <w:rPr>
                <w:sz w:val="14"/>
                <w:szCs w:val="14"/>
                <w:color w:val="auto"/>
              </w:rPr>
            </w:pPr>
          </w:p>
        </w:tc>
        <w:tc>
          <w:tcPr>
            <w:tcW w:w="28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1,379</w:t>
            </w: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4,173</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Income tax provision</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-0.3%</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(1,293)</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w:t>
            </w:r>
          </w:p>
        </w:tc>
      </w:tr>
      <w:tr>
        <w:trPr>
          <w:trHeight w:val="168"/>
        </w:trPr>
        <w:tc>
          <w:tcPr>
            <w:tcW w:w="3380" w:type="dxa"/>
            <w:vAlign w:val="bottom"/>
          </w:tcPr>
          <w:p>
            <w:pPr>
              <w:spacing w:after="0"/>
              <w:rPr>
                <w:sz w:val="14"/>
                <w:szCs w:val="14"/>
                <w:color w:val="auto"/>
              </w:rPr>
            </w:pPr>
          </w:p>
        </w:tc>
        <w:tc>
          <w:tcPr>
            <w:tcW w:w="28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$ 1,193</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1.7%</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$ 2,880</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3380" w:type="dxa"/>
            <w:vAlign w:val="bottom"/>
          </w:tcPr>
          <w:p>
            <w:pPr>
              <w:spacing w:after="0"/>
              <w:rPr>
                <w:sz w:val="14"/>
                <w:szCs w:val="14"/>
                <w:color w:val="auto"/>
              </w:rPr>
            </w:pPr>
          </w:p>
        </w:tc>
        <w:tc>
          <w:tcPr>
            <w:tcW w:w="28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6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$ 0.10</w:t>
            </w:r>
          </w:p>
        </w:tc>
        <w:tc>
          <w:tcPr>
            <w:tcW w:w="1580" w:type="dxa"/>
            <w:vAlign w:val="bottom"/>
          </w:tcPr>
          <w:p>
            <w:pPr>
              <w:spacing w:after="0"/>
              <w:rPr>
                <w:sz w:val="24"/>
                <w:szCs w:val="24"/>
                <w:color w:val="auto"/>
              </w:rPr>
            </w:pP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$ 0.25</w:t>
            </w:r>
          </w:p>
        </w:tc>
        <w:tc>
          <w:tcPr>
            <w:tcW w:w="1060" w:type="dxa"/>
            <w:vAlign w:val="bottom"/>
          </w:tcPr>
          <w:p>
            <w:pPr>
              <w:spacing w:after="0"/>
              <w:rPr>
                <w:sz w:val="24"/>
                <w:szCs w:val="24"/>
                <w:color w:val="auto"/>
              </w:rPr>
            </w:pPr>
          </w:p>
        </w:tc>
      </w:tr>
      <w:tr>
        <w:trPr>
          <w:trHeight w:val="168"/>
        </w:trPr>
        <w:tc>
          <w:tcPr>
            <w:tcW w:w="3380" w:type="dxa"/>
            <w:vAlign w:val="bottom"/>
          </w:tcPr>
          <w:p>
            <w:pPr>
              <w:spacing w:after="0"/>
              <w:rPr>
                <w:sz w:val="14"/>
                <w:szCs w:val="14"/>
                <w:color w:val="auto"/>
              </w:rPr>
            </w:pP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tcPr>
          <w:p>
            <w:pPr>
              <w:spacing w:after="0"/>
              <w:rPr>
                <w:sz w:val="14"/>
                <w:szCs w:val="14"/>
                <w:color w:val="auto"/>
              </w:rPr>
            </w:pPr>
          </w:p>
        </w:tc>
        <w:tc>
          <w:tcPr>
            <w:tcW w:w="1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$ 0.10</w:t>
            </w:r>
          </w:p>
        </w:tc>
        <w:tc>
          <w:tcPr>
            <w:tcW w:w="1580" w:type="dxa"/>
            <w:vAlign w:val="bottom"/>
          </w:tcPr>
          <w:p>
            <w:pPr>
              <w:spacing w:after="0"/>
              <w:rPr>
                <w:sz w:val="24"/>
                <w:szCs w:val="24"/>
                <w:color w:val="auto"/>
              </w:rPr>
            </w:pP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$ 0.24</w:t>
            </w:r>
          </w:p>
        </w:tc>
        <w:tc>
          <w:tcPr>
            <w:tcW w:w="1060" w:type="dxa"/>
            <w:vAlign w:val="bottom"/>
          </w:tcPr>
          <w:p>
            <w:pPr>
              <w:spacing w:after="0"/>
              <w:rPr>
                <w:sz w:val="24"/>
                <w:szCs w:val="24"/>
                <w:color w:val="auto"/>
              </w:rPr>
            </w:pPr>
          </w:p>
        </w:tc>
      </w:tr>
      <w:tr>
        <w:trPr>
          <w:trHeight w:val="168"/>
        </w:trPr>
        <w:tc>
          <w:tcPr>
            <w:tcW w:w="3380" w:type="dxa"/>
            <w:vAlign w:val="bottom"/>
          </w:tcPr>
          <w:p>
            <w:pPr>
              <w:spacing w:after="0"/>
              <w:rPr>
                <w:sz w:val="14"/>
                <w:szCs w:val="14"/>
                <w:color w:val="auto"/>
              </w:rPr>
            </w:pP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tcPr>
          <w:p>
            <w:pPr>
              <w:spacing w:after="0"/>
              <w:rPr>
                <w:sz w:val="14"/>
                <w:szCs w:val="14"/>
                <w:color w:val="auto"/>
              </w:rPr>
            </w:pPr>
          </w:p>
        </w:tc>
        <w:tc>
          <w:tcPr>
            <w:tcW w:w="1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tcPr>
          <w:p>
            <w:pPr>
              <w:spacing w:after="0"/>
              <w:rPr>
                <w:sz w:val="14"/>
                <w:szCs w:val="14"/>
                <w:color w:val="auto"/>
              </w:rPr>
            </w:pPr>
          </w:p>
        </w:tc>
      </w:tr>
    </w:tbl>
    <w:p>
      <w:pPr>
        <w:sectPr>
          <w:pgSz w:w="11900" w:h="16838" w:orient="portrait"/>
          <w:cols w:equalWidth="0" w:num="1">
            <w:col w:w="10239"/>
          </w:cols>
          <w:pgMar w:left="220" w:top="785" w:right="1440" w:bottom="1440" w:gutter="0" w:footer="0" w:header="0"/>
        </w:sectPr>
      </w:pPr>
    </w:p>
    <w:bookmarkStart w:id="6" w:name="page7"/>
    <w:bookmarkEnd w:id="6"/>
    <w:p>
      <w:pPr>
        <w:jc w:val="center"/>
        <w:spacing w:after="0" w:line="258" w:lineRule="auto"/>
        <w:rPr>
          <w:sz w:val="20"/>
          <w:szCs w:val="20"/>
          <w:color w:val="auto"/>
        </w:rPr>
      </w:pPr>
      <w:r>
        <w:rPr>
          <w:rFonts w:ascii="Courier New" w:cs="Courier New" w:eastAsia="Courier New" w:hAnsi="Courier New"/>
          <w:sz w:val="14"/>
          <w:szCs w:val="14"/>
          <w:color w:val="auto"/>
        </w:rPr>
        <w:t>BASSETT FURNITURE INDUSTRIES, INC. AND SUBSIDIARIES Condensed Consolidated Statements of Income (Loss) - Unaudited (Stated in thousands of dollars except for per share data)</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3200" w:type="dxa"/>
            <w:vAlign w:val="bottom"/>
            <w:gridSpan w:val="2"/>
          </w:tcPr>
          <w:p>
            <w:pPr>
              <w:jc w:val="right"/>
              <w:ind w:right="947"/>
              <w:spacing w:after="0"/>
              <w:rPr>
                <w:sz w:val="20"/>
                <w:szCs w:val="20"/>
                <w:color w:val="auto"/>
              </w:rPr>
            </w:pPr>
            <w:r>
              <w:rPr>
                <w:rFonts w:ascii="Courier New" w:cs="Courier New" w:eastAsia="Courier New" w:hAnsi="Courier New"/>
                <w:sz w:val="15"/>
                <w:szCs w:val="15"/>
                <w:color w:val="auto"/>
              </w:rPr>
              <w:t>26 Weeks Ended</w:t>
            </w:r>
          </w:p>
        </w:tc>
        <w:tc>
          <w:tcPr>
            <w:tcW w:w="2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27 Weeks Ended</w:t>
            </w:r>
          </w:p>
        </w:tc>
      </w:tr>
      <w:tr>
        <w:trPr>
          <w:trHeight w:val="168"/>
        </w:trPr>
        <w:tc>
          <w:tcPr>
            <w:tcW w:w="4560" w:type="dxa"/>
            <w:vAlign w:val="bottom"/>
          </w:tcPr>
          <w:p>
            <w:pPr>
              <w:spacing w:after="0"/>
              <w:rPr>
                <w:sz w:val="14"/>
                <w:szCs w:val="14"/>
                <w:color w:val="auto"/>
              </w:rPr>
            </w:pPr>
          </w:p>
        </w:tc>
        <w:tc>
          <w:tcPr>
            <w:tcW w:w="320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May 31, 2003</w:t>
            </w:r>
          </w:p>
        </w:tc>
        <w:tc>
          <w:tcPr>
            <w:tcW w:w="25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June 1, 2002</w:t>
            </w:r>
          </w:p>
        </w:tc>
      </w:tr>
      <w:tr>
        <w:trPr>
          <w:trHeight w:val="168"/>
        </w:trPr>
        <w:tc>
          <w:tcPr>
            <w:tcW w:w="4560" w:type="dxa"/>
            <w:vAlign w:val="bottom"/>
          </w:tcPr>
          <w:p>
            <w:pPr>
              <w:spacing w:after="0"/>
              <w:rPr>
                <w:sz w:val="14"/>
                <w:szCs w:val="14"/>
                <w:color w:val="auto"/>
              </w:rPr>
            </w:pPr>
          </w:p>
        </w:tc>
        <w:tc>
          <w:tcPr>
            <w:tcW w:w="32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5"/>
              </w:rPr>
              <w:t>Percent of</w:t>
            </w:r>
          </w:p>
        </w:tc>
        <w:tc>
          <w:tcPr>
            <w:tcW w:w="15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Percent of</w:t>
            </w:r>
          </w:p>
        </w:tc>
      </w:tr>
      <w:tr>
        <w:trPr>
          <w:trHeight w:val="168"/>
        </w:trPr>
        <w:tc>
          <w:tcPr>
            <w:tcW w:w="456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Amount</w:t>
            </w: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Net Sales</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Sales</w:t>
            </w:r>
          </w:p>
        </w:tc>
      </w:tr>
      <w:tr>
        <w:trPr>
          <w:trHeight w:val="168"/>
        </w:trPr>
        <w:tc>
          <w:tcPr>
            <w:tcW w:w="4560" w:type="dxa"/>
            <w:vAlign w:val="bottom"/>
          </w:tcPr>
          <w:p>
            <w:pPr>
              <w:spacing w:after="0"/>
              <w:rPr>
                <w:sz w:val="14"/>
                <w:szCs w:val="14"/>
                <w:color w:val="auto"/>
              </w:rPr>
            </w:pPr>
          </w:p>
        </w:tc>
        <w:tc>
          <w:tcPr>
            <w:tcW w:w="32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$ 144,811</w:t>
            </w:r>
          </w:p>
        </w:tc>
        <w:tc>
          <w:tcPr>
            <w:tcW w:w="15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100.0%</w:t>
            </w:r>
          </w:p>
        </w:tc>
        <w:tc>
          <w:tcPr>
            <w:tcW w:w="1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$165,692</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113,842</w:t>
            </w:r>
          </w:p>
        </w:tc>
        <w:tc>
          <w:tcPr>
            <w:tcW w:w="15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78.6%</w:t>
            </w:r>
          </w:p>
        </w:tc>
        <w:tc>
          <w:tcPr>
            <w:tcW w:w="1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130,515</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78.8%</w:t>
            </w:r>
          </w:p>
        </w:tc>
      </w:tr>
      <w:tr>
        <w:trPr>
          <w:trHeight w:val="168"/>
        </w:trPr>
        <w:tc>
          <w:tcPr>
            <w:tcW w:w="4560" w:type="dxa"/>
            <w:vAlign w:val="bottom"/>
          </w:tcPr>
          <w:p>
            <w:pPr>
              <w:spacing w:after="0"/>
              <w:rPr>
                <w:sz w:val="14"/>
                <w:szCs w:val="14"/>
                <w:color w:val="auto"/>
              </w:rPr>
            </w:pPr>
          </w:p>
        </w:tc>
        <w:tc>
          <w:tcPr>
            <w:tcW w:w="32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30,969</w:t>
            </w:r>
          </w:p>
        </w:tc>
        <w:tc>
          <w:tcPr>
            <w:tcW w:w="15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21.4%</w:t>
            </w:r>
          </w:p>
        </w:tc>
        <w:tc>
          <w:tcPr>
            <w:tcW w:w="1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35,177</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21.2%</w:t>
            </w:r>
          </w:p>
        </w:tc>
      </w:tr>
      <w:tr>
        <w:trPr>
          <w:trHeight w:val="168"/>
        </w:trPr>
        <w:tc>
          <w:tcPr>
            <w:tcW w:w="4560" w:type="dxa"/>
            <w:vAlign w:val="bottom"/>
          </w:tcPr>
          <w:p>
            <w:pPr>
              <w:spacing w:after="0"/>
              <w:rPr>
                <w:sz w:val="14"/>
                <w:szCs w:val="14"/>
                <w:color w:val="auto"/>
              </w:rPr>
            </w:pPr>
          </w:p>
        </w:tc>
        <w:tc>
          <w:tcPr>
            <w:tcW w:w="32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30,720</w:t>
            </w:r>
          </w:p>
        </w:tc>
        <w:tc>
          <w:tcPr>
            <w:tcW w:w="15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21.2%</w:t>
            </w:r>
          </w:p>
        </w:tc>
        <w:tc>
          <w:tcPr>
            <w:tcW w:w="1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29,548</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17.8%</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impaired fixed asset charges</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3,200</w:t>
            </w:r>
          </w:p>
        </w:tc>
        <w:tc>
          <w:tcPr>
            <w:tcW w:w="154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2.2%</w:t>
            </w:r>
          </w:p>
        </w:tc>
        <w:tc>
          <w:tcPr>
            <w:tcW w:w="1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4560" w:type="dxa"/>
            <w:vAlign w:val="bottom"/>
          </w:tcPr>
          <w:p>
            <w:pPr>
              <w:spacing w:after="0"/>
              <w:rPr>
                <w:sz w:val="14"/>
                <w:szCs w:val="14"/>
                <w:color w:val="auto"/>
              </w:rPr>
            </w:pPr>
          </w:p>
        </w:tc>
        <w:tc>
          <w:tcPr>
            <w:tcW w:w="32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560" w:type="dxa"/>
            <w:vAlign w:val="bottom"/>
          </w:tcPr>
          <w:p>
            <w:pPr>
              <w:spacing w:after="0"/>
              <w:rPr>
                <w:sz w:val="14"/>
                <w:szCs w:val="14"/>
                <w:color w:val="auto"/>
              </w:rPr>
            </w:pP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33,920</w:t>
            </w:r>
          </w:p>
        </w:tc>
        <w:tc>
          <w:tcPr>
            <w:tcW w:w="154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23.4%</w:t>
            </w:r>
          </w:p>
        </w:tc>
        <w:tc>
          <w:tcPr>
            <w:tcW w:w="1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29,548</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17.8%</w:t>
            </w:r>
          </w:p>
        </w:tc>
      </w:tr>
      <w:tr>
        <w:trPr>
          <w:trHeight w:val="168"/>
        </w:trPr>
        <w:tc>
          <w:tcPr>
            <w:tcW w:w="4560" w:type="dxa"/>
            <w:vAlign w:val="bottom"/>
          </w:tcPr>
          <w:p>
            <w:pPr>
              <w:spacing w:after="0"/>
              <w:rPr>
                <w:sz w:val="14"/>
                <w:szCs w:val="14"/>
                <w:color w:val="auto"/>
              </w:rPr>
            </w:pPr>
          </w:p>
        </w:tc>
        <w:tc>
          <w:tcPr>
            <w:tcW w:w="32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(2,951)</w:t>
            </w:r>
          </w:p>
        </w:tc>
        <w:tc>
          <w:tcPr>
            <w:tcW w:w="15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w:t>
            </w:r>
          </w:p>
        </w:tc>
        <w:tc>
          <w:tcPr>
            <w:tcW w:w="1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5,629</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 net</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2,483</w:t>
            </w:r>
          </w:p>
        </w:tc>
        <w:tc>
          <w:tcPr>
            <w:tcW w:w="154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1.7%</w:t>
            </w:r>
          </w:p>
        </w:tc>
        <w:tc>
          <w:tcPr>
            <w:tcW w:w="1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2,765</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4560" w:type="dxa"/>
            <w:vAlign w:val="bottom"/>
          </w:tcPr>
          <w:p>
            <w:pPr>
              <w:spacing w:after="0"/>
              <w:rPr>
                <w:sz w:val="14"/>
                <w:szCs w:val="14"/>
                <w:color w:val="auto"/>
              </w:rPr>
            </w:pPr>
          </w:p>
        </w:tc>
        <w:tc>
          <w:tcPr>
            <w:tcW w:w="32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(468)</w:t>
            </w:r>
          </w:p>
        </w:tc>
        <w:tc>
          <w:tcPr>
            <w:tcW w:w="15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-0.3%</w:t>
            </w:r>
          </w:p>
        </w:tc>
        <w:tc>
          <w:tcPr>
            <w:tcW w:w="1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8,394</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5.1%</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(provision) benefit</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w:t>
            </w:r>
          </w:p>
        </w:tc>
        <w:tc>
          <w:tcPr>
            <w:tcW w:w="154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0.2%</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(2,602)</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4560" w:type="dxa"/>
            <w:vAlign w:val="bottom"/>
          </w:tcPr>
          <w:p>
            <w:pPr>
              <w:spacing w:after="0"/>
              <w:rPr>
                <w:sz w:val="14"/>
                <w:szCs w:val="14"/>
                <w:color w:val="auto"/>
              </w:rPr>
            </w:pPr>
          </w:p>
        </w:tc>
        <w:tc>
          <w:tcPr>
            <w:tcW w:w="32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(137)</w:t>
            </w:r>
          </w:p>
        </w:tc>
        <w:tc>
          <w:tcPr>
            <w:tcW w:w="154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-0.1%</w:t>
            </w:r>
          </w:p>
        </w:tc>
        <w:tc>
          <w:tcPr>
            <w:tcW w:w="1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$ 5,792</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4560" w:type="dxa"/>
            <w:vAlign w:val="bottom"/>
          </w:tcPr>
          <w:p>
            <w:pPr>
              <w:spacing w:after="0"/>
              <w:rPr>
                <w:sz w:val="14"/>
                <w:szCs w:val="14"/>
                <w:color w:val="auto"/>
              </w:rPr>
            </w:pPr>
          </w:p>
        </w:tc>
        <w:tc>
          <w:tcPr>
            <w:tcW w:w="32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673"/>
        </w:trPr>
        <w:tc>
          <w:tcPr>
            <w:tcW w:w="45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 (0.01)</w:t>
            </w:r>
          </w:p>
        </w:tc>
        <w:tc>
          <w:tcPr>
            <w:tcW w:w="1540" w:type="dxa"/>
            <w:vAlign w:val="bottom"/>
          </w:tcPr>
          <w:p>
            <w:pPr>
              <w:spacing w:after="0"/>
              <w:rPr>
                <w:sz w:val="24"/>
                <w:szCs w:val="24"/>
                <w:color w:val="auto"/>
              </w:rPr>
            </w:pPr>
          </w:p>
        </w:tc>
        <w:tc>
          <w:tcPr>
            <w:tcW w:w="1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$ 0.50</w:t>
            </w:r>
          </w:p>
        </w:tc>
        <w:tc>
          <w:tcPr>
            <w:tcW w:w="102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1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5"/>
              </w:rPr>
              <w:t>=============</w:t>
            </w:r>
          </w:p>
        </w:tc>
        <w:tc>
          <w:tcPr>
            <w:tcW w:w="1540" w:type="dxa"/>
            <w:vAlign w:val="bottom"/>
          </w:tcPr>
          <w:p>
            <w:pPr>
              <w:spacing w:after="0"/>
              <w:rPr>
                <w:sz w:val="14"/>
                <w:szCs w:val="14"/>
                <w:color w:val="auto"/>
              </w:rPr>
            </w:pPr>
          </w:p>
        </w:tc>
        <w:tc>
          <w:tcPr>
            <w:tcW w:w="15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9"/>
              </w:rPr>
              <w:t>=============</w:t>
            </w:r>
          </w:p>
        </w:tc>
        <w:tc>
          <w:tcPr>
            <w:tcW w:w="102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 (0.01)</w:t>
            </w:r>
          </w:p>
        </w:tc>
        <w:tc>
          <w:tcPr>
            <w:tcW w:w="1540" w:type="dxa"/>
            <w:vAlign w:val="bottom"/>
          </w:tcPr>
          <w:p>
            <w:pPr>
              <w:spacing w:after="0"/>
              <w:rPr>
                <w:sz w:val="24"/>
                <w:szCs w:val="24"/>
                <w:color w:val="auto"/>
              </w:rPr>
            </w:pPr>
          </w:p>
        </w:tc>
        <w:tc>
          <w:tcPr>
            <w:tcW w:w="1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$ 0.49</w:t>
            </w:r>
          </w:p>
        </w:tc>
        <w:tc>
          <w:tcPr>
            <w:tcW w:w="102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1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5"/>
              </w:rPr>
              <w:t>=============</w:t>
            </w:r>
          </w:p>
        </w:tc>
        <w:tc>
          <w:tcPr>
            <w:tcW w:w="1540" w:type="dxa"/>
            <w:vAlign w:val="bottom"/>
          </w:tcPr>
          <w:p>
            <w:pPr>
              <w:spacing w:after="0"/>
              <w:rPr>
                <w:sz w:val="14"/>
                <w:szCs w:val="14"/>
                <w:color w:val="auto"/>
              </w:rPr>
            </w:pPr>
          </w:p>
        </w:tc>
        <w:tc>
          <w:tcPr>
            <w:tcW w:w="15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9"/>
              </w:rPr>
              <w:t>=============</w:t>
            </w:r>
          </w:p>
        </w:tc>
        <w:tc>
          <w:tcPr>
            <w:tcW w:w="1020" w:type="dxa"/>
            <w:vAlign w:val="bottom"/>
          </w:tcPr>
          <w:p>
            <w:pPr>
              <w:spacing w:after="0"/>
              <w:rPr>
                <w:sz w:val="14"/>
                <w:szCs w:val="14"/>
                <w:color w:val="auto"/>
              </w:rPr>
            </w:pPr>
          </w:p>
        </w:tc>
      </w:tr>
    </w:tbl>
    <w:p>
      <w:pPr>
        <w:sectPr>
          <w:pgSz w:w="11900" w:h="16838" w:orient="portrait"/>
          <w:cols w:equalWidth="0" w:num="1">
            <w:col w:w="10340"/>
          </w:cols>
          <w:pgMar w:left="220" w:top="624" w:right="1339" w:bottom="1440" w:gutter="0" w:footer="0" w:header="0"/>
        </w:sectPr>
      </w:pPr>
    </w:p>
    <w:bookmarkStart w:id="7" w:name="page8"/>
    <w:bookmarkEnd w:id="7"/>
    <w:p>
      <w:pPr>
        <w:jc w:val="center"/>
        <w:ind w:right="-99"/>
        <w:spacing w:after="0"/>
        <w:rPr>
          <w:sz w:val="20"/>
          <w:szCs w:val="20"/>
          <w:color w:val="auto"/>
        </w:rPr>
      </w:pPr>
      <w:r>
        <w:rPr>
          <w:rFonts w:ascii="Courier New" w:cs="Courier New" w:eastAsia="Courier New" w:hAnsi="Courier New"/>
          <w:sz w:val="15"/>
          <w:szCs w:val="15"/>
          <w:color w:val="auto"/>
        </w:rPr>
        <w:t>BASSETT FURNITURE INDUSTRIES, INC. AND SUBSIDIARIES</w:t>
      </w:r>
    </w:p>
    <w:p>
      <w:pPr>
        <w:jc w:val="center"/>
        <w:ind w:right="-99"/>
        <w:spacing w:after="0" w:line="237" w:lineRule="auto"/>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69"/>
        </w:trPr>
        <w:tc>
          <w:tcPr>
            <w:tcW w:w="8620" w:type="dxa"/>
            <w:vAlign w:val="bottom"/>
            <w:gridSpan w:val="2"/>
          </w:tcPr>
          <w:p>
            <w:pPr>
              <w:jc w:val="right"/>
              <w:ind w:right="307"/>
              <w:spacing w:after="0" w:line="169" w:lineRule="exact"/>
              <w:rPr>
                <w:sz w:val="20"/>
                <w:szCs w:val="20"/>
                <w:color w:val="auto"/>
              </w:rPr>
            </w:pPr>
            <w:r>
              <w:rPr>
                <w:rFonts w:ascii="Courier New" w:cs="Courier New" w:eastAsia="Courier New" w:hAnsi="Courier New"/>
                <w:sz w:val="15"/>
                <w:szCs w:val="15"/>
                <w:color w:val="auto"/>
              </w:rPr>
              <w:t>(Stated in thousands of dollars except for per share data)</w:t>
            </w:r>
          </w:p>
        </w:tc>
        <w:tc>
          <w:tcPr>
            <w:tcW w:w="2760" w:type="dxa"/>
            <w:vAlign w:val="bottom"/>
          </w:tcPr>
          <w:p>
            <w:pPr>
              <w:spacing w:after="0"/>
              <w:rPr>
                <w:sz w:val="14"/>
                <w:szCs w:val="14"/>
                <w:color w:val="auto"/>
              </w:rPr>
            </w:pPr>
          </w:p>
        </w:tc>
      </w:tr>
      <w:tr>
        <w:trPr>
          <w:trHeight w:val="336"/>
        </w:trPr>
        <w:tc>
          <w:tcPr>
            <w:tcW w:w="5120" w:type="dxa"/>
            <w:vAlign w:val="bottom"/>
          </w:tcPr>
          <w:p>
            <w:pPr>
              <w:spacing w:after="0"/>
              <w:rPr>
                <w:sz w:val="24"/>
                <w:szCs w:val="24"/>
                <w:color w:val="auto"/>
              </w:rPr>
            </w:pPr>
          </w:p>
        </w:tc>
        <w:tc>
          <w:tcPr>
            <w:tcW w:w="350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(Unaudited)</w:t>
            </w:r>
          </w:p>
        </w:tc>
        <w:tc>
          <w:tcPr>
            <w:tcW w:w="2760" w:type="dxa"/>
            <w:vAlign w:val="bottom"/>
          </w:tcPr>
          <w:p>
            <w:pPr>
              <w:spacing w:after="0"/>
              <w:rPr>
                <w:sz w:val="24"/>
                <w:szCs w:val="24"/>
                <w:color w:val="auto"/>
              </w:rPr>
            </w:pPr>
          </w:p>
        </w:tc>
      </w:tr>
      <w:tr>
        <w:trPr>
          <w:trHeight w:val="168"/>
        </w:trPr>
        <w:tc>
          <w:tcPr>
            <w:tcW w:w="5120" w:type="dxa"/>
            <w:vAlign w:val="bottom"/>
          </w:tcPr>
          <w:p>
            <w:pPr>
              <w:spacing w:after="0"/>
              <w:rPr>
                <w:sz w:val="14"/>
                <w:szCs w:val="14"/>
                <w:color w:val="auto"/>
              </w:rPr>
            </w:pPr>
          </w:p>
        </w:tc>
        <w:tc>
          <w:tcPr>
            <w:tcW w:w="350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May 31, 2003</w:t>
            </w:r>
          </w:p>
        </w:tc>
        <w:tc>
          <w:tcPr>
            <w:tcW w:w="2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November 30, 2002</w:t>
            </w:r>
          </w:p>
        </w:tc>
      </w:tr>
      <w:tr>
        <w:trPr>
          <w:trHeight w:val="168"/>
        </w:trPr>
        <w:tc>
          <w:tcPr>
            <w:tcW w:w="5120" w:type="dxa"/>
            <w:vAlign w:val="bottom"/>
          </w:tcPr>
          <w:p>
            <w:pPr>
              <w:spacing w:after="0"/>
              <w:rPr>
                <w:sz w:val="14"/>
                <w:szCs w:val="14"/>
                <w:color w:val="auto"/>
              </w:rPr>
            </w:pPr>
          </w:p>
        </w:tc>
        <w:tc>
          <w:tcPr>
            <w:tcW w:w="350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5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350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$ 4,989</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$ 1,371</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receivable,net</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45,037</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44,806</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45,166</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43,449</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Refundable income taxes</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767</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2,924</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3,600</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3,600</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6,797</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6,816</w:t>
            </w:r>
          </w:p>
        </w:tc>
      </w:tr>
      <w:tr>
        <w:trPr>
          <w:trHeight w:val="168"/>
        </w:trPr>
        <w:tc>
          <w:tcPr>
            <w:tcW w:w="5120" w:type="dxa"/>
            <w:vAlign w:val="bottom"/>
          </w:tcPr>
          <w:p>
            <w:pPr>
              <w:spacing w:after="0"/>
              <w:rPr>
                <w:sz w:val="14"/>
                <w:szCs w:val="14"/>
                <w:color w:val="auto"/>
              </w:rPr>
            </w:pPr>
          </w:p>
        </w:tc>
        <w:tc>
          <w:tcPr>
            <w:tcW w:w="3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106,356</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102,966</w:t>
            </w:r>
          </w:p>
        </w:tc>
      </w:tr>
      <w:tr>
        <w:trPr>
          <w:trHeight w:val="168"/>
        </w:trPr>
        <w:tc>
          <w:tcPr>
            <w:tcW w:w="5120" w:type="dxa"/>
            <w:vAlign w:val="bottom"/>
          </w:tcPr>
          <w:p>
            <w:pPr>
              <w:spacing w:after="0"/>
              <w:rPr>
                <w:sz w:val="14"/>
                <w:szCs w:val="14"/>
                <w:color w:val="auto"/>
              </w:rPr>
            </w:pPr>
          </w:p>
        </w:tc>
        <w:tc>
          <w:tcPr>
            <w:tcW w:w="3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35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86,714</w:t>
            </w:r>
          </w:p>
        </w:tc>
        <w:tc>
          <w:tcPr>
            <w:tcW w:w="2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90,542</w:t>
            </w:r>
          </w:p>
        </w:tc>
      </w:tr>
      <w:tr>
        <w:trPr>
          <w:trHeight w:val="168"/>
        </w:trPr>
        <w:tc>
          <w:tcPr>
            <w:tcW w:w="5120" w:type="dxa"/>
            <w:vAlign w:val="bottom"/>
          </w:tcPr>
          <w:p>
            <w:pPr>
              <w:spacing w:after="0"/>
              <w:rPr>
                <w:sz w:val="14"/>
                <w:szCs w:val="14"/>
                <w:color w:val="auto"/>
              </w:rPr>
            </w:pPr>
          </w:p>
        </w:tc>
        <w:tc>
          <w:tcPr>
            <w:tcW w:w="3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5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Investments</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60,881</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63,248</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 in unconsolidated affiliated companies</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4,200</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4,383</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2,244</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3,454</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Notes receivable, net</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17,992</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18,761</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net</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7,048</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7,526</w:t>
            </w:r>
          </w:p>
        </w:tc>
      </w:tr>
      <w:tr>
        <w:trPr>
          <w:trHeight w:val="168"/>
        </w:trPr>
        <w:tc>
          <w:tcPr>
            <w:tcW w:w="5120" w:type="dxa"/>
            <w:vAlign w:val="bottom"/>
          </w:tcPr>
          <w:p>
            <w:pPr>
              <w:spacing w:after="0"/>
              <w:rPr>
                <w:sz w:val="14"/>
                <w:szCs w:val="14"/>
                <w:color w:val="auto"/>
              </w:rPr>
            </w:pPr>
          </w:p>
        </w:tc>
        <w:tc>
          <w:tcPr>
            <w:tcW w:w="3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92,365</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97,372</w:t>
            </w:r>
          </w:p>
        </w:tc>
      </w:tr>
      <w:tr>
        <w:trPr>
          <w:trHeight w:val="168"/>
        </w:trPr>
        <w:tc>
          <w:tcPr>
            <w:tcW w:w="5120" w:type="dxa"/>
            <w:vAlign w:val="bottom"/>
          </w:tcPr>
          <w:p>
            <w:pPr>
              <w:spacing w:after="0"/>
              <w:rPr>
                <w:sz w:val="14"/>
                <w:szCs w:val="14"/>
                <w:color w:val="auto"/>
              </w:rPr>
            </w:pPr>
          </w:p>
        </w:tc>
        <w:tc>
          <w:tcPr>
            <w:tcW w:w="3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$ 285,435</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$ 290,880</w:t>
            </w:r>
          </w:p>
        </w:tc>
      </w:tr>
      <w:tr>
        <w:trPr>
          <w:trHeight w:val="168"/>
        </w:trPr>
        <w:tc>
          <w:tcPr>
            <w:tcW w:w="5120" w:type="dxa"/>
            <w:vAlign w:val="bottom"/>
          </w:tcPr>
          <w:p>
            <w:pPr>
              <w:spacing w:after="0"/>
              <w:rPr>
                <w:sz w:val="14"/>
                <w:szCs w:val="14"/>
                <w:color w:val="auto"/>
              </w:rPr>
            </w:pPr>
          </w:p>
        </w:tc>
        <w:tc>
          <w:tcPr>
            <w:tcW w:w="3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35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50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$ 11,981</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$ 17,738</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18,881</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16,406</w:t>
            </w:r>
          </w:p>
        </w:tc>
      </w:tr>
      <w:tr>
        <w:trPr>
          <w:trHeight w:val="168"/>
        </w:trPr>
        <w:tc>
          <w:tcPr>
            <w:tcW w:w="5120" w:type="dxa"/>
            <w:vAlign w:val="bottom"/>
          </w:tcPr>
          <w:p>
            <w:pPr>
              <w:spacing w:after="0"/>
              <w:rPr>
                <w:sz w:val="14"/>
                <w:szCs w:val="14"/>
                <w:color w:val="auto"/>
              </w:rPr>
            </w:pPr>
          </w:p>
        </w:tc>
        <w:tc>
          <w:tcPr>
            <w:tcW w:w="3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30,862</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34,144</w:t>
            </w:r>
          </w:p>
        </w:tc>
      </w:tr>
      <w:tr>
        <w:trPr>
          <w:trHeight w:val="168"/>
        </w:trPr>
        <w:tc>
          <w:tcPr>
            <w:tcW w:w="5120" w:type="dxa"/>
            <w:vAlign w:val="bottom"/>
          </w:tcPr>
          <w:p>
            <w:pPr>
              <w:spacing w:after="0"/>
              <w:rPr>
                <w:sz w:val="14"/>
                <w:szCs w:val="14"/>
                <w:color w:val="auto"/>
              </w:rPr>
            </w:pPr>
          </w:p>
        </w:tc>
        <w:tc>
          <w:tcPr>
            <w:tcW w:w="3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35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 benefits</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10,039</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10,152</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debt</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7,000</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revenue from unconsolidated affiliate</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13,142</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13,941</w:t>
            </w:r>
          </w:p>
        </w:tc>
      </w:tr>
      <w:tr>
        <w:trPr>
          <w:trHeight w:val="168"/>
        </w:trPr>
        <w:tc>
          <w:tcPr>
            <w:tcW w:w="5120" w:type="dxa"/>
            <w:vAlign w:val="bottom"/>
          </w:tcPr>
          <w:p>
            <w:pPr>
              <w:spacing w:after="0"/>
              <w:rPr>
                <w:sz w:val="14"/>
                <w:szCs w:val="14"/>
                <w:color w:val="auto"/>
              </w:rPr>
            </w:pPr>
          </w:p>
        </w:tc>
        <w:tc>
          <w:tcPr>
            <w:tcW w:w="3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30,181</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27,093</w:t>
            </w:r>
          </w:p>
        </w:tc>
      </w:tr>
      <w:tr>
        <w:trPr>
          <w:trHeight w:val="168"/>
        </w:trPr>
        <w:tc>
          <w:tcPr>
            <w:tcW w:w="5120" w:type="dxa"/>
            <w:vAlign w:val="bottom"/>
          </w:tcPr>
          <w:p>
            <w:pPr>
              <w:spacing w:after="0"/>
              <w:rPr>
                <w:sz w:val="14"/>
                <w:szCs w:val="14"/>
                <w:color w:val="auto"/>
              </w:rPr>
            </w:pPr>
          </w:p>
        </w:tc>
        <w:tc>
          <w:tcPr>
            <w:tcW w:w="3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5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par value $5 a share, 50,000,000</w:t>
            </w:r>
          </w:p>
        </w:tc>
        <w:tc>
          <w:tcPr>
            <w:tcW w:w="350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68"/>
        </w:trPr>
        <w:tc>
          <w:tcPr>
            <w:tcW w:w="51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shares authorized, issued and outstanding -</w:t>
            </w:r>
          </w:p>
        </w:tc>
        <w:tc>
          <w:tcPr>
            <w:tcW w:w="350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68"/>
        </w:trPr>
        <w:tc>
          <w:tcPr>
            <w:tcW w:w="51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11,602,141 in 2003 and 11,660,587 in 2002</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58,011</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58,303</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164,496</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169,789</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other comprehensive income -</w:t>
            </w:r>
          </w:p>
        </w:tc>
        <w:tc>
          <w:tcPr>
            <w:tcW w:w="350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68"/>
        </w:trPr>
        <w:tc>
          <w:tcPr>
            <w:tcW w:w="51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unrealized holding gains, net of tax</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1,885</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1,551</w:t>
            </w:r>
          </w:p>
        </w:tc>
      </w:tr>
      <w:tr>
        <w:trPr>
          <w:trHeight w:val="168"/>
        </w:trPr>
        <w:tc>
          <w:tcPr>
            <w:tcW w:w="5120" w:type="dxa"/>
            <w:vAlign w:val="bottom"/>
          </w:tcPr>
          <w:p>
            <w:pPr>
              <w:spacing w:after="0"/>
              <w:rPr>
                <w:sz w:val="14"/>
                <w:szCs w:val="14"/>
                <w:color w:val="auto"/>
              </w:rPr>
            </w:pPr>
          </w:p>
        </w:tc>
        <w:tc>
          <w:tcPr>
            <w:tcW w:w="3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224,392</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229,643</w:t>
            </w:r>
          </w:p>
        </w:tc>
      </w:tr>
      <w:tr>
        <w:trPr>
          <w:trHeight w:val="168"/>
        </w:trPr>
        <w:tc>
          <w:tcPr>
            <w:tcW w:w="5120" w:type="dxa"/>
            <w:vAlign w:val="bottom"/>
          </w:tcPr>
          <w:p>
            <w:pPr>
              <w:spacing w:after="0"/>
              <w:rPr>
                <w:sz w:val="14"/>
                <w:szCs w:val="14"/>
                <w:color w:val="auto"/>
              </w:rPr>
            </w:pPr>
          </w:p>
        </w:tc>
        <w:tc>
          <w:tcPr>
            <w:tcW w:w="3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3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$ 285,435</w:t>
            </w:r>
          </w:p>
        </w:tc>
        <w:tc>
          <w:tcPr>
            <w:tcW w:w="27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$ 290,880</w:t>
            </w:r>
          </w:p>
        </w:tc>
      </w:tr>
      <w:tr>
        <w:trPr>
          <w:trHeight w:val="168"/>
        </w:trPr>
        <w:tc>
          <w:tcPr>
            <w:tcW w:w="5120" w:type="dxa"/>
            <w:vAlign w:val="bottom"/>
          </w:tcPr>
          <w:p>
            <w:pPr>
              <w:spacing w:after="0"/>
              <w:rPr>
                <w:sz w:val="14"/>
                <w:szCs w:val="14"/>
                <w:color w:val="auto"/>
              </w:rPr>
            </w:pPr>
          </w:p>
        </w:tc>
        <w:tc>
          <w:tcPr>
            <w:tcW w:w="3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380"/>
          </w:cols>
          <w:pgMar w:left="220" w:top="617" w:right="299" w:bottom="1440" w:gutter="0" w:footer="0" w:header="0"/>
        </w:sectPr>
      </w:pPr>
    </w:p>
    <w:bookmarkStart w:id="8" w:name="page9"/>
    <w:bookmarkEnd w:id="8"/>
    <w:p>
      <w:pPr>
        <w:jc w:val="center"/>
        <w:ind w:right="60"/>
        <w:spacing w:after="0"/>
        <w:rPr>
          <w:sz w:val="20"/>
          <w:szCs w:val="20"/>
          <w:color w:val="auto"/>
        </w:rPr>
      </w:pPr>
      <w:r>
        <w:rPr>
          <w:rFonts w:ascii="Courier New" w:cs="Courier New" w:eastAsia="Courier New" w:hAnsi="Courier New"/>
          <w:sz w:val="15"/>
          <w:szCs w:val="15"/>
          <w:color w:val="auto"/>
        </w:rPr>
        <w:t>BASSETT FURNITURE INDUSTRIES, INC. AND SUBSIDIARIES</w:t>
      </w:r>
    </w:p>
    <w:p>
      <w:pPr>
        <w:jc w:val="center"/>
        <w:ind w:right="60"/>
        <w:spacing w:after="0" w:line="237" w:lineRule="auto"/>
        <w:rPr>
          <w:sz w:val="20"/>
          <w:szCs w:val="20"/>
          <w:color w:val="auto"/>
        </w:rPr>
      </w:pPr>
      <w:r>
        <w:rPr>
          <w:rFonts w:ascii="Courier New" w:cs="Courier New" w:eastAsia="Courier New" w:hAnsi="Courier New"/>
          <w:sz w:val="15"/>
          <w:szCs w:val="15"/>
          <w:color w:val="auto"/>
        </w:rPr>
        <w:t>Consolidated Statements of Cash Flows - Unaudited</w:t>
      </w:r>
    </w:p>
    <w:tbl>
      <w:tblPr>
        <w:tblLayout w:type="fixed"/>
        <w:tblInd w:w="0" w:type="dxa"/>
        <w:tblCellMar>
          <w:top w:w="0" w:type="dxa"/>
          <w:left w:w="0" w:type="dxa"/>
          <w:bottom w:w="0" w:type="dxa"/>
          <w:right w:w="0" w:type="dxa"/>
        </w:tblCellMar>
      </w:tblPr>
      <w:tr>
        <w:trPr>
          <w:trHeight w:val="169"/>
        </w:trPr>
        <w:tc>
          <w:tcPr>
            <w:tcW w:w="9240" w:type="dxa"/>
            <w:vAlign w:val="bottom"/>
            <w:gridSpan w:val="2"/>
          </w:tcPr>
          <w:p>
            <w:pPr>
              <w:jc w:val="right"/>
              <w:ind w:right="2067"/>
              <w:spacing w:after="0" w:line="169" w:lineRule="exact"/>
              <w:rPr>
                <w:sz w:val="20"/>
                <w:szCs w:val="20"/>
                <w:color w:val="auto"/>
              </w:rPr>
            </w:pPr>
            <w:r>
              <w:rPr>
                <w:rFonts w:ascii="Courier New" w:cs="Courier New" w:eastAsia="Courier New" w:hAnsi="Courier New"/>
                <w:sz w:val="15"/>
                <w:szCs w:val="15"/>
                <w:color w:val="auto"/>
              </w:rPr>
              <w:t>(Stated in thousands of dollars)</w:t>
            </w:r>
          </w:p>
        </w:tc>
        <w:tc>
          <w:tcPr>
            <w:tcW w:w="2300" w:type="dxa"/>
            <w:vAlign w:val="bottom"/>
          </w:tcPr>
          <w:p>
            <w:pPr>
              <w:spacing w:after="0"/>
              <w:rPr>
                <w:sz w:val="14"/>
                <w:szCs w:val="14"/>
                <w:color w:val="auto"/>
              </w:rPr>
            </w:pPr>
          </w:p>
        </w:tc>
      </w:tr>
      <w:tr>
        <w:trPr>
          <w:trHeight w:val="336"/>
        </w:trPr>
        <w:tc>
          <w:tcPr>
            <w:tcW w:w="6700" w:type="dxa"/>
            <w:vAlign w:val="bottom"/>
          </w:tcPr>
          <w:p>
            <w:pPr>
              <w:spacing w:after="0"/>
              <w:rPr>
                <w:sz w:val="24"/>
                <w:szCs w:val="24"/>
                <w:color w:val="auto"/>
              </w:rPr>
            </w:pPr>
          </w:p>
        </w:tc>
        <w:tc>
          <w:tcPr>
            <w:tcW w:w="2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26 Weeks Ended</w:t>
            </w:r>
          </w:p>
        </w:tc>
        <w:tc>
          <w:tcPr>
            <w:tcW w:w="23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27 Weeks Ended</w:t>
            </w:r>
          </w:p>
        </w:tc>
      </w:tr>
      <w:tr>
        <w:trPr>
          <w:trHeight w:val="168"/>
        </w:trPr>
        <w:tc>
          <w:tcPr>
            <w:tcW w:w="6700" w:type="dxa"/>
            <w:vAlign w:val="bottom"/>
          </w:tcPr>
          <w:p>
            <w:pPr>
              <w:spacing w:after="0"/>
              <w:rPr>
                <w:sz w:val="14"/>
                <w:szCs w:val="14"/>
                <w:color w:val="auto"/>
              </w:rPr>
            </w:pPr>
          </w:p>
        </w:tc>
        <w:tc>
          <w:tcPr>
            <w:tcW w:w="25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May 31, 2003</w:t>
            </w:r>
          </w:p>
        </w:tc>
        <w:tc>
          <w:tcPr>
            <w:tcW w:w="2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June 1, 2002</w:t>
            </w:r>
          </w:p>
        </w:tc>
      </w:tr>
      <w:tr>
        <w:trPr>
          <w:trHeight w:val="168"/>
        </w:trPr>
        <w:tc>
          <w:tcPr>
            <w:tcW w:w="6700" w:type="dxa"/>
            <w:vAlign w:val="bottom"/>
          </w:tcPr>
          <w:p>
            <w:pPr>
              <w:spacing w:after="0"/>
              <w:rPr>
                <w:sz w:val="14"/>
                <w:szCs w:val="14"/>
                <w:color w:val="auto"/>
              </w:rPr>
            </w:pP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5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(137)</w:t>
            </w:r>
          </w:p>
        </w:tc>
        <w:tc>
          <w:tcPr>
            <w:tcW w:w="2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$ 5,792</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(loss) to net cash provided</w:t>
            </w:r>
          </w:p>
        </w:tc>
        <w:tc>
          <w:tcPr>
            <w:tcW w:w="254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8"/>
        </w:trPr>
        <w:tc>
          <w:tcPr>
            <w:tcW w:w="6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by operating activities:</w:t>
            </w:r>
          </w:p>
        </w:tc>
        <w:tc>
          <w:tcPr>
            <w:tcW w:w="254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8"/>
        </w:trPr>
        <w:tc>
          <w:tcPr>
            <w:tcW w:w="6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5,301</w:t>
            </w:r>
          </w:p>
        </w:tc>
        <w:tc>
          <w:tcPr>
            <w:tcW w:w="2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5,085</w:t>
            </w:r>
          </w:p>
        </w:tc>
      </w:tr>
      <w:tr>
        <w:trPr>
          <w:trHeight w:val="168"/>
        </w:trPr>
        <w:tc>
          <w:tcPr>
            <w:tcW w:w="6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Equity in undistributed income of investments</w:t>
            </w: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(3,723)</w:t>
            </w:r>
          </w:p>
        </w:tc>
        <w:tc>
          <w:tcPr>
            <w:tcW w:w="2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(4,096)</w:t>
            </w:r>
          </w:p>
        </w:tc>
      </w:tr>
      <w:tr>
        <w:trPr>
          <w:trHeight w:val="168"/>
        </w:trPr>
        <w:tc>
          <w:tcPr>
            <w:tcW w:w="6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Provision for write-down of property and equipment</w:t>
            </w:r>
          </w:p>
        </w:tc>
        <w:tc>
          <w:tcPr>
            <w:tcW w:w="2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1,530</w:t>
            </w:r>
          </w:p>
        </w:tc>
        <w:tc>
          <w:tcPr>
            <w:tcW w:w="2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Provision for losses on trade accounts receivable</w:t>
            </w:r>
          </w:p>
        </w:tc>
        <w:tc>
          <w:tcPr>
            <w:tcW w:w="2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256</w:t>
            </w:r>
          </w:p>
        </w:tc>
        <w:tc>
          <w:tcPr>
            <w:tcW w:w="2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gain from sales of investment securities</w:t>
            </w: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w:t>
            </w:r>
          </w:p>
        </w:tc>
        <w:tc>
          <w:tcPr>
            <w:tcW w:w="2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w:t>
            </w:r>
          </w:p>
        </w:tc>
      </w:tr>
      <w:tr>
        <w:trPr>
          <w:trHeight w:val="168"/>
        </w:trPr>
        <w:tc>
          <w:tcPr>
            <w:tcW w:w="6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gain from sales of property and equipment</w:t>
            </w: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(106)</w:t>
            </w:r>
          </w:p>
        </w:tc>
        <w:tc>
          <w:tcPr>
            <w:tcW w:w="2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Compensation earned under restricted stock and stock option plans</w:t>
            </w:r>
          </w:p>
        </w:tc>
        <w:tc>
          <w:tcPr>
            <w:tcW w:w="2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6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(331)</w:t>
            </w:r>
          </w:p>
        </w:tc>
        <w:tc>
          <w:tcPr>
            <w:tcW w:w="2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2,602</w:t>
            </w:r>
          </w:p>
        </w:tc>
      </w:tr>
      <w:tr>
        <w:trPr>
          <w:trHeight w:val="168"/>
        </w:trPr>
        <w:tc>
          <w:tcPr>
            <w:tcW w:w="6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Changes in employee benefit liabilities</w:t>
            </w: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(113)</w:t>
            </w:r>
          </w:p>
        </w:tc>
        <w:tc>
          <w:tcPr>
            <w:tcW w:w="2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w:t>
            </w:r>
          </w:p>
        </w:tc>
      </w:tr>
      <w:tr>
        <w:trPr>
          <w:trHeight w:val="168"/>
        </w:trPr>
        <w:tc>
          <w:tcPr>
            <w:tcW w:w="6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Changes in operating assets and liabilities, exclusive of assets</w:t>
            </w:r>
          </w:p>
        </w:tc>
        <w:tc>
          <w:tcPr>
            <w:tcW w:w="254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8"/>
        </w:trPr>
        <w:tc>
          <w:tcPr>
            <w:tcW w:w="67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and liabilities acquired in a business combination:</w:t>
            </w:r>
          </w:p>
        </w:tc>
        <w:tc>
          <w:tcPr>
            <w:tcW w:w="254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8"/>
        </w:trPr>
        <w:tc>
          <w:tcPr>
            <w:tcW w:w="67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(487)</w:t>
            </w:r>
          </w:p>
        </w:tc>
        <w:tc>
          <w:tcPr>
            <w:tcW w:w="2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6,305</w:t>
            </w:r>
          </w:p>
        </w:tc>
      </w:tr>
      <w:tr>
        <w:trPr>
          <w:trHeight w:val="168"/>
        </w:trPr>
        <w:tc>
          <w:tcPr>
            <w:tcW w:w="67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Inventories</w:t>
            </w: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(1,697)</w:t>
            </w:r>
          </w:p>
        </w:tc>
        <w:tc>
          <w:tcPr>
            <w:tcW w:w="2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(2,382)</w:t>
            </w:r>
          </w:p>
        </w:tc>
      </w:tr>
      <w:tr>
        <w:trPr>
          <w:trHeight w:val="168"/>
        </w:trPr>
        <w:tc>
          <w:tcPr>
            <w:tcW w:w="67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Refundable income taxes</w:t>
            </w:r>
          </w:p>
        </w:tc>
        <w:tc>
          <w:tcPr>
            <w:tcW w:w="2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3,511</w:t>
            </w:r>
          </w:p>
        </w:tc>
        <w:tc>
          <w:tcPr>
            <w:tcW w:w="2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w:t>
            </w:r>
          </w:p>
        </w:tc>
        <w:tc>
          <w:tcPr>
            <w:tcW w:w="2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6,550</w:t>
            </w:r>
          </w:p>
        </w:tc>
      </w:tr>
      <w:tr>
        <w:trPr>
          <w:trHeight w:val="168"/>
        </w:trPr>
        <w:tc>
          <w:tcPr>
            <w:tcW w:w="67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(3,282)</w:t>
            </w:r>
          </w:p>
        </w:tc>
        <w:tc>
          <w:tcPr>
            <w:tcW w:w="2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(5,308)</w:t>
            </w:r>
          </w:p>
        </w:tc>
      </w:tr>
      <w:tr>
        <w:trPr>
          <w:trHeight w:val="168"/>
        </w:trPr>
        <w:tc>
          <w:tcPr>
            <w:tcW w:w="6700" w:type="dxa"/>
            <w:vAlign w:val="bottom"/>
          </w:tcPr>
          <w:p>
            <w:pPr>
              <w:spacing w:after="0"/>
              <w:rPr>
                <w:sz w:val="14"/>
                <w:szCs w:val="14"/>
                <w:color w:val="auto"/>
              </w:rPr>
            </w:pP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2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727</w:t>
            </w:r>
          </w:p>
        </w:tc>
        <w:tc>
          <w:tcPr>
            <w:tcW w:w="2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14,221</w:t>
            </w:r>
          </w:p>
        </w:tc>
      </w:tr>
      <w:tr>
        <w:trPr>
          <w:trHeight w:val="168"/>
        </w:trPr>
        <w:tc>
          <w:tcPr>
            <w:tcW w:w="6700" w:type="dxa"/>
            <w:vAlign w:val="bottom"/>
          </w:tcPr>
          <w:p>
            <w:pPr>
              <w:spacing w:after="0"/>
              <w:rPr>
                <w:sz w:val="14"/>
                <w:szCs w:val="14"/>
                <w:color w:val="auto"/>
              </w:rPr>
            </w:pP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5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68"/>
        </w:trPr>
        <w:tc>
          <w:tcPr>
            <w:tcW w:w="6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Purchases of property and equipment</w:t>
            </w: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(3,269)</w:t>
            </w:r>
          </w:p>
        </w:tc>
        <w:tc>
          <w:tcPr>
            <w:tcW w:w="2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(4,346)</w:t>
            </w:r>
          </w:p>
        </w:tc>
      </w:tr>
      <w:tr>
        <w:trPr>
          <w:trHeight w:val="168"/>
        </w:trPr>
        <w:tc>
          <w:tcPr>
            <w:tcW w:w="6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Proceeds from sales of property and equipment</w:t>
            </w:r>
          </w:p>
        </w:tc>
        <w:tc>
          <w:tcPr>
            <w:tcW w:w="2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372</w:t>
            </w:r>
          </w:p>
        </w:tc>
        <w:tc>
          <w:tcPr>
            <w:tcW w:w="2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Proceeds from sales of investment securities</w:t>
            </w:r>
          </w:p>
        </w:tc>
        <w:tc>
          <w:tcPr>
            <w:tcW w:w="2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17,000</w:t>
            </w:r>
          </w:p>
        </w:tc>
        <w:tc>
          <w:tcPr>
            <w:tcW w:w="2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654</w:t>
            </w:r>
          </w:p>
        </w:tc>
      </w:tr>
      <w:tr>
        <w:trPr>
          <w:trHeight w:val="168"/>
        </w:trPr>
        <w:tc>
          <w:tcPr>
            <w:tcW w:w="6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Dividends from investments</w:t>
            </w:r>
          </w:p>
        </w:tc>
        <w:tc>
          <w:tcPr>
            <w:tcW w:w="2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1,875</w:t>
            </w:r>
          </w:p>
        </w:tc>
        <w:tc>
          <w:tcPr>
            <w:tcW w:w="2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5,343</w:t>
            </w:r>
          </w:p>
        </w:tc>
      </w:tr>
      <w:tr>
        <w:trPr>
          <w:trHeight w:val="168"/>
        </w:trPr>
        <w:tc>
          <w:tcPr>
            <w:tcW w:w="6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Purchase of investment securities</w:t>
            </w: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(12,000)</w:t>
            </w:r>
          </w:p>
        </w:tc>
        <w:tc>
          <w:tcPr>
            <w:tcW w:w="2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Investments in unconsolidated affiliated companies</w:t>
            </w:r>
          </w:p>
        </w:tc>
        <w:tc>
          <w:tcPr>
            <w:tcW w:w="2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(2,118)</w:t>
            </w:r>
          </w:p>
        </w:tc>
      </w:tr>
      <w:tr>
        <w:trPr>
          <w:trHeight w:val="168"/>
        </w:trPr>
        <w:tc>
          <w:tcPr>
            <w:tcW w:w="6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net</w:t>
            </w:r>
          </w:p>
        </w:tc>
        <w:tc>
          <w:tcPr>
            <w:tcW w:w="2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361</w:t>
            </w:r>
          </w:p>
        </w:tc>
        <w:tc>
          <w:tcPr>
            <w:tcW w:w="2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(665)</w:t>
            </w:r>
          </w:p>
        </w:tc>
      </w:tr>
      <w:tr>
        <w:trPr>
          <w:trHeight w:val="168"/>
        </w:trPr>
        <w:tc>
          <w:tcPr>
            <w:tcW w:w="6700" w:type="dxa"/>
            <w:vAlign w:val="bottom"/>
          </w:tcPr>
          <w:p>
            <w:pPr>
              <w:spacing w:after="0"/>
              <w:rPr>
                <w:sz w:val="14"/>
                <w:szCs w:val="14"/>
                <w:color w:val="auto"/>
              </w:rPr>
            </w:pP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Net cash provided by (used in) investing activities</w:t>
            </w:r>
          </w:p>
        </w:tc>
        <w:tc>
          <w:tcPr>
            <w:tcW w:w="2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4,339</w:t>
            </w:r>
          </w:p>
        </w:tc>
        <w:tc>
          <w:tcPr>
            <w:tcW w:w="2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(1,132)</w:t>
            </w:r>
          </w:p>
        </w:tc>
      </w:tr>
      <w:tr>
        <w:trPr>
          <w:trHeight w:val="168"/>
        </w:trPr>
        <w:tc>
          <w:tcPr>
            <w:tcW w:w="6700" w:type="dxa"/>
            <w:vAlign w:val="bottom"/>
          </w:tcPr>
          <w:p>
            <w:pPr>
              <w:spacing w:after="0"/>
              <w:rPr>
                <w:sz w:val="14"/>
                <w:szCs w:val="14"/>
                <w:color w:val="auto"/>
              </w:rPr>
            </w:pP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5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68"/>
        </w:trPr>
        <w:tc>
          <w:tcPr>
            <w:tcW w:w="6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Borrowings (repayments) under revolving credit arrangement, net</w:t>
            </w:r>
          </w:p>
        </w:tc>
        <w:tc>
          <w:tcPr>
            <w:tcW w:w="2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4,000</w:t>
            </w:r>
          </w:p>
        </w:tc>
        <w:tc>
          <w:tcPr>
            <w:tcW w:w="2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(8,671)</w:t>
            </w:r>
          </w:p>
        </w:tc>
      </w:tr>
      <w:tr>
        <w:trPr>
          <w:trHeight w:val="168"/>
        </w:trPr>
        <w:tc>
          <w:tcPr>
            <w:tcW w:w="6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Issuance of common stock, net</w:t>
            </w:r>
          </w:p>
        </w:tc>
        <w:tc>
          <w:tcPr>
            <w:tcW w:w="2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110</w:t>
            </w:r>
          </w:p>
        </w:tc>
        <w:tc>
          <w:tcPr>
            <w:tcW w:w="2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w:t>
            </w:r>
          </w:p>
        </w:tc>
      </w:tr>
      <w:tr>
        <w:trPr>
          <w:trHeight w:val="168"/>
        </w:trPr>
        <w:tc>
          <w:tcPr>
            <w:tcW w:w="6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Repurchases of common stock</w:t>
            </w: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(924)</w:t>
            </w:r>
          </w:p>
        </w:tc>
        <w:tc>
          <w:tcPr>
            <w:tcW w:w="2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Cash dividends</w:t>
            </w: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(4,634)</w:t>
            </w:r>
          </w:p>
        </w:tc>
        <w:tc>
          <w:tcPr>
            <w:tcW w:w="2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(4,689)</w:t>
            </w:r>
          </w:p>
        </w:tc>
      </w:tr>
      <w:tr>
        <w:trPr>
          <w:trHeight w:val="168"/>
        </w:trPr>
        <w:tc>
          <w:tcPr>
            <w:tcW w:w="6700" w:type="dxa"/>
            <w:vAlign w:val="bottom"/>
          </w:tcPr>
          <w:p>
            <w:pPr>
              <w:spacing w:after="0"/>
              <w:rPr>
                <w:sz w:val="14"/>
                <w:szCs w:val="14"/>
                <w:color w:val="auto"/>
              </w:rPr>
            </w:pP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Net cash  used in financing activities</w:t>
            </w: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(1,448)</w:t>
            </w:r>
          </w:p>
        </w:tc>
        <w:tc>
          <w:tcPr>
            <w:tcW w:w="2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(13,111)</w:t>
            </w:r>
          </w:p>
        </w:tc>
      </w:tr>
      <w:tr>
        <w:trPr>
          <w:trHeight w:val="168"/>
        </w:trPr>
        <w:tc>
          <w:tcPr>
            <w:tcW w:w="6700" w:type="dxa"/>
            <w:vAlign w:val="bottom"/>
          </w:tcPr>
          <w:p>
            <w:pPr>
              <w:spacing w:after="0"/>
              <w:rPr>
                <w:sz w:val="14"/>
                <w:szCs w:val="14"/>
                <w:color w:val="auto"/>
              </w:rPr>
            </w:pP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Net change in cash and cash equivalents</w:t>
            </w:r>
          </w:p>
        </w:tc>
        <w:tc>
          <w:tcPr>
            <w:tcW w:w="2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3,618</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68"/>
        </w:trPr>
        <w:tc>
          <w:tcPr>
            <w:tcW w:w="6700" w:type="dxa"/>
            <w:vAlign w:val="bottom"/>
          </w:tcPr>
          <w:p>
            <w:pPr>
              <w:spacing w:after="0"/>
              <w:rPr>
                <w:sz w:val="14"/>
                <w:szCs w:val="14"/>
                <w:color w:val="auto"/>
              </w:rPr>
            </w:pP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2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1,371</w:t>
            </w:r>
          </w:p>
        </w:tc>
        <w:tc>
          <w:tcPr>
            <w:tcW w:w="2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5,347</w:t>
            </w:r>
          </w:p>
        </w:tc>
      </w:tr>
      <w:tr>
        <w:trPr>
          <w:trHeight w:val="168"/>
        </w:trPr>
        <w:tc>
          <w:tcPr>
            <w:tcW w:w="6700" w:type="dxa"/>
            <w:vAlign w:val="bottom"/>
          </w:tcPr>
          <w:p>
            <w:pPr>
              <w:spacing w:after="0"/>
              <w:rPr>
                <w:sz w:val="14"/>
                <w:szCs w:val="14"/>
                <w:color w:val="auto"/>
              </w:rPr>
            </w:pP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2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$ 4,989</w:t>
            </w:r>
          </w:p>
        </w:tc>
        <w:tc>
          <w:tcPr>
            <w:tcW w:w="2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$ 5,325</w:t>
            </w:r>
          </w:p>
        </w:tc>
      </w:tr>
      <w:tr>
        <w:trPr>
          <w:trHeight w:val="168"/>
        </w:trPr>
        <w:tc>
          <w:tcPr>
            <w:tcW w:w="6700" w:type="dxa"/>
            <w:vAlign w:val="bottom"/>
          </w:tcPr>
          <w:p>
            <w:pPr>
              <w:spacing w:after="0"/>
              <w:rPr>
                <w:sz w:val="14"/>
                <w:szCs w:val="14"/>
                <w:color w:val="auto"/>
              </w:rPr>
            </w:pP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 w:lineRule="exact"/>
        <w:rPr>
          <w:sz w:val="20"/>
          <w:szCs w:val="20"/>
          <w:color w:val="auto"/>
        </w:rPr>
      </w:pPr>
    </w:p>
    <w:sectPr>
      <w:pgSz w:w="11900" w:h="16838" w:orient="portrait"/>
      <w:cols w:equalWidth="0" w:num="1">
        <w:col w:w="11540"/>
      </w:cols>
      <w:pgMar w:left="220" w:top="785"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lvl w:ilvl="1">
      <w:lvlJc w:val="left"/>
      <w:lvlText w:val="(%2)"/>
      <w:numFmt w:val="decimal"/>
      <w:start w:val="9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2019-12-20T15:12:06Z</dcterms:created>
  <dcterms:modified xsi:type="dcterms:W3CDTF">2019-12-20T15:12:06Z</dcterms:modified>
</cp:coreProperties>
</file>