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225" w:lineRule="exact"/>
        <w:rPr>
          <w:sz w:val="24"/>
          <w:szCs w:val="24"/>
          <w:color w:val="auto"/>
        </w:rPr>
      </w:pPr>
    </w:p>
    <w:p>
      <w:pPr>
        <w:ind w:left="3760" w:right="2820" w:hanging="928"/>
        <w:spacing w:after="0" w:line="282" w:lineRule="auto"/>
        <w:tabs>
          <w:tab w:leader="none" w:pos="3038"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QUARTERLY REPORT PURSUANT TO SECTION 13 OR 15(d) OF THE SECURITIES EXCHANGE ACT OF 1934</w:t>
      </w:r>
    </w:p>
    <w:p>
      <w:pPr>
        <w:spacing w:after="0" w:line="16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August 26, 2023</w:t>
      </w:r>
    </w:p>
    <w:p>
      <w:pPr>
        <w:spacing w:after="0" w:line="22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OR</w:t>
      </w:r>
    </w:p>
    <w:p>
      <w:pPr>
        <w:spacing w:after="0" w:line="221" w:lineRule="exact"/>
        <w:rPr>
          <w:sz w:val="24"/>
          <w:szCs w:val="24"/>
          <w:color w:val="auto"/>
        </w:rPr>
      </w:pPr>
    </w:p>
    <w:p>
      <w:pPr>
        <w:ind w:left="3760" w:right="2820" w:hanging="934"/>
        <w:spacing w:after="0" w:line="282" w:lineRule="auto"/>
        <w:tabs>
          <w:tab w:leader="none" w:pos="3031" w:val="left"/>
        </w:tabs>
        <w:numPr>
          <w:ilvl w:val="0"/>
          <w:numId w:val="2"/>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TRANSITION REPORT PURSUANT TO SECTION 13 OR 15(d) OF THE SECURITIES EXCHANGE ACT OF 1934</w:t>
      </w:r>
    </w:p>
    <w:p>
      <w:pPr>
        <w:spacing w:after="0" w:line="166" w:lineRule="exact"/>
        <w:rPr>
          <w:sz w:val="24"/>
          <w:szCs w:val="24"/>
          <w:color w:val="auto"/>
        </w:rPr>
      </w:pPr>
    </w:p>
    <w:p>
      <w:pPr>
        <w:ind w:left="2080"/>
        <w:spacing w:after="0"/>
        <w:rPr>
          <w:sz w:val="20"/>
          <w:szCs w:val="20"/>
          <w:color w:val="auto"/>
        </w:rPr>
      </w:pPr>
      <w:r>
        <w:rPr>
          <w:rFonts w:ascii="Arial" w:cs="Arial" w:eastAsia="Arial" w:hAnsi="Arial"/>
          <w:sz w:val="18"/>
          <w:szCs w:val="18"/>
          <w:color w:val="auto"/>
        </w:rPr>
        <w:t>For the transition period from _____________________________ to _______________________</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Commission File No. 000-00209</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BASSETT FURNITURE INDUSTRIES, INCORPORATED</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11" w:lineRule="exact"/>
        <w:rPr>
          <w:sz w:val="24"/>
          <w:szCs w:val="24"/>
          <w:color w:val="auto"/>
        </w:rPr>
      </w:pPr>
    </w:p>
    <w:tbl>
      <w:tblPr>
        <w:tblLayout w:type="fixed"/>
        <w:tblInd w:w="3100" w:type="dxa"/>
        <w:tblCellMar>
          <w:top w:w="0" w:type="dxa"/>
          <w:left w:w="0" w:type="dxa"/>
          <w:bottom w:w="0" w:type="dxa"/>
          <w:right w:w="0" w:type="dxa"/>
        </w:tblCellMar>
      </w:tblPr>
      <w:tr>
        <w:trPr>
          <w:trHeight w:val="230"/>
        </w:trPr>
        <w:tc>
          <w:tcPr>
            <w:tcW w:w="1760" w:type="dxa"/>
            <w:vAlign w:val="bottom"/>
          </w:tcPr>
          <w:p>
            <w:pPr>
              <w:spacing w:after="0"/>
              <w:rPr>
                <w:sz w:val="20"/>
                <w:szCs w:val="20"/>
                <w:color w:val="auto"/>
              </w:rPr>
            </w:pPr>
            <w:r>
              <w:rPr>
                <w:rFonts w:ascii="Arial" w:cs="Arial" w:eastAsia="Arial" w:hAnsi="Arial"/>
                <w:sz w:val="18"/>
                <w:szCs w:val="18"/>
                <w:color w:val="auto"/>
              </w:rPr>
              <w:t>Virginia</w:t>
            </w:r>
          </w:p>
        </w:tc>
        <w:tc>
          <w:tcPr>
            <w:tcW w:w="3280" w:type="dxa"/>
            <w:vAlign w:val="bottom"/>
            <w:gridSpan w:val="2"/>
          </w:tcPr>
          <w:p>
            <w:pPr>
              <w:jc w:val="right"/>
              <w:spacing w:after="0"/>
              <w:rPr>
                <w:sz w:val="20"/>
                <w:szCs w:val="20"/>
                <w:color w:val="auto"/>
              </w:rPr>
            </w:pPr>
            <w:r>
              <w:rPr>
                <w:rFonts w:ascii="Arial" w:cs="Arial" w:eastAsia="Arial" w:hAnsi="Arial"/>
                <w:sz w:val="18"/>
                <w:szCs w:val="18"/>
                <w:color w:val="auto"/>
              </w:rPr>
              <w:t>54-0135270</w:t>
            </w:r>
          </w:p>
        </w:tc>
        <w:tc>
          <w:tcPr>
            <w:tcW w:w="0" w:type="dxa"/>
            <w:vAlign w:val="bottom"/>
          </w:tcPr>
          <w:p>
            <w:pPr>
              <w:spacing w:after="0"/>
              <w:rPr>
                <w:sz w:val="1"/>
                <w:szCs w:val="1"/>
                <w:color w:val="auto"/>
              </w:rPr>
            </w:pPr>
          </w:p>
        </w:tc>
      </w:tr>
      <w:tr>
        <w:trPr>
          <w:trHeight w:val="195"/>
        </w:trPr>
        <w:tc>
          <w:tcPr>
            <w:tcW w:w="17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(State or other</w:t>
            </w:r>
          </w:p>
        </w:tc>
        <w:tc>
          <w:tcPr>
            <w:tcW w:w="1540" w:type="dxa"/>
            <w:vAlign w:val="bottom"/>
          </w:tcPr>
          <w:p>
            <w:pPr>
              <w:spacing w:after="0"/>
              <w:rPr>
                <w:sz w:val="16"/>
                <w:szCs w:val="16"/>
                <w:color w:val="auto"/>
              </w:rPr>
            </w:pPr>
          </w:p>
        </w:tc>
        <w:tc>
          <w:tcPr>
            <w:tcW w:w="17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(I.R.S. Employer</w:t>
            </w:r>
          </w:p>
        </w:tc>
        <w:tc>
          <w:tcPr>
            <w:tcW w:w="0" w:type="dxa"/>
            <w:vAlign w:val="bottom"/>
          </w:tcPr>
          <w:p>
            <w:pPr>
              <w:spacing w:after="0"/>
              <w:rPr>
                <w:sz w:val="1"/>
                <w:szCs w:val="1"/>
                <w:color w:val="auto"/>
              </w:rPr>
            </w:pPr>
          </w:p>
        </w:tc>
      </w:tr>
      <w:tr>
        <w:trPr>
          <w:trHeight w:val="122"/>
        </w:trPr>
        <w:tc>
          <w:tcPr>
            <w:tcW w:w="1760" w:type="dxa"/>
            <w:vAlign w:val="bottom"/>
            <w:vMerge w:val="restart"/>
          </w:tcPr>
          <w:p>
            <w:pPr>
              <w:spacing w:after="0"/>
              <w:rPr>
                <w:sz w:val="20"/>
                <w:szCs w:val="20"/>
                <w:color w:val="auto"/>
              </w:rPr>
            </w:pPr>
            <w:r>
              <w:rPr>
                <w:rFonts w:ascii="Arial" w:cs="Arial" w:eastAsia="Arial" w:hAnsi="Arial"/>
                <w:sz w:val="18"/>
                <w:szCs w:val="18"/>
                <w:color w:val="auto"/>
              </w:rPr>
              <w:t>jurisdiction</w:t>
            </w:r>
          </w:p>
        </w:tc>
        <w:tc>
          <w:tcPr>
            <w:tcW w:w="1540" w:type="dxa"/>
            <w:vAlign w:val="bottom"/>
          </w:tcPr>
          <w:p>
            <w:pPr>
              <w:spacing w:after="0"/>
              <w:rPr>
                <w:sz w:val="10"/>
                <w:szCs w:val="10"/>
                <w:color w:val="auto"/>
              </w:rPr>
            </w:pPr>
          </w:p>
        </w:tc>
        <w:tc>
          <w:tcPr>
            <w:tcW w:w="17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1760" w:type="dxa"/>
            <w:vAlign w:val="bottom"/>
            <w:vMerge w:val="continue"/>
          </w:tcPr>
          <w:p>
            <w:pPr>
              <w:spacing w:after="0"/>
              <w:rPr>
                <w:sz w:val="8"/>
                <w:szCs w:val="8"/>
                <w:color w:val="auto"/>
              </w:rPr>
            </w:pPr>
          </w:p>
        </w:tc>
        <w:tc>
          <w:tcPr>
            <w:tcW w:w="1540" w:type="dxa"/>
            <w:vAlign w:val="bottom"/>
          </w:tcPr>
          <w:p>
            <w:pPr>
              <w:spacing w:after="0"/>
              <w:rPr>
                <w:sz w:val="8"/>
                <w:szCs w:val="8"/>
                <w:color w:val="auto"/>
              </w:rPr>
            </w:pPr>
          </w:p>
        </w:tc>
        <w:tc>
          <w:tcPr>
            <w:tcW w:w="17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760" w:type="dxa"/>
            <w:vAlign w:val="bottom"/>
          </w:tcPr>
          <w:p>
            <w:pPr>
              <w:spacing w:after="0"/>
              <w:rPr>
                <w:sz w:val="20"/>
                <w:szCs w:val="20"/>
                <w:color w:val="auto"/>
              </w:rPr>
            </w:pPr>
            <w:r>
              <w:rPr>
                <w:rFonts w:ascii="Arial" w:cs="Arial" w:eastAsia="Arial" w:hAnsi="Arial"/>
                <w:sz w:val="18"/>
                <w:szCs w:val="18"/>
                <w:color w:val="auto"/>
              </w:rPr>
              <w:t>of incorporation or</w:t>
            </w:r>
          </w:p>
        </w:tc>
        <w:tc>
          <w:tcPr>
            <w:tcW w:w="1540" w:type="dxa"/>
            <w:vAlign w:val="bottom"/>
          </w:tcPr>
          <w:p>
            <w:pPr>
              <w:spacing w:after="0"/>
              <w:rPr>
                <w:sz w:val="18"/>
                <w:szCs w:val="18"/>
                <w:color w:val="auto"/>
              </w:rPr>
            </w:pPr>
          </w:p>
        </w:tc>
        <w:tc>
          <w:tcPr>
            <w:tcW w:w="1740" w:type="dxa"/>
            <w:vAlign w:val="bottom"/>
            <w:vMerge w:val="restart"/>
          </w:tcPr>
          <w:p>
            <w:pPr>
              <w:jc w:val="right"/>
              <w:spacing w:after="0"/>
              <w:rPr>
                <w:sz w:val="20"/>
                <w:szCs w:val="20"/>
                <w:color w:val="auto"/>
              </w:rPr>
            </w:pPr>
            <w:r>
              <w:rPr>
                <w:rFonts w:ascii="Arial" w:cs="Arial" w:eastAsia="Arial" w:hAnsi="Arial"/>
                <w:sz w:val="18"/>
                <w:szCs w:val="18"/>
                <w:color w:val="auto"/>
              </w:rPr>
              <w:t>Identification No.)</w:t>
            </w:r>
          </w:p>
        </w:tc>
        <w:tc>
          <w:tcPr>
            <w:tcW w:w="0" w:type="dxa"/>
            <w:vAlign w:val="bottom"/>
          </w:tcPr>
          <w:p>
            <w:pPr>
              <w:spacing w:after="0"/>
              <w:rPr>
                <w:sz w:val="1"/>
                <w:szCs w:val="1"/>
                <w:color w:val="auto"/>
              </w:rPr>
            </w:pPr>
          </w:p>
        </w:tc>
      </w:tr>
      <w:tr>
        <w:trPr>
          <w:trHeight w:val="122"/>
        </w:trPr>
        <w:tc>
          <w:tcPr>
            <w:tcW w:w="1760" w:type="dxa"/>
            <w:vAlign w:val="bottom"/>
            <w:vMerge w:val="restart"/>
          </w:tcPr>
          <w:p>
            <w:pPr>
              <w:spacing w:after="0"/>
              <w:rPr>
                <w:sz w:val="20"/>
                <w:szCs w:val="20"/>
                <w:color w:val="auto"/>
              </w:rPr>
            </w:pPr>
            <w:r>
              <w:rPr>
                <w:rFonts w:ascii="Arial" w:cs="Arial" w:eastAsia="Arial" w:hAnsi="Arial"/>
                <w:sz w:val="18"/>
                <w:szCs w:val="18"/>
                <w:color w:val="auto"/>
              </w:rPr>
              <w:t>organization)</w:t>
            </w:r>
          </w:p>
        </w:tc>
        <w:tc>
          <w:tcPr>
            <w:tcW w:w="1540" w:type="dxa"/>
            <w:vAlign w:val="bottom"/>
          </w:tcPr>
          <w:p>
            <w:pPr>
              <w:spacing w:after="0"/>
              <w:rPr>
                <w:sz w:val="10"/>
                <w:szCs w:val="10"/>
                <w:color w:val="auto"/>
              </w:rPr>
            </w:pPr>
          </w:p>
        </w:tc>
        <w:tc>
          <w:tcPr>
            <w:tcW w:w="17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760" w:type="dxa"/>
            <w:vAlign w:val="bottom"/>
            <w:vMerge w:val="continue"/>
          </w:tcPr>
          <w:p>
            <w:pPr>
              <w:spacing w:after="0"/>
              <w:rPr>
                <w:sz w:val="9"/>
                <w:szCs w:val="9"/>
                <w:color w:val="auto"/>
              </w:rPr>
            </w:pPr>
          </w:p>
        </w:tc>
        <w:tc>
          <w:tcPr>
            <w:tcW w:w="1540" w:type="dxa"/>
            <w:vAlign w:val="bottom"/>
          </w:tcPr>
          <w:p>
            <w:pPr>
              <w:spacing w:after="0"/>
              <w:rPr>
                <w:sz w:val="9"/>
                <w:szCs w:val="9"/>
                <w:color w:val="auto"/>
              </w:rPr>
            </w:pPr>
          </w:p>
        </w:tc>
        <w:tc>
          <w:tcPr>
            <w:tcW w:w="174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3525 Fairystone Park Highway</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u w:val="single" w:color="auto"/>
          <w:color w:val="auto"/>
        </w:rPr>
        <w:t>Bassett, Virginia 24055</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of principal executive offices)</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(Zip Code)</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(276) 629-6000</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25" w:lineRule="exact"/>
        <w:rPr>
          <w:sz w:val="24"/>
          <w:szCs w:val="24"/>
          <w:color w:val="auto"/>
        </w:rPr>
      </w:pPr>
    </w:p>
    <w:tbl>
      <w:tblPr>
        <w:tblLayout w:type="fixed"/>
        <w:tblInd w:w="580" w:type="dxa"/>
        <w:tblCellMar>
          <w:top w:w="0" w:type="dxa"/>
          <w:left w:w="0" w:type="dxa"/>
          <w:bottom w:w="0" w:type="dxa"/>
          <w:right w:w="0" w:type="dxa"/>
        </w:tblCellMar>
      </w:tblPr>
      <w:tr>
        <w:trPr>
          <w:trHeight w:val="230"/>
        </w:trPr>
        <w:tc>
          <w:tcPr>
            <w:tcW w:w="36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Title of each class</w:t>
            </w:r>
          </w:p>
        </w:tc>
        <w:tc>
          <w:tcPr>
            <w:tcW w:w="320" w:type="dxa"/>
            <w:vAlign w:val="bottom"/>
          </w:tcPr>
          <w:p>
            <w:pPr>
              <w:spacing w:after="0"/>
              <w:rPr>
                <w:sz w:val="20"/>
                <w:szCs w:val="20"/>
                <w:color w:val="auto"/>
              </w:rPr>
            </w:pPr>
          </w:p>
        </w:tc>
        <w:tc>
          <w:tcPr>
            <w:tcW w:w="23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Trading Symbol</w:t>
            </w:r>
          </w:p>
        </w:tc>
        <w:tc>
          <w:tcPr>
            <w:tcW w:w="280" w:type="dxa"/>
            <w:vAlign w:val="bottom"/>
          </w:tcPr>
          <w:p>
            <w:pPr>
              <w:spacing w:after="0"/>
              <w:rPr>
                <w:sz w:val="20"/>
                <w:szCs w:val="20"/>
                <w:color w:val="auto"/>
              </w:rPr>
            </w:pPr>
          </w:p>
        </w:tc>
        <w:tc>
          <w:tcPr>
            <w:tcW w:w="35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Name of exchange on which registered</w:t>
            </w:r>
          </w:p>
        </w:tc>
      </w:tr>
      <w:tr>
        <w:trPr>
          <w:trHeight w:val="224"/>
        </w:trPr>
        <w:tc>
          <w:tcPr>
            <w:tcW w:w="3640" w:type="dxa"/>
            <w:vAlign w:val="bottom"/>
          </w:tcPr>
          <w:p>
            <w:pPr>
              <w:jc w:val="center"/>
              <w:spacing w:after="0"/>
              <w:rPr>
                <w:sz w:val="20"/>
                <w:szCs w:val="20"/>
                <w:color w:val="auto"/>
              </w:rPr>
            </w:pPr>
            <w:r>
              <w:rPr>
                <w:rFonts w:ascii="Arial" w:cs="Arial" w:eastAsia="Arial" w:hAnsi="Arial"/>
                <w:sz w:val="18"/>
                <w:szCs w:val="18"/>
                <w:color w:val="auto"/>
                <w:w w:val="90"/>
              </w:rPr>
              <w:t>Common Stock ($5.00 par value)</w:t>
            </w:r>
          </w:p>
        </w:tc>
        <w:tc>
          <w:tcPr>
            <w:tcW w:w="320" w:type="dxa"/>
            <w:vAlign w:val="bottom"/>
          </w:tcPr>
          <w:p>
            <w:pPr>
              <w:spacing w:after="0"/>
              <w:rPr>
                <w:sz w:val="19"/>
                <w:szCs w:val="19"/>
                <w:color w:val="auto"/>
              </w:rPr>
            </w:pPr>
          </w:p>
        </w:tc>
        <w:tc>
          <w:tcPr>
            <w:tcW w:w="2320" w:type="dxa"/>
            <w:vAlign w:val="bottom"/>
          </w:tcPr>
          <w:p>
            <w:pPr>
              <w:jc w:val="center"/>
              <w:spacing w:after="0"/>
              <w:rPr>
                <w:sz w:val="20"/>
                <w:szCs w:val="20"/>
                <w:color w:val="auto"/>
              </w:rPr>
            </w:pPr>
            <w:r>
              <w:rPr>
                <w:rFonts w:ascii="Arial" w:cs="Arial" w:eastAsia="Arial" w:hAnsi="Arial"/>
                <w:sz w:val="18"/>
                <w:szCs w:val="18"/>
                <w:color w:val="auto"/>
                <w:w w:val="93"/>
              </w:rPr>
              <w:t>BSET</w:t>
            </w:r>
          </w:p>
        </w:tc>
        <w:tc>
          <w:tcPr>
            <w:tcW w:w="280" w:type="dxa"/>
            <w:vAlign w:val="bottom"/>
          </w:tcPr>
          <w:p>
            <w:pPr>
              <w:spacing w:after="0"/>
              <w:rPr>
                <w:sz w:val="19"/>
                <w:szCs w:val="19"/>
                <w:color w:val="auto"/>
              </w:rPr>
            </w:pPr>
          </w:p>
        </w:tc>
        <w:tc>
          <w:tcPr>
            <w:tcW w:w="3540" w:type="dxa"/>
            <w:vAlign w:val="bottom"/>
          </w:tcPr>
          <w:p>
            <w:pPr>
              <w:jc w:val="center"/>
              <w:spacing w:after="0"/>
              <w:rPr>
                <w:sz w:val="20"/>
                <w:szCs w:val="20"/>
                <w:color w:val="auto"/>
              </w:rPr>
            </w:pPr>
            <w:r>
              <w:rPr>
                <w:rFonts w:ascii="Arial" w:cs="Arial" w:eastAsia="Arial" w:hAnsi="Arial"/>
                <w:sz w:val="18"/>
                <w:szCs w:val="18"/>
                <w:color w:val="auto"/>
                <w:w w:val="97"/>
              </w:rPr>
              <w:t>NASDAQ</w:t>
            </w:r>
          </w:p>
        </w:tc>
      </w:tr>
    </w:tbl>
    <w:p>
      <w:pPr>
        <w:spacing w:after="0" w:line="187" w:lineRule="exact"/>
        <w:rPr>
          <w:sz w:val="24"/>
          <w:szCs w:val="24"/>
          <w:color w:val="auto"/>
        </w:rPr>
      </w:pPr>
    </w:p>
    <w:p>
      <w:pPr>
        <w:jc w:val="both"/>
        <w:spacing w:after="0" w:line="238"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74" w:lineRule="exact"/>
        <w:rPr>
          <w:sz w:val="24"/>
          <w:szCs w:val="24"/>
          <w:color w:val="auto"/>
        </w:rPr>
      </w:pPr>
    </w:p>
    <w:p>
      <w:pPr>
        <w:jc w:val="both"/>
        <w:spacing w:after="0" w:line="230"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76"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39" w:lineRule="exact"/>
        <w:rPr>
          <w:sz w:val="24"/>
          <w:szCs w:val="24"/>
          <w:color w:val="auto"/>
        </w:rPr>
      </w:pPr>
    </w:p>
    <w:tbl>
      <w:tblPr>
        <w:tblLayout w:type="fixed"/>
        <w:tblInd w:w="0" w:type="dxa"/>
        <w:tblCellMar>
          <w:top w:w="0" w:type="dxa"/>
          <w:left w:w="0" w:type="dxa"/>
          <w:bottom w:w="0" w:type="dxa"/>
          <w:right w:w="0" w:type="dxa"/>
        </w:tblCellMar>
      </w:tblPr>
      <w:tr>
        <w:trPr>
          <w:trHeight w:val="221"/>
        </w:trPr>
        <w:tc>
          <w:tcPr>
            <w:tcW w:w="198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2620" w:type="dxa"/>
            <w:vAlign w:val="bottom"/>
          </w:tcPr>
          <w:p>
            <w:pPr>
              <w:ind w:left="280"/>
              <w:spacing w:after="0" w:line="181" w:lineRule="exact"/>
              <w:rPr>
                <w:sz w:val="20"/>
                <w:szCs w:val="20"/>
                <w:color w:val="auto"/>
              </w:rPr>
            </w:pPr>
            <w:r>
              <w:rPr>
                <w:rFonts w:ascii="MS PGothic" w:cs="MS PGothic" w:eastAsia="MS PGothic" w:hAnsi="MS PGothic"/>
                <w:sz w:val="18"/>
                <w:szCs w:val="18"/>
                <w:color w:val="auto"/>
              </w:rPr>
              <w:t>☐</w:t>
            </w:r>
          </w:p>
        </w:tc>
        <w:tc>
          <w:tcPr>
            <w:tcW w:w="4320" w:type="dxa"/>
            <w:vAlign w:val="bottom"/>
          </w:tcPr>
          <w:p>
            <w:pPr>
              <w:ind w:left="2160"/>
              <w:spacing w:after="0"/>
              <w:rPr>
                <w:sz w:val="20"/>
                <w:szCs w:val="20"/>
                <w:color w:val="auto"/>
              </w:rPr>
            </w:pPr>
            <w:r>
              <w:rPr>
                <w:rFonts w:ascii="Arial" w:cs="Arial" w:eastAsia="Arial" w:hAnsi="Arial"/>
                <w:sz w:val="18"/>
                <w:szCs w:val="18"/>
                <w:color w:val="auto"/>
              </w:rPr>
              <w:t>Accelerated Filer</w:t>
            </w:r>
          </w:p>
        </w:tc>
        <w:tc>
          <w:tcPr>
            <w:tcW w:w="240" w:type="dxa"/>
            <w:vAlign w:val="bottom"/>
          </w:tcPr>
          <w:p>
            <w:pPr>
              <w:ind w:left="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1980" w:type="dxa"/>
            <w:vAlign w:val="bottom"/>
          </w:tcPr>
          <w:p>
            <w:pPr>
              <w:spacing w:after="0"/>
              <w:rPr>
                <w:sz w:val="20"/>
                <w:szCs w:val="20"/>
                <w:color w:val="auto"/>
              </w:rPr>
            </w:pPr>
            <w:r>
              <w:rPr>
                <w:rFonts w:ascii="Arial" w:cs="Arial" w:eastAsia="Arial" w:hAnsi="Arial"/>
                <w:sz w:val="18"/>
                <w:szCs w:val="18"/>
                <w:color w:val="auto"/>
              </w:rPr>
              <w:t>Non-accelerated Filer</w:t>
            </w:r>
          </w:p>
        </w:tc>
        <w:tc>
          <w:tcPr>
            <w:tcW w:w="2620" w:type="dxa"/>
            <w:vAlign w:val="bottom"/>
          </w:tcPr>
          <w:p>
            <w:pPr>
              <w:ind w:left="280"/>
              <w:spacing w:after="0" w:line="181" w:lineRule="exact"/>
              <w:rPr>
                <w:sz w:val="20"/>
                <w:szCs w:val="20"/>
                <w:color w:val="auto"/>
              </w:rPr>
            </w:pPr>
            <w:r>
              <w:rPr>
                <w:rFonts w:ascii="MS PGothic" w:cs="MS PGothic" w:eastAsia="MS PGothic" w:hAnsi="MS PGothic"/>
                <w:sz w:val="18"/>
                <w:szCs w:val="18"/>
                <w:color w:val="auto"/>
              </w:rPr>
              <w:t>☐</w:t>
            </w:r>
          </w:p>
        </w:tc>
        <w:tc>
          <w:tcPr>
            <w:tcW w:w="4320" w:type="dxa"/>
            <w:vAlign w:val="bottom"/>
          </w:tcPr>
          <w:p>
            <w:pPr>
              <w:ind w:left="2160"/>
              <w:spacing w:after="0"/>
              <w:rPr>
                <w:sz w:val="20"/>
                <w:szCs w:val="20"/>
                <w:color w:val="auto"/>
              </w:rPr>
            </w:pPr>
            <w:r>
              <w:rPr>
                <w:rFonts w:ascii="Arial" w:cs="Arial" w:eastAsia="Arial" w:hAnsi="Arial"/>
                <w:sz w:val="18"/>
                <w:szCs w:val="18"/>
                <w:color w:val="auto"/>
                <w:w w:val="94"/>
              </w:rPr>
              <w:t>Smaller Reporting Company</w:t>
            </w:r>
          </w:p>
        </w:tc>
        <w:tc>
          <w:tcPr>
            <w:tcW w:w="240" w:type="dxa"/>
            <w:vAlign w:val="bottom"/>
          </w:tcPr>
          <w:p>
            <w:pPr>
              <w:ind w:left="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198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4320" w:type="dxa"/>
            <w:vAlign w:val="bottom"/>
          </w:tcPr>
          <w:p>
            <w:pPr>
              <w:ind w:left="2160"/>
              <w:spacing w:after="0"/>
              <w:rPr>
                <w:sz w:val="20"/>
                <w:szCs w:val="20"/>
                <w:color w:val="auto"/>
              </w:rPr>
            </w:pPr>
            <w:r>
              <w:rPr>
                <w:rFonts w:ascii="Arial" w:cs="Arial" w:eastAsia="Arial" w:hAnsi="Arial"/>
                <w:sz w:val="18"/>
                <w:szCs w:val="18"/>
                <w:color w:val="auto"/>
                <w:w w:val="96"/>
              </w:rPr>
              <w:t>Emerging Growth Company</w:t>
            </w:r>
          </w:p>
        </w:tc>
        <w:tc>
          <w:tcPr>
            <w:tcW w:w="240" w:type="dxa"/>
            <w:vAlign w:val="bottom"/>
          </w:tcPr>
          <w:p>
            <w:pPr>
              <w:ind w:left="8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69" w:lineRule="exact"/>
        <w:rPr>
          <w:sz w:val="24"/>
          <w:szCs w:val="24"/>
          <w:color w:val="auto"/>
        </w:rPr>
      </w:pPr>
    </w:p>
    <w:p>
      <w:pPr>
        <w:spacing w:after="0" w:line="238"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29" w:lineRule="exact"/>
        <w:rPr>
          <w:sz w:val="24"/>
          <w:szCs w:val="24"/>
          <w:color w:val="auto"/>
        </w:rPr>
      </w:pPr>
    </w:p>
    <w:p>
      <w:pPr>
        <w:spacing w:after="0" w:line="207" w:lineRule="exact"/>
        <w:tabs>
          <w:tab w:leader="none" w:pos="8640" w:val="left"/>
        </w:tabs>
        <w:rPr>
          <w:sz w:val="20"/>
          <w:szCs w:val="20"/>
          <w:color w:val="auto"/>
        </w:rPr>
      </w:pPr>
      <w:r>
        <w:rPr>
          <w:rFonts w:ascii="Arial" w:cs="Arial" w:eastAsia="Arial" w:hAnsi="Arial"/>
          <w:sz w:val="18"/>
          <w:szCs w:val="18"/>
          <w:color w:val="auto"/>
        </w:rPr>
        <w:t>Indicate by check mark whether the registrant is a shell company (as defined in Rule 12b-2 of the Exchange Act). Yes</w:t>
      </w:r>
      <w:r>
        <w:rPr>
          <w:sz w:val="20"/>
          <w:szCs w:val="20"/>
          <w:color w:val="auto"/>
        </w:rPr>
        <w:tab/>
      </w:r>
      <w:r>
        <w:rPr>
          <w:rFonts w:ascii="MS PGothic" w:cs="MS PGothic" w:eastAsia="MS PGothic" w:hAnsi="MS PGothic"/>
          <w:sz w:val="18"/>
          <w:szCs w:val="18"/>
          <w:color w:val="auto"/>
        </w:rPr>
        <w:t xml:space="preserve">☐ </w:t>
      </w:r>
      <w:r>
        <w:rPr>
          <w:rFonts w:ascii="Arial" w:cs="Arial" w:eastAsia="Arial" w:hAnsi="Arial"/>
          <w:sz w:val="18"/>
          <w:szCs w:val="18"/>
          <w:color w:val="auto"/>
        </w:rPr>
        <w:t>No</w:t>
      </w:r>
      <w:r>
        <w:rPr>
          <w:rFonts w:ascii="MS PGothic" w:cs="MS PGothic" w:eastAsia="MS PGothic" w:hAnsi="MS PGothic"/>
          <w:sz w:val="18"/>
          <w:szCs w:val="18"/>
          <w:color w:val="auto"/>
        </w:rPr>
        <w:t xml:space="preserve">  ☒</w:t>
      </w:r>
    </w:p>
    <w:p>
      <w:pPr>
        <w:spacing w:after="0" w:line="270" w:lineRule="exact"/>
        <w:rPr>
          <w:sz w:val="24"/>
          <w:szCs w:val="24"/>
          <w:color w:val="auto"/>
        </w:rPr>
      </w:pPr>
    </w:p>
    <w:p>
      <w:pPr>
        <w:spacing w:after="0"/>
        <w:rPr>
          <w:sz w:val="20"/>
          <w:szCs w:val="20"/>
          <w:color w:val="auto"/>
        </w:rPr>
      </w:pPr>
      <w:r>
        <w:rPr>
          <w:rFonts w:ascii="Arial" w:cs="Arial" w:eastAsia="Arial" w:hAnsi="Arial"/>
          <w:sz w:val="18"/>
          <w:szCs w:val="18"/>
          <w:color w:val="auto"/>
        </w:rPr>
        <w:t>At September 22, 2023, 8,819,992 shares of common stock of the Registrant were outstanding.</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1 of 38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color w:val="auto"/>
        </w:rPr>
        <w:t>BASSETT FURNITURE INDUSTRIES, INCORPORATED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TABLE OF CONTENTS</w:t>
      </w:r>
    </w:p>
    <w:p>
      <w:pPr>
        <w:spacing w:after="0" w:line="225" w:lineRule="exact"/>
        <w:rPr>
          <w:sz w:val="20"/>
          <w:szCs w:val="20"/>
          <w:color w:val="auto"/>
        </w:rPr>
      </w:pPr>
    </w:p>
    <w:p>
      <w:pPr>
        <w:spacing w:after="0"/>
        <w:tabs>
          <w:tab w:leader="none" w:pos="10760" w:val="left"/>
        </w:tabs>
        <w:rPr>
          <w:sz w:val="20"/>
          <w:szCs w:val="20"/>
          <w:color w:val="auto"/>
        </w:rPr>
      </w:pPr>
      <w:r>
        <w:rPr>
          <w:rFonts w:ascii="Arial" w:cs="Arial" w:eastAsia="Arial" w:hAnsi="Arial"/>
          <w:sz w:val="16"/>
          <w:szCs w:val="16"/>
          <w:color w:val="auto"/>
        </w:rPr>
        <w:t>ITEM</w:t>
      </w:r>
      <w:r>
        <w:rPr>
          <w:sz w:val="20"/>
          <w:szCs w:val="20"/>
          <w:color w:val="auto"/>
        </w:rPr>
        <w:tab/>
      </w:r>
      <w:r>
        <w:rPr>
          <w:rFonts w:ascii="Arial" w:cs="Arial" w:eastAsia="Arial" w:hAnsi="Arial"/>
          <w:sz w:val="16"/>
          <w:szCs w:val="16"/>
          <w:color w:val="auto"/>
        </w:rPr>
        <w:t>PAGE</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PART I - FINANCIAL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5" w:lineRule="exact"/>
        <w:rPr>
          <w:sz w:val="20"/>
          <w:szCs w:val="20"/>
          <w:color w:val="auto"/>
        </w:rPr>
      </w:pPr>
    </w:p>
    <w:p>
      <w:pPr>
        <w:ind w:left="460" w:right="700" w:hanging="452"/>
        <w:spacing w:after="0" w:line="277" w:lineRule="auto"/>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Condensed Consolidated Financial Statements as of August 26, 2023 (unaudited) and November 26, 2022 and for the three and nine months ended August 26, 2023 (unaudited) and August 27, 2022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-293370</wp:posOffset>
            </wp:positionV>
            <wp:extent cx="7132320" cy="2743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00" w:type="dxa"/>
            <w:vAlign w:val="bottom"/>
            <w:shd w:val="clear" w:color="auto" w:fill="CCEEFF"/>
          </w:tcPr>
          <w:p>
            <w:pPr>
              <w:spacing w:after="0"/>
              <w:rPr>
                <w:sz w:val="18"/>
                <w:szCs w:val="18"/>
                <w:color w:val="auto"/>
              </w:rPr>
            </w:pPr>
          </w:p>
        </w:tc>
        <w:tc>
          <w:tcPr>
            <w:tcW w:w="88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Condensed Consolidated Statements of Operations</w:t>
            </w:r>
          </w:p>
        </w:tc>
        <w:tc>
          <w:tcPr>
            <w:tcW w:w="2060" w:type="dxa"/>
            <w:vAlign w:val="bottom"/>
            <w:shd w:val="clear" w:color="auto" w:fill="CCEEFF"/>
          </w:tcPr>
          <w:p>
            <w:pPr>
              <w:ind w:left="1600"/>
              <w:spacing w:after="0"/>
              <w:rPr>
                <w:sz w:val="20"/>
                <w:szCs w:val="20"/>
                <w:color w:val="auto"/>
              </w:rPr>
            </w:pPr>
            <w:r>
              <w:rPr>
                <w:rFonts w:ascii="Arial" w:cs="Arial" w:eastAsia="Arial" w:hAnsi="Arial"/>
                <w:sz w:val="18"/>
                <w:szCs w:val="18"/>
                <w:color w:val="auto"/>
              </w:rPr>
              <w:t>3</w:t>
            </w:r>
          </w:p>
        </w:tc>
      </w:tr>
      <w:tr>
        <w:trPr>
          <w:trHeight w:val="216"/>
        </w:trPr>
        <w:tc>
          <w:tcPr>
            <w:tcW w:w="300" w:type="dxa"/>
            <w:vAlign w:val="bottom"/>
          </w:tcPr>
          <w:p>
            <w:pPr>
              <w:spacing w:after="0"/>
              <w:rPr>
                <w:sz w:val="18"/>
                <w:szCs w:val="18"/>
                <w:color w:val="auto"/>
              </w:rPr>
            </w:pPr>
          </w:p>
        </w:tc>
        <w:tc>
          <w:tcPr>
            <w:tcW w:w="8880" w:type="dxa"/>
            <w:vAlign w:val="bottom"/>
          </w:tcPr>
          <w:p>
            <w:pPr>
              <w:spacing w:after="0"/>
              <w:rPr>
                <w:sz w:val="18"/>
                <w:szCs w:val="18"/>
                <w:color w:val="auto"/>
              </w:rPr>
            </w:pPr>
          </w:p>
        </w:tc>
        <w:tc>
          <w:tcPr>
            <w:tcW w:w="2060" w:type="dxa"/>
            <w:vAlign w:val="bottom"/>
          </w:tcPr>
          <w:p>
            <w:pPr>
              <w:spacing w:after="0"/>
              <w:rPr>
                <w:sz w:val="18"/>
                <w:szCs w:val="18"/>
                <w:color w:val="auto"/>
              </w:rPr>
            </w:pPr>
          </w:p>
        </w:tc>
      </w:tr>
      <w:tr>
        <w:trPr>
          <w:trHeight w:val="216"/>
        </w:trPr>
        <w:tc>
          <w:tcPr>
            <w:tcW w:w="300" w:type="dxa"/>
            <w:vAlign w:val="bottom"/>
            <w:shd w:val="clear" w:color="auto" w:fill="CCEEFF"/>
          </w:tcPr>
          <w:p>
            <w:pPr>
              <w:spacing w:after="0"/>
              <w:rPr>
                <w:sz w:val="18"/>
                <w:szCs w:val="18"/>
                <w:color w:val="auto"/>
              </w:rPr>
            </w:pPr>
          </w:p>
        </w:tc>
        <w:tc>
          <w:tcPr>
            <w:tcW w:w="88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Condensed Consolidated Statements of Comprehensive Income (Loss)</w:t>
            </w:r>
          </w:p>
        </w:tc>
        <w:tc>
          <w:tcPr>
            <w:tcW w:w="2060" w:type="dxa"/>
            <w:vAlign w:val="bottom"/>
            <w:shd w:val="clear" w:color="auto" w:fill="CCEEFF"/>
          </w:tcPr>
          <w:p>
            <w:pPr>
              <w:ind w:left="1600"/>
              <w:spacing w:after="0"/>
              <w:rPr>
                <w:sz w:val="20"/>
                <w:szCs w:val="20"/>
                <w:color w:val="auto"/>
              </w:rPr>
            </w:pPr>
            <w:r>
              <w:rPr>
                <w:rFonts w:ascii="Arial" w:cs="Arial" w:eastAsia="Arial" w:hAnsi="Arial"/>
                <w:sz w:val="18"/>
                <w:szCs w:val="18"/>
                <w:color w:val="auto"/>
              </w:rPr>
              <w:t>4</w:t>
            </w:r>
          </w:p>
        </w:tc>
      </w:tr>
      <w:tr>
        <w:trPr>
          <w:trHeight w:val="216"/>
        </w:trPr>
        <w:tc>
          <w:tcPr>
            <w:tcW w:w="300" w:type="dxa"/>
            <w:vAlign w:val="bottom"/>
          </w:tcPr>
          <w:p>
            <w:pPr>
              <w:spacing w:after="0"/>
              <w:rPr>
                <w:sz w:val="18"/>
                <w:szCs w:val="18"/>
                <w:color w:val="auto"/>
              </w:rPr>
            </w:pPr>
          </w:p>
        </w:tc>
        <w:tc>
          <w:tcPr>
            <w:tcW w:w="8880" w:type="dxa"/>
            <w:vAlign w:val="bottom"/>
          </w:tcPr>
          <w:p>
            <w:pPr>
              <w:spacing w:after="0"/>
              <w:rPr>
                <w:sz w:val="18"/>
                <w:szCs w:val="18"/>
                <w:color w:val="auto"/>
              </w:rPr>
            </w:pPr>
          </w:p>
        </w:tc>
        <w:tc>
          <w:tcPr>
            <w:tcW w:w="2060" w:type="dxa"/>
            <w:vAlign w:val="bottom"/>
          </w:tcPr>
          <w:p>
            <w:pPr>
              <w:spacing w:after="0"/>
              <w:rPr>
                <w:sz w:val="18"/>
                <w:szCs w:val="18"/>
                <w:color w:val="auto"/>
              </w:rPr>
            </w:pPr>
          </w:p>
        </w:tc>
      </w:tr>
      <w:tr>
        <w:trPr>
          <w:trHeight w:val="216"/>
        </w:trPr>
        <w:tc>
          <w:tcPr>
            <w:tcW w:w="300" w:type="dxa"/>
            <w:vAlign w:val="bottom"/>
            <w:shd w:val="clear" w:color="auto" w:fill="CCEEFF"/>
          </w:tcPr>
          <w:p>
            <w:pPr>
              <w:spacing w:after="0"/>
              <w:rPr>
                <w:sz w:val="18"/>
                <w:szCs w:val="18"/>
                <w:color w:val="auto"/>
              </w:rPr>
            </w:pPr>
          </w:p>
        </w:tc>
        <w:tc>
          <w:tcPr>
            <w:tcW w:w="88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Condensed Consolidated Balance Sheets</w:t>
            </w:r>
          </w:p>
        </w:tc>
        <w:tc>
          <w:tcPr>
            <w:tcW w:w="2060" w:type="dxa"/>
            <w:vAlign w:val="bottom"/>
            <w:shd w:val="clear" w:color="auto" w:fill="CCEEFF"/>
          </w:tcPr>
          <w:p>
            <w:pPr>
              <w:ind w:left="1600"/>
              <w:spacing w:after="0"/>
              <w:rPr>
                <w:sz w:val="20"/>
                <w:szCs w:val="20"/>
                <w:color w:val="auto"/>
              </w:rPr>
            </w:pPr>
            <w:r>
              <w:rPr>
                <w:rFonts w:ascii="Arial" w:cs="Arial" w:eastAsia="Arial" w:hAnsi="Arial"/>
                <w:sz w:val="18"/>
                <w:szCs w:val="18"/>
                <w:color w:val="auto"/>
              </w:rPr>
              <w:t>5</w:t>
            </w:r>
          </w:p>
        </w:tc>
      </w:tr>
      <w:tr>
        <w:trPr>
          <w:trHeight w:val="216"/>
        </w:trPr>
        <w:tc>
          <w:tcPr>
            <w:tcW w:w="300" w:type="dxa"/>
            <w:vAlign w:val="bottom"/>
          </w:tcPr>
          <w:p>
            <w:pPr>
              <w:spacing w:after="0"/>
              <w:rPr>
                <w:sz w:val="18"/>
                <w:szCs w:val="18"/>
                <w:color w:val="auto"/>
              </w:rPr>
            </w:pPr>
          </w:p>
        </w:tc>
        <w:tc>
          <w:tcPr>
            <w:tcW w:w="8880" w:type="dxa"/>
            <w:vAlign w:val="bottom"/>
          </w:tcPr>
          <w:p>
            <w:pPr>
              <w:spacing w:after="0"/>
              <w:rPr>
                <w:sz w:val="18"/>
                <w:szCs w:val="18"/>
                <w:color w:val="auto"/>
              </w:rPr>
            </w:pPr>
          </w:p>
        </w:tc>
        <w:tc>
          <w:tcPr>
            <w:tcW w:w="2060" w:type="dxa"/>
            <w:vAlign w:val="bottom"/>
          </w:tcPr>
          <w:p>
            <w:pPr>
              <w:spacing w:after="0"/>
              <w:rPr>
                <w:sz w:val="18"/>
                <w:szCs w:val="18"/>
                <w:color w:val="auto"/>
              </w:rPr>
            </w:pPr>
          </w:p>
        </w:tc>
      </w:tr>
      <w:tr>
        <w:trPr>
          <w:trHeight w:val="216"/>
        </w:trPr>
        <w:tc>
          <w:tcPr>
            <w:tcW w:w="300" w:type="dxa"/>
            <w:vAlign w:val="bottom"/>
            <w:shd w:val="clear" w:color="auto" w:fill="CCEEFF"/>
          </w:tcPr>
          <w:p>
            <w:pPr>
              <w:spacing w:after="0"/>
              <w:rPr>
                <w:sz w:val="18"/>
                <w:szCs w:val="18"/>
                <w:color w:val="auto"/>
              </w:rPr>
            </w:pPr>
          </w:p>
        </w:tc>
        <w:tc>
          <w:tcPr>
            <w:tcW w:w="88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Condensed Consolidated Statements of Cash Flows</w:t>
            </w:r>
          </w:p>
        </w:tc>
        <w:tc>
          <w:tcPr>
            <w:tcW w:w="2060" w:type="dxa"/>
            <w:vAlign w:val="bottom"/>
            <w:shd w:val="clear" w:color="auto" w:fill="CCEEFF"/>
          </w:tcPr>
          <w:p>
            <w:pPr>
              <w:ind w:left="1600"/>
              <w:spacing w:after="0"/>
              <w:rPr>
                <w:sz w:val="20"/>
                <w:szCs w:val="20"/>
                <w:color w:val="auto"/>
              </w:rPr>
            </w:pPr>
            <w:r>
              <w:rPr>
                <w:rFonts w:ascii="Arial" w:cs="Arial" w:eastAsia="Arial" w:hAnsi="Arial"/>
                <w:sz w:val="18"/>
                <w:szCs w:val="18"/>
                <w:color w:val="auto"/>
              </w:rPr>
              <w:t>6</w:t>
            </w:r>
          </w:p>
        </w:tc>
      </w:tr>
      <w:tr>
        <w:trPr>
          <w:trHeight w:val="216"/>
        </w:trPr>
        <w:tc>
          <w:tcPr>
            <w:tcW w:w="300" w:type="dxa"/>
            <w:vAlign w:val="bottom"/>
          </w:tcPr>
          <w:p>
            <w:pPr>
              <w:spacing w:after="0"/>
              <w:rPr>
                <w:sz w:val="18"/>
                <w:szCs w:val="18"/>
                <w:color w:val="auto"/>
              </w:rPr>
            </w:pPr>
          </w:p>
        </w:tc>
        <w:tc>
          <w:tcPr>
            <w:tcW w:w="8880" w:type="dxa"/>
            <w:vAlign w:val="bottom"/>
          </w:tcPr>
          <w:p>
            <w:pPr>
              <w:spacing w:after="0"/>
              <w:rPr>
                <w:sz w:val="18"/>
                <w:szCs w:val="18"/>
                <w:color w:val="auto"/>
              </w:rPr>
            </w:pPr>
          </w:p>
        </w:tc>
        <w:tc>
          <w:tcPr>
            <w:tcW w:w="2060" w:type="dxa"/>
            <w:vAlign w:val="bottom"/>
          </w:tcPr>
          <w:p>
            <w:pPr>
              <w:spacing w:after="0"/>
              <w:rPr>
                <w:sz w:val="18"/>
                <w:szCs w:val="18"/>
                <w:color w:val="auto"/>
              </w:rPr>
            </w:pPr>
          </w:p>
        </w:tc>
      </w:tr>
      <w:tr>
        <w:trPr>
          <w:trHeight w:val="216"/>
        </w:trPr>
        <w:tc>
          <w:tcPr>
            <w:tcW w:w="300" w:type="dxa"/>
            <w:vAlign w:val="bottom"/>
            <w:shd w:val="clear" w:color="auto" w:fill="CCEEFF"/>
          </w:tcPr>
          <w:p>
            <w:pPr>
              <w:spacing w:after="0"/>
              <w:rPr>
                <w:sz w:val="18"/>
                <w:szCs w:val="18"/>
                <w:color w:val="auto"/>
              </w:rPr>
            </w:pPr>
          </w:p>
        </w:tc>
        <w:tc>
          <w:tcPr>
            <w:tcW w:w="88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Notes to Condensed Consolidated Financial Statements</w:t>
            </w:r>
          </w:p>
        </w:tc>
        <w:tc>
          <w:tcPr>
            <w:tcW w:w="2060" w:type="dxa"/>
            <w:vAlign w:val="bottom"/>
            <w:shd w:val="clear" w:color="auto" w:fill="CCEEFF"/>
          </w:tcPr>
          <w:p>
            <w:pPr>
              <w:ind w:left="1600"/>
              <w:spacing w:after="0"/>
              <w:rPr>
                <w:sz w:val="20"/>
                <w:szCs w:val="20"/>
                <w:color w:val="auto"/>
              </w:rPr>
            </w:pPr>
            <w:r>
              <w:rPr>
                <w:rFonts w:ascii="Arial" w:cs="Arial" w:eastAsia="Arial" w:hAnsi="Arial"/>
                <w:sz w:val="18"/>
                <w:szCs w:val="18"/>
                <w:color w:val="auto"/>
              </w:rPr>
              <w:t>7</w:t>
            </w:r>
          </w:p>
        </w:tc>
      </w:tr>
      <w:tr>
        <w:trPr>
          <w:trHeight w:val="216"/>
        </w:trPr>
        <w:tc>
          <w:tcPr>
            <w:tcW w:w="300" w:type="dxa"/>
            <w:vAlign w:val="bottom"/>
          </w:tcPr>
          <w:p>
            <w:pPr>
              <w:spacing w:after="0"/>
              <w:rPr>
                <w:sz w:val="18"/>
                <w:szCs w:val="18"/>
                <w:color w:val="auto"/>
              </w:rPr>
            </w:pPr>
          </w:p>
        </w:tc>
        <w:tc>
          <w:tcPr>
            <w:tcW w:w="8880" w:type="dxa"/>
            <w:vAlign w:val="bottom"/>
          </w:tcPr>
          <w:p>
            <w:pPr>
              <w:spacing w:after="0"/>
              <w:rPr>
                <w:sz w:val="18"/>
                <w:szCs w:val="18"/>
                <w:color w:val="auto"/>
              </w:rPr>
            </w:pPr>
          </w:p>
        </w:tc>
        <w:tc>
          <w:tcPr>
            <w:tcW w:w="2060" w:type="dxa"/>
            <w:vAlign w:val="bottom"/>
          </w:tcPr>
          <w:p>
            <w:pPr>
              <w:spacing w:after="0"/>
              <w:rPr>
                <w:sz w:val="18"/>
                <w:szCs w:val="18"/>
                <w:color w:val="auto"/>
              </w:rPr>
            </w:pPr>
          </w:p>
        </w:tc>
      </w:tr>
      <w:tr>
        <w:trPr>
          <w:trHeight w:val="216"/>
        </w:trPr>
        <w:tc>
          <w:tcPr>
            <w:tcW w:w="3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2.</w:t>
            </w:r>
          </w:p>
        </w:tc>
        <w:tc>
          <w:tcPr>
            <w:tcW w:w="88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Management's Discussion and Analysis of Financial Condition and Results of Operations</w:t>
            </w:r>
          </w:p>
        </w:tc>
        <w:tc>
          <w:tcPr>
            <w:tcW w:w="2060" w:type="dxa"/>
            <w:vAlign w:val="bottom"/>
            <w:shd w:val="clear" w:color="auto" w:fill="CCEEFF"/>
          </w:tcPr>
          <w:p>
            <w:pPr>
              <w:ind w:left="1600"/>
              <w:spacing w:after="0"/>
              <w:rPr>
                <w:sz w:val="20"/>
                <w:szCs w:val="20"/>
                <w:color w:val="auto"/>
              </w:rPr>
            </w:pPr>
            <w:r>
              <w:rPr>
                <w:rFonts w:ascii="Arial" w:cs="Arial" w:eastAsia="Arial" w:hAnsi="Arial"/>
                <w:sz w:val="18"/>
                <w:szCs w:val="18"/>
                <w:color w:val="auto"/>
              </w:rPr>
              <w:t>23</w:t>
            </w:r>
          </w:p>
        </w:tc>
      </w:tr>
      <w:tr>
        <w:trPr>
          <w:trHeight w:val="216"/>
        </w:trPr>
        <w:tc>
          <w:tcPr>
            <w:tcW w:w="300" w:type="dxa"/>
            <w:vAlign w:val="bottom"/>
          </w:tcPr>
          <w:p>
            <w:pPr>
              <w:spacing w:after="0"/>
              <w:rPr>
                <w:sz w:val="18"/>
                <w:szCs w:val="18"/>
                <w:color w:val="auto"/>
              </w:rPr>
            </w:pPr>
          </w:p>
        </w:tc>
        <w:tc>
          <w:tcPr>
            <w:tcW w:w="8880" w:type="dxa"/>
            <w:vAlign w:val="bottom"/>
          </w:tcPr>
          <w:p>
            <w:pPr>
              <w:spacing w:after="0"/>
              <w:rPr>
                <w:sz w:val="18"/>
                <w:szCs w:val="18"/>
                <w:color w:val="auto"/>
              </w:rPr>
            </w:pPr>
          </w:p>
        </w:tc>
        <w:tc>
          <w:tcPr>
            <w:tcW w:w="2060" w:type="dxa"/>
            <w:vAlign w:val="bottom"/>
          </w:tcPr>
          <w:p>
            <w:pPr>
              <w:spacing w:after="0"/>
              <w:rPr>
                <w:sz w:val="18"/>
                <w:szCs w:val="18"/>
                <w:color w:val="auto"/>
              </w:rPr>
            </w:pPr>
          </w:p>
        </w:tc>
      </w:tr>
      <w:tr>
        <w:trPr>
          <w:trHeight w:val="216"/>
        </w:trPr>
        <w:tc>
          <w:tcPr>
            <w:tcW w:w="3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3.</w:t>
            </w:r>
          </w:p>
        </w:tc>
        <w:tc>
          <w:tcPr>
            <w:tcW w:w="88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Quantitative and Qualitative Disclosures About Market Risk</w:t>
            </w:r>
          </w:p>
        </w:tc>
        <w:tc>
          <w:tcPr>
            <w:tcW w:w="2060" w:type="dxa"/>
            <w:vAlign w:val="bottom"/>
            <w:shd w:val="clear" w:color="auto" w:fill="CCEEFF"/>
          </w:tcPr>
          <w:p>
            <w:pPr>
              <w:ind w:left="1600"/>
              <w:spacing w:after="0"/>
              <w:rPr>
                <w:sz w:val="20"/>
                <w:szCs w:val="20"/>
                <w:color w:val="auto"/>
              </w:rPr>
            </w:pPr>
            <w:r>
              <w:rPr>
                <w:rFonts w:ascii="Arial" w:cs="Arial" w:eastAsia="Arial" w:hAnsi="Arial"/>
                <w:sz w:val="18"/>
                <w:szCs w:val="18"/>
                <w:color w:val="auto"/>
              </w:rPr>
              <w:t>35</w:t>
            </w:r>
          </w:p>
        </w:tc>
      </w:tr>
      <w:tr>
        <w:trPr>
          <w:trHeight w:val="216"/>
        </w:trPr>
        <w:tc>
          <w:tcPr>
            <w:tcW w:w="300" w:type="dxa"/>
            <w:vAlign w:val="bottom"/>
          </w:tcPr>
          <w:p>
            <w:pPr>
              <w:spacing w:after="0"/>
              <w:rPr>
                <w:sz w:val="18"/>
                <w:szCs w:val="18"/>
                <w:color w:val="auto"/>
              </w:rPr>
            </w:pPr>
          </w:p>
        </w:tc>
        <w:tc>
          <w:tcPr>
            <w:tcW w:w="8880" w:type="dxa"/>
            <w:vAlign w:val="bottom"/>
          </w:tcPr>
          <w:p>
            <w:pPr>
              <w:spacing w:after="0"/>
              <w:rPr>
                <w:sz w:val="18"/>
                <w:szCs w:val="18"/>
                <w:color w:val="auto"/>
              </w:rPr>
            </w:pPr>
          </w:p>
        </w:tc>
        <w:tc>
          <w:tcPr>
            <w:tcW w:w="2060" w:type="dxa"/>
            <w:vAlign w:val="bottom"/>
          </w:tcPr>
          <w:p>
            <w:pPr>
              <w:spacing w:after="0"/>
              <w:rPr>
                <w:sz w:val="18"/>
                <w:szCs w:val="18"/>
                <w:color w:val="auto"/>
              </w:rPr>
            </w:pPr>
          </w:p>
        </w:tc>
      </w:tr>
      <w:tr>
        <w:trPr>
          <w:trHeight w:val="216"/>
        </w:trPr>
        <w:tc>
          <w:tcPr>
            <w:tcW w:w="3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4.</w:t>
            </w:r>
          </w:p>
        </w:tc>
        <w:tc>
          <w:tcPr>
            <w:tcW w:w="88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Controls and Procedures</w:t>
            </w:r>
          </w:p>
        </w:tc>
        <w:tc>
          <w:tcPr>
            <w:tcW w:w="2060" w:type="dxa"/>
            <w:vAlign w:val="bottom"/>
            <w:shd w:val="clear" w:color="auto" w:fill="CCEEFF"/>
          </w:tcPr>
          <w:p>
            <w:pPr>
              <w:ind w:left="1600"/>
              <w:spacing w:after="0"/>
              <w:rPr>
                <w:sz w:val="20"/>
                <w:szCs w:val="20"/>
                <w:color w:val="auto"/>
              </w:rPr>
            </w:pPr>
            <w:r>
              <w:rPr>
                <w:rFonts w:ascii="Arial" w:cs="Arial" w:eastAsia="Arial" w:hAnsi="Arial"/>
                <w:sz w:val="18"/>
                <w:szCs w:val="18"/>
                <w:color w:val="auto"/>
              </w:rPr>
              <w:t>35</w:t>
            </w:r>
          </w:p>
        </w:tc>
      </w:tr>
      <w:tr>
        <w:trPr>
          <w:trHeight w:val="216"/>
        </w:trPr>
        <w:tc>
          <w:tcPr>
            <w:tcW w:w="300" w:type="dxa"/>
            <w:vAlign w:val="bottom"/>
          </w:tcPr>
          <w:p>
            <w:pPr>
              <w:spacing w:after="0"/>
              <w:rPr>
                <w:sz w:val="18"/>
                <w:szCs w:val="18"/>
                <w:color w:val="auto"/>
              </w:rPr>
            </w:pPr>
          </w:p>
        </w:tc>
        <w:tc>
          <w:tcPr>
            <w:tcW w:w="8880" w:type="dxa"/>
            <w:vAlign w:val="bottom"/>
          </w:tcPr>
          <w:p>
            <w:pPr>
              <w:spacing w:after="0"/>
              <w:rPr>
                <w:sz w:val="18"/>
                <w:szCs w:val="18"/>
                <w:color w:val="auto"/>
              </w:rPr>
            </w:pPr>
          </w:p>
        </w:tc>
        <w:tc>
          <w:tcPr>
            <w:tcW w:w="2060" w:type="dxa"/>
            <w:vAlign w:val="bottom"/>
          </w:tcPr>
          <w:p>
            <w:pPr>
              <w:spacing w:after="0"/>
              <w:rPr>
                <w:sz w:val="18"/>
                <w:szCs w:val="18"/>
                <w:color w:val="auto"/>
              </w:rPr>
            </w:pPr>
          </w:p>
        </w:tc>
      </w:tr>
      <w:tr>
        <w:trPr>
          <w:trHeight w:val="216"/>
        </w:trPr>
        <w:tc>
          <w:tcPr>
            <w:tcW w:w="300" w:type="dxa"/>
            <w:vAlign w:val="bottom"/>
            <w:shd w:val="clear" w:color="auto" w:fill="CCEEFF"/>
          </w:tcPr>
          <w:p>
            <w:pPr>
              <w:spacing w:after="0"/>
              <w:rPr>
                <w:sz w:val="18"/>
                <w:szCs w:val="18"/>
                <w:color w:val="auto"/>
              </w:rPr>
            </w:pPr>
          </w:p>
        </w:tc>
        <w:tc>
          <w:tcPr>
            <w:tcW w:w="8880" w:type="dxa"/>
            <w:vAlign w:val="bottom"/>
            <w:shd w:val="clear" w:color="auto" w:fill="CCEEFF"/>
          </w:tcPr>
          <w:p>
            <w:pPr>
              <w:ind w:left="4000"/>
              <w:spacing w:after="0"/>
              <w:rPr>
                <w:sz w:val="20"/>
                <w:szCs w:val="20"/>
                <w:color w:val="auto"/>
              </w:rPr>
            </w:pPr>
            <w:r>
              <w:rPr>
                <w:rFonts w:ascii="Arial" w:cs="Arial" w:eastAsia="Arial" w:hAnsi="Arial"/>
                <w:sz w:val="18"/>
                <w:szCs w:val="18"/>
                <w:color w:val="auto"/>
              </w:rPr>
              <w:t>PART II - OTHER INFORMATION</w:t>
            </w:r>
          </w:p>
        </w:tc>
        <w:tc>
          <w:tcPr>
            <w:tcW w:w="2060" w:type="dxa"/>
            <w:vAlign w:val="bottom"/>
            <w:shd w:val="clear" w:color="auto" w:fill="CCEEFF"/>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8880" w:type="dxa"/>
            <w:vAlign w:val="bottom"/>
          </w:tcPr>
          <w:p>
            <w:pPr>
              <w:spacing w:after="0"/>
              <w:rPr>
                <w:sz w:val="18"/>
                <w:szCs w:val="18"/>
                <w:color w:val="auto"/>
              </w:rPr>
            </w:pPr>
          </w:p>
        </w:tc>
        <w:tc>
          <w:tcPr>
            <w:tcW w:w="2060" w:type="dxa"/>
            <w:vAlign w:val="bottom"/>
          </w:tcPr>
          <w:p>
            <w:pPr>
              <w:spacing w:after="0"/>
              <w:rPr>
                <w:sz w:val="18"/>
                <w:szCs w:val="18"/>
                <w:color w:val="auto"/>
              </w:rPr>
            </w:pPr>
          </w:p>
        </w:tc>
      </w:tr>
      <w:tr>
        <w:trPr>
          <w:trHeight w:val="216"/>
        </w:trPr>
        <w:tc>
          <w:tcPr>
            <w:tcW w:w="3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1.</w:t>
            </w:r>
          </w:p>
        </w:tc>
        <w:tc>
          <w:tcPr>
            <w:tcW w:w="88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Legal Proceedings</w:t>
            </w:r>
          </w:p>
        </w:tc>
        <w:tc>
          <w:tcPr>
            <w:tcW w:w="2060" w:type="dxa"/>
            <w:vAlign w:val="bottom"/>
            <w:shd w:val="clear" w:color="auto" w:fill="CCEEFF"/>
          </w:tcPr>
          <w:p>
            <w:pPr>
              <w:ind w:left="1600"/>
              <w:spacing w:after="0"/>
              <w:rPr>
                <w:sz w:val="20"/>
                <w:szCs w:val="20"/>
                <w:color w:val="auto"/>
              </w:rPr>
            </w:pPr>
            <w:r>
              <w:rPr>
                <w:rFonts w:ascii="Arial" w:cs="Arial" w:eastAsia="Arial" w:hAnsi="Arial"/>
                <w:sz w:val="18"/>
                <w:szCs w:val="18"/>
                <w:color w:val="auto"/>
              </w:rPr>
              <w:t>36</w:t>
            </w:r>
          </w:p>
        </w:tc>
      </w:tr>
      <w:tr>
        <w:trPr>
          <w:trHeight w:val="216"/>
        </w:trPr>
        <w:tc>
          <w:tcPr>
            <w:tcW w:w="300" w:type="dxa"/>
            <w:vAlign w:val="bottom"/>
          </w:tcPr>
          <w:p>
            <w:pPr>
              <w:spacing w:after="0"/>
              <w:rPr>
                <w:sz w:val="18"/>
                <w:szCs w:val="18"/>
                <w:color w:val="auto"/>
              </w:rPr>
            </w:pPr>
          </w:p>
        </w:tc>
        <w:tc>
          <w:tcPr>
            <w:tcW w:w="8880" w:type="dxa"/>
            <w:vAlign w:val="bottom"/>
          </w:tcPr>
          <w:p>
            <w:pPr>
              <w:spacing w:after="0"/>
              <w:rPr>
                <w:sz w:val="18"/>
                <w:szCs w:val="18"/>
                <w:color w:val="auto"/>
              </w:rPr>
            </w:pPr>
          </w:p>
        </w:tc>
        <w:tc>
          <w:tcPr>
            <w:tcW w:w="2060" w:type="dxa"/>
            <w:vAlign w:val="bottom"/>
          </w:tcPr>
          <w:p>
            <w:pPr>
              <w:spacing w:after="0"/>
              <w:rPr>
                <w:sz w:val="18"/>
                <w:szCs w:val="18"/>
                <w:color w:val="auto"/>
              </w:rPr>
            </w:pPr>
          </w:p>
        </w:tc>
      </w:tr>
      <w:tr>
        <w:trPr>
          <w:trHeight w:val="216"/>
        </w:trPr>
        <w:tc>
          <w:tcPr>
            <w:tcW w:w="3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2.</w:t>
            </w:r>
          </w:p>
        </w:tc>
        <w:tc>
          <w:tcPr>
            <w:tcW w:w="88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Unregistered Sales of Equity Securities, Use of Proceeds and Issuer Purchases of Equity Securities</w:t>
            </w:r>
          </w:p>
        </w:tc>
        <w:tc>
          <w:tcPr>
            <w:tcW w:w="2060" w:type="dxa"/>
            <w:vAlign w:val="bottom"/>
            <w:shd w:val="clear" w:color="auto" w:fill="CCEEFF"/>
          </w:tcPr>
          <w:p>
            <w:pPr>
              <w:ind w:left="1600"/>
              <w:spacing w:after="0"/>
              <w:rPr>
                <w:sz w:val="20"/>
                <w:szCs w:val="20"/>
                <w:color w:val="auto"/>
              </w:rPr>
            </w:pPr>
            <w:r>
              <w:rPr>
                <w:rFonts w:ascii="Arial" w:cs="Arial" w:eastAsia="Arial" w:hAnsi="Arial"/>
                <w:sz w:val="18"/>
                <w:szCs w:val="18"/>
                <w:color w:val="auto"/>
              </w:rPr>
              <w:t>36</w:t>
            </w:r>
          </w:p>
        </w:tc>
      </w:tr>
      <w:tr>
        <w:trPr>
          <w:trHeight w:val="216"/>
        </w:trPr>
        <w:tc>
          <w:tcPr>
            <w:tcW w:w="300" w:type="dxa"/>
            <w:vAlign w:val="bottom"/>
          </w:tcPr>
          <w:p>
            <w:pPr>
              <w:spacing w:after="0"/>
              <w:rPr>
                <w:sz w:val="18"/>
                <w:szCs w:val="18"/>
                <w:color w:val="auto"/>
              </w:rPr>
            </w:pPr>
          </w:p>
        </w:tc>
        <w:tc>
          <w:tcPr>
            <w:tcW w:w="8880" w:type="dxa"/>
            <w:vAlign w:val="bottom"/>
          </w:tcPr>
          <w:p>
            <w:pPr>
              <w:spacing w:after="0"/>
              <w:rPr>
                <w:sz w:val="18"/>
                <w:szCs w:val="18"/>
                <w:color w:val="auto"/>
              </w:rPr>
            </w:pPr>
          </w:p>
        </w:tc>
        <w:tc>
          <w:tcPr>
            <w:tcW w:w="2060" w:type="dxa"/>
            <w:vAlign w:val="bottom"/>
          </w:tcPr>
          <w:p>
            <w:pPr>
              <w:spacing w:after="0"/>
              <w:rPr>
                <w:sz w:val="18"/>
                <w:szCs w:val="18"/>
                <w:color w:val="auto"/>
              </w:rPr>
            </w:pPr>
          </w:p>
        </w:tc>
      </w:tr>
      <w:tr>
        <w:trPr>
          <w:trHeight w:val="216"/>
        </w:trPr>
        <w:tc>
          <w:tcPr>
            <w:tcW w:w="3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3.</w:t>
            </w:r>
          </w:p>
        </w:tc>
        <w:tc>
          <w:tcPr>
            <w:tcW w:w="88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Defaults Upon Senior Securities</w:t>
            </w:r>
          </w:p>
        </w:tc>
        <w:tc>
          <w:tcPr>
            <w:tcW w:w="2060" w:type="dxa"/>
            <w:vAlign w:val="bottom"/>
            <w:shd w:val="clear" w:color="auto" w:fill="CCEEFF"/>
          </w:tcPr>
          <w:p>
            <w:pPr>
              <w:ind w:left="1600"/>
              <w:spacing w:after="0"/>
              <w:rPr>
                <w:sz w:val="20"/>
                <w:szCs w:val="20"/>
                <w:color w:val="auto"/>
              </w:rPr>
            </w:pPr>
            <w:r>
              <w:rPr>
                <w:rFonts w:ascii="Arial" w:cs="Arial" w:eastAsia="Arial" w:hAnsi="Arial"/>
                <w:sz w:val="18"/>
                <w:szCs w:val="18"/>
                <w:color w:val="auto"/>
              </w:rPr>
              <w:t>36</w:t>
            </w:r>
          </w:p>
        </w:tc>
      </w:tr>
      <w:tr>
        <w:trPr>
          <w:trHeight w:val="216"/>
        </w:trPr>
        <w:tc>
          <w:tcPr>
            <w:tcW w:w="300" w:type="dxa"/>
            <w:vAlign w:val="bottom"/>
          </w:tcPr>
          <w:p>
            <w:pPr>
              <w:spacing w:after="0"/>
              <w:rPr>
                <w:sz w:val="18"/>
                <w:szCs w:val="18"/>
                <w:color w:val="auto"/>
              </w:rPr>
            </w:pPr>
          </w:p>
        </w:tc>
        <w:tc>
          <w:tcPr>
            <w:tcW w:w="8880" w:type="dxa"/>
            <w:vAlign w:val="bottom"/>
          </w:tcPr>
          <w:p>
            <w:pPr>
              <w:spacing w:after="0"/>
              <w:rPr>
                <w:sz w:val="18"/>
                <w:szCs w:val="18"/>
                <w:color w:val="auto"/>
              </w:rPr>
            </w:pPr>
          </w:p>
        </w:tc>
        <w:tc>
          <w:tcPr>
            <w:tcW w:w="2060" w:type="dxa"/>
            <w:vAlign w:val="bottom"/>
          </w:tcPr>
          <w:p>
            <w:pPr>
              <w:spacing w:after="0"/>
              <w:rPr>
                <w:sz w:val="18"/>
                <w:szCs w:val="18"/>
                <w:color w:val="auto"/>
              </w:rPr>
            </w:pPr>
          </w:p>
        </w:tc>
      </w:tr>
      <w:tr>
        <w:trPr>
          <w:trHeight w:val="216"/>
        </w:trPr>
        <w:tc>
          <w:tcPr>
            <w:tcW w:w="3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6.</w:t>
            </w:r>
          </w:p>
        </w:tc>
        <w:tc>
          <w:tcPr>
            <w:tcW w:w="88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Exhibits</w:t>
            </w:r>
          </w:p>
        </w:tc>
        <w:tc>
          <w:tcPr>
            <w:tcW w:w="2060" w:type="dxa"/>
            <w:vAlign w:val="bottom"/>
            <w:shd w:val="clear" w:color="auto" w:fill="CCEEFF"/>
          </w:tcPr>
          <w:p>
            <w:pPr>
              <w:ind w:left="1600"/>
              <w:spacing w:after="0"/>
              <w:rPr>
                <w:sz w:val="20"/>
                <w:szCs w:val="20"/>
                <w:color w:val="auto"/>
              </w:rPr>
            </w:pPr>
            <w:r>
              <w:rPr>
                <w:rFonts w:ascii="Arial" w:cs="Arial" w:eastAsia="Arial" w:hAnsi="Arial"/>
                <w:sz w:val="18"/>
                <w:szCs w:val="18"/>
                <w:color w:val="auto"/>
              </w:rPr>
              <w:t>36</w:t>
            </w:r>
          </w:p>
        </w:tc>
      </w:tr>
      <w:tr>
        <w:trPr>
          <w:trHeight w:val="432"/>
        </w:trPr>
        <w:tc>
          <w:tcPr>
            <w:tcW w:w="300" w:type="dxa"/>
            <w:vAlign w:val="bottom"/>
          </w:tcPr>
          <w:p>
            <w:pPr>
              <w:spacing w:after="0"/>
              <w:rPr>
                <w:sz w:val="24"/>
                <w:szCs w:val="24"/>
                <w:color w:val="auto"/>
              </w:rPr>
            </w:pPr>
          </w:p>
        </w:tc>
        <w:tc>
          <w:tcPr>
            <w:tcW w:w="8880" w:type="dxa"/>
            <w:vAlign w:val="bottom"/>
          </w:tcPr>
          <w:p>
            <w:pPr>
              <w:ind w:left="5060"/>
              <w:spacing w:after="0"/>
              <w:rPr>
                <w:sz w:val="20"/>
                <w:szCs w:val="20"/>
                <w:color w:val="auto"/>
              </w:rPr>
            </w:pPr>
            <w:r>
              <w:rPr>
                <w:rFonts w:ascii="Arial" w:cs="Arial" w:eastAsia="Arial" w:hAnsi="Arial"/>
                <w:sz w:val="18"/>
                <w:szCs w:val="18"/>
                <w:color w:val="auto"/>
              </w:rPr>
              <w:t>2 of 38</w:t>
            </w:r>
          </w:p>
        </w:tc>
        <w:tc>
          <w:tcPr>
            <w:tcW w:w="2060" w:type="dxa"/>
            <w:vAlign w:val="bottom"/>
          </w:tcPr>
          <w:p>
            <w:pPr>
              <w:spacing w:after="0"/>
              <w:rPr>
                <w:sz w:val="24"/>
                <w:szCs w:val="24"/>
                <w:color w:val="auto"/>
              </w:rPr>
            </w:pPr>
          </w:p>
        </w:tc>
      </w:tr>
      <w:tr>
        <w:trPr>
          <w:trHeight w:val="115"/>
        </w:trPr>
        <w:tc>
          <w:tcPr>
            <w:tcW w:w="300" w:type="dxa"/>
            <w:vAlign w:val="bottom"/>
            <w:tcBorders>
              <w:bottom w:val="single" w:sz="8" w:color="auto"/>
            </w:tcBorders>
          </w:tcPr>
          <w:p>
            <w:pPr>
              <w:spacing w:after="0"/>
              <w:rPr>
                <w:sz w:val="10"/>
                <w:szCs w:val="10"/>
                <w:color w:val="auto"/>
              </w:rPr>
            </w:pPr>
          </w:p>
        </w:tc>
        <w:tc>
          <w:tcPr>
            <w:tcW w:w="8880" w:type="dxa"/>
            <w:vAlign w:val="bottom"/>
            <w:tcBorders>
              <w:bottom w:val="single" w:sz="8" w:color="auto"/>
            </w:tcBorders>
          </w:tcPr>
          <w:p>
            <w:pPr>
              <w:spacing w:after="0"/>
              <w:rPr>
                <w:sz w:val="10"/>
                <w:szCs w:val="10"/>
                <w:color w:val="auto"/>
              </w:rPr>
            </w:pPr>
          </w:p>
        </w:tc>
        <w:tc>
          <w:tcPr>
            <w:tcW w:w="206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827"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u w:val="single" w:color="auto"/>
          <w:color w:val="auto"/>
        </w:rPr>
        <w:t>PART I - FINANCIAL INFORMATION</w:t>
      </w:r>
    </w:p>
    <w:p>
      <w:pPr>
        <w:spacing w:after="0" w:line="225" w:lineRule="exact"/>
        <w:rPr>
          <w:sz w:val="20"/>
          <w:szCs w:val="20"/>
          <w:color w:val="auto"/>
        </w:rPr>
      </w:pPr>
    </w:p>
    <w:p>
      <w:pPr>
        <w:ind w:left="4260"/>
        <w:spacing w:after="0"/>
        <w:rPr>
          <w:sz w:val="20"/>
          <w:szCs w:val="20"/>
          <w:color w:val="auto"/>
        </w:rPr>
      </w:pPr>
      <w:r>
        <w:rPr>
          <w:rFonts w:ascii="Arial" w:cs="Arial" w:eastAsia="Arial" w:hAnsi="Arial"/>
          <w:sz w:val="18"/>
          <w:szCs w:val="18"/>
          <w:u w:val="single" w:color="auto"/>
          <w:color w:val="auto"/>
        </w:rPr>
        <w:t>ITEM 1. FINANCIAL STATEMENTS</w:t>
      </w:r>
    </w:p>
    <w:p>
      <w:pPr>
        <w:spacing w:after="0" w:line="23" w:lineRule="exact"/>
        <w:rPr>
          <w:sz w:val="20"/>
          <w:szCs w:val="20"/>
          <w:color w:val="auto"/>
        </w:rPr>
      </w:pPr>
    </w:p>
    <w:p>
      <w:pPr>
        <w:ind w:left="2820"/>
        <w:spacing w:after="0"/>
        <w:rPr>
          <w:sz w:val="20"/>
          <w:szCs w:val="20"/>
          <w:color w:val="auto"/>
        </w:rPr>
      </w:pPr>
      <w:r>
        <w:rPr>
          <w:rFonts w:ascii="Arial" w:cs="Arial" w:eastAsia="Arial" w:hAnsi="Arial"/>
          <w:sz w:val="18"/>
          <w:szCs w:val="18"/>
          <w:u w:val="single" w:color="auto"/>
          <w:color w:val="auto"/>
        </w:rPr>
        <w:t>BASSETT FURNITURE INDUSTRIES, INCORPORATED AND SUBSIDIARIES</w:t>
      </w:r>
    </w:p>
    <w:p>
      <w:pPr>
        <w:spacing w:after="0" w:line="9" w:lineRule="exact"/>
        <w:rPr>
          <w:sz w:val="20"/>
          <w:szCs w:val="20"/>
          <w:color w:val="auto"/>
        </w:rPr>
      </w:pPr>
    </w:p>
    <w:p>
      <w:pPr>
        <w:ind w:left="3320"/>
        <w:spacing w:after="0"/>
        <w:rPr>
          <w:sz w:val="20"/>
          <w:szCs w:val="20"/>
          <w:color w:val="auto"/>
        </w:rPr>
      </w:pPr>
      <w:r>
        <w:rPr>
          <w:rFonts w:ascii="Arial" w:cs="Arial" w:eastAsia="Arial" w:hAnsi="Arial"/>
          <w:sz w:val="18"/>
          <w:szCs w:val="18"/>
          <w:u w:val="single" w:color="auto"/>
          <w:color w:val="auto"/>
        </w:rPr>
        <w:t>CONDENSED CONSOLIDATED STATEMENTS OF OPERATIONS</w:t>
      </w:r>
    </w:p>
    <w:p>
      <w:pPr>
        <w:spacing w:after="0" w:line="9" w:lineRule="exact"/>
        <w:rPr>
          <w:sz w:val="20"/>
          <w:szCs w:val="20"/>
          <w:color w:val="auto"/>
        </w:rPr>
      </w:pPr>
    </w:p>
    <w:p>
      <w:pPr>
        <w:ind w:left="2480"/>
        <w:spacing w:after="0"/>
        <w:rPr>
          <w:sz w:val="20"/>
          <w:szCs w:val="20"/>
          <w:color w:val="auto"/>
        </w:rPr>
      </w:pPr>
      <w:r>
        <w:rPr>
          <w:rFonts w:ascii="Arial" w:cs="Arial" w:eastAsia="Arial" w:hAnsi="Arial"/>
          <w:sz w:val="18"/>
          <w:szCs w:val="18"/>
          <w:u w:val="single" w:color="auto"/>
          <w:color w:val="auto"/>
        </w:rPr>
        <w:t>FOR THE PERIODS ENDED AUGUST 26, 2023 AND AUGUST 27, 2022 – UNAUDITED</w:t>
      </w:r>
    </w:p>
    <w:p>
      <w:pPr>
        <w:spacing w:after="0" w:line="9"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(In thousands except per share data)</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8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gridSpan w:val="4"/>
          </w:tcPr>
          <w:p>
            <w:pPr>
              <w:jc w:val="right"/>
              <w:ind w:right="70"/>
              <w:spacing w:after="0"/>
              <w:rPr>
                <w:sz w:val="20"/>
                <w:szCs w:val="20"/>
                <w:color w:val="auto"/>
              </w:rPr>
            </w:pPr>
            <w:r>
              <w:rPr>
                <w:rFonts w:ascii="Arial" w:cs="Arial" w:eastAsia="Arial" w:hAnsi="Arial"/>
                <w:sz w:val="18"/>
                <w:szCs w:val="18"/>
                <w:b w:val="1"/>
                <w:bCs w:val="1"/>
                <w:color w:val="auto"/>
              </w:rPr>
              <w:t>Quarter Ended</w:t>
            </w:r>
          </w:p>
        </w:tc>
        <w:tc>
          <w:tcPr>
            <w:tcW w:w="72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Nine Months Ended</w:t>
            </w:r>
          </w:p>
        </w:tc>
        <w:tc>
          <w:tcPr>
            <w:tcW w:w="6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426"/>
        </w:trPr>
        <w:tc>
          <w:tcPr>
            <w:tcW w:w="5080" w:type="dxa"/>
            <w:vAlign w:val="bottom"/>
          </w:tcPr>
          <w:p>
            <w:pPr>
              <w:spacing w:after="0"/>
              <w:rPr>
                <w:sz w:val="24"/>
                <w:szCs w:val="24"/>
                <w:color w:val="auto"/>
              </w:rPr>
            </w:pPr>
          </w:p>
        </w:tc>
        <w:tc>
          <w:tcPr>
            <w:tcW w:w="1520" w:type="dxa"/>
            <w:vAlign w:val="bottom"/>
            <w:gridSpan w:val="3"/>
          </w:tcPr>
          <w:p>
            <w:pPr>
              <w:jc w:val="right"/>
              <w:ind w:right="220"/>
              <w:spacing w:after="0"/>
              <w:rPr>
                <w:sz w:val="20"/>
                <w:szCs w:val="20"/>
                <w:color w:val="auto"/>
              </w:rPr>
            </w:pPr>
            <w:r>
              <w:rPr>
                <w:rFonts w:ascii="Arial" w:cs="Arial" w:eastAsia="Arial" w:hAnsi="Arial"/>
                <w:sz w:val="18"/>
                <w:szCs w:val="18"/>
                <w:b w:val="1"/>
                <w:bCs w:val="1"/>
                <w:color w:val="auto"/>
                <w:w w:val="93"/>
              </w:rPr>
              <w:t>August 26, 2023</w:t>
            </w:r>
          </w:p>
        </w:tc>
        <w:tc>
          <w:tcPr>
            <w:tcW w:w="100" w:type="dxa"/>
            <w:vAlign w:val="bottom"/>
          </w:tcPr>
          <w:p>
            <w:pPr>
              <w:spacing w:after="0"/>
              <w:rPr>
                <w:sz w:val="24"/>
                <w:szCs w:val="24"/>
                <w:color w:val="auto"/>
              </w:rPr>
            </w:pPr>
          </w:p>
        </w:tc>
        <w:tc>
          <w:tcPr>
            <w:tcW w:w="1540" w:type="dxa"/>
            <w:vAlign w:val="bottom"/>
            <w:gridSpan w:val="3"/>
          </w:tcPr>
          <w:p>
            <w:pPr>
              <w:jc w:val="right"/>
              <w:ind w:right="260"/>
              <w:spacing w:after="0"/>
              <w:rPr>
                <w:sz w:val="20"/>
                <w:szCs w:val="20"/>
                <w:color w:val="auto"/>
              </w:rPr>
            </w:pPr>
            <w:r>
              <w:rPr>
                <w:rFonts w:ascii="Arial" w:cs="Arial" w:eastAsia="Arial" w:hAnsi="Arial"/>
                <w:sz w:val="18"/>
                <w:szCs w:val="18"/>
                <w:b w:val="1"/>
                <w:bCs w:val="1"/>
                <w:color w:val="auto"/>
                <w:w w:val="91"/>
              </w:rPr>
              <w:t>August 27, 2022</w:t>
            </w:r>
          </w:p>
        </w:tc>
        <w:tc>
          <w:tcPr>
            <w:tcW w:w="148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w w:val="91"/>
              </w:rPr>
              <w:t>August 26, 2023</w:t>
            </w:r>
          </w:p>
        </w:tc>
        <w:tc>
          <w:tcPr>
            <w:tcW w:w="80" w:type="dxa"/>
            <w:vAlign w:val="bottom"/>
          </w:tcPr>
          <w:p>
            <w:pPr>
              <w:spacing w:after="0"/>
              <w:rPr>
                <w:sz w:val="24"/>
                <w:szCs w:val="24"/>
                <w:color w:val="auto"/>
              </w:rPr>
            </w:pPr>
          </w:p>
        </w:tc>
        <w:tc>
          <w:tcPr>
            <w:tcW w:w="144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w w:val="91"/>
              </w:rPr>
              <w:t>August 27, 2022</w:t>
            </w:r>
          </w:p>
        </w:tc>
      </w:tr>
      <w:tr>
        <w:trPr>
          <w:trHeight w:val="209"/>
        </w:trPr>
        <w:tc>
          <w:tcPr>
            <w:tcW w:w="508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Net sales of furniture and accessories</w:t>
            </w: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87,217</w:t>
            </w:r>
          </w:p>
        </w:tc>
        <w:tc>
          <w:tcPr>
            <w:tcW w:w="700" w:type="dxa"/>
            <w:vAlign w:val="bottom"/>
            <w:gridSpan w:val="2"/>
            <w:shd w:val="clear" w:color="auto" w:fill="CCEEFF"/>
          </w:tcPr>
          <w:p>
            <w:pPr>
              <w:jc w:val="right"/>
              <w:ind w:right="43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118,012</w:t>
            </w: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295,434</w:t>
            </w:r>
          </w:p>
        </w:tc>
        <w:tc>
          <w:tcPr>
            <w:tcW w:w="780" w:type="dxa"/>
            <w:vAlign w:val="bottom"/>
            <w:gridSpan w:val="2"/>
            <w:shd w:val="clear" w:color="auto" w:fill="CCEEFF"/>
          </w:tcPr>
          <w:p>
            <w:pPr>
              <w:jc w:val="right"/>
              <w:ind w:right="53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364,582</w:t>
            </w:r>
          </w:p>
        </w:tc>
      </w:tr>
      <w:tr>
        <w:trPr>
          <w:trHeight w:val="216"/>
        </w:trPr>
        <w:tc>
          <w:tcPr>
            <w:tcW w:w="5080" w:type="dxa"/>
            <w:vAlign w:val="bottom"/>
          </w:tcPr>
          <w:p>
            <w:pPr>
              <w:spacing w:after="0"/>
              <w:rPr>
                <w:sz w:val="20"/>
                <w:szCs w:val="20"/>
                <w:color w:val="auto"/>
              </w:rPr>
            </w:pPr>
            <w:r>
              <w:rPr>
                <w:rFonts w:ascii="Arial" w:cs="Arial" w:eastAsia="Arial" w:hAnsi="Arial"/>
                <w:sz w:val="18"/>
                <w:szCs w:val="18"/>
                <w:color w:val="auto"/>
              </w:rPr>
              <w:t>Cost of furniture and accessories sold</w:t>
            </w:r>
          </w:p>
        </w:tc>
        <w:tc>
          <w:tcPr>
            <w:tcW w:w="48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42,173</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57,240</w:t>
            </w:r>
          </w:p>
        </w:tc>
        <w:tc>
          <w:tcPr>
            <w:tcW w:w="3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140,360</w:t>
            </w: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180,479</w:t>
            </w:r>
          </w:p>
        </w:tc>
      </w:tr>
      <w:tr>
        <w:trPr>
          <w:trHeight w:val="20"/>
        </w:trPr>
        <w:tc>
          <w:tcPr>
            <w:tcW w:w="50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5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Gross profit</w:t>
            </w:r>
          </w:p>
        </w:tc>
        <w:tc>
          <w:tcPr>
            <w:tcW w:w="4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45,044</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60,772</w:t>
            </w:r>
          </w:p>
        </w:tc>
        <w:tc>
          <w:tcPr>
            <w:tcW w:w="3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155,074</w:t>
            </w: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184,103</w:t>
            </w:r>
          </w:p>
        </w:tc>
      </w:tr>
      <w:tr>
        <w:trPr>
          <w:trHeight w:val="216"/>
        </w:trPr>
        <w:tc>
          <w:tcPr>
            <w:tcW w:w="50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 expenses</w:t>
            </w:r>
          </w:p>
        </w:tc>
        <w:tc>
          <w:tcPr>
            <w:tcW w:w="4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48,848</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54,695</w:t>
            </w:r>
          </w:p>
        </w:tc>
        <w:tc>
          <w:tcPr>
            <w:tcW w:w="3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154,709</w:t>
            </w: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160,536</w:t>
            </w:r>
          </w:p>
        </w:tc>
      </w:tr>
      <w:tr>
        <w:trPr>
          <w:trHeight w:val="216"/>
        </w:trPr>
        <w:tc>
          <w:tcPr>
            <w:tcW w:w="5080" w:type="dxa"/>
            <w:vAlign w:val="bottom"/>
          </w:tcPr>
          <w:p>
            <w:pPr>
              <w:spacing w:after="0"/>
              <w:rPr>
                <w:sz w:val="20"/>
                <w:szCs w:val="20"/>
                <w:color w:val="auto"/>
              </w:rPr>
            </w:pPr>
            <w:r>
              <w:rPr>
                <w:rFonts w:ascii="Arial" w:cs="Arial" w:eastAsia="Arial" w:hAnsi="Arial"/>
                <w:sz w:val="18"/>
                <w:szCs w:val="18"/>
                <w:color w:val="auto"/>
              </w:rPr>
              <w:t>Gain on sale of real estate</w:t>
            </w:r>
          </w:p>
        </w:tc>
        <w:tc>
          <w:tcPr>
            <w:tcW w:w="48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4,595</w:t>
            </w:r>
          </w:p>
        </w:tc>
        <w:tc>
          <w:tcPr>
            <w:tcW w:w="3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4,595</w:t>
            </w:r>
          </w:p>
        </w:tc>
      </w:tr>
      <w:tr>
        <w:trPr>
          <w:trHeight w:val="216"/>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Gain on revaluation of contingent consideration</w:t>
            </w:r>
          </w:p>
        </w:tc>
        <w:tc>
          <w:tcPr>
            <w:tcW w:w="4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1,013</w:t>
            </w: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0"/>
        </w:trPr>
        <w:tc>
          <w:tcPr>
            <w:tcW w:w="508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5080" w:type="dxa"/>
            <w:vAlign w:val="bottom"/>
          </w:tcPr>
          <w:p>
            <w:pPr>
              <w:ind w:left="180"/>
              <w:spacing w:after="0"/>
              <w:rPr>
                <w:sz w:val="20"/>
                <w:szCs w:val="20"/>
                <w:color w:val="auto"/>
              </w:rPr>
            </w:pPr>
            <w:r>
              <w:rPr>
                <w:rFonts w:ascii="Arial" w:cs="Arial" w:eastAsia="Arial" w:hAnsi="Arial"/>
                <w:sz w:val="18"/>
                <w:szCs w:val="18"/>
                <w:color w:val="auto"/>
              </w:rPr>
              <w:t>Income (loss) from operations</w:t>
            </w:r>
          </w:p>
        </w:tc>
        <w:tc>
          <w:tcPr>
            <w:tcW w:w="4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(3,804)</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10,672</w:t>
            </w:r>
          </w:p>
        </w:tc>
        <w:tc>
          <w:tcPr>
            <w:tcW w:w="3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1,378</w:t>
            </w: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28,162</w:t>
            </w:r>
          </w:p>
        </w:tc>
      </w:tr>
      <w:tr>
        <w:trPr>
          <w:trHeight w:val="216"/>
        </w:trPr>
        <w:tc>
          <w:tcPr>
            <w:tcW w:w="50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080" w:type="dxa"/>
            <w:vAlign w:val="bottom"/>
          </w:tcPr>
          <w:p>
            <w:pPr>
              <w:spacing w:after="0"/>
              <w:rPr>
                <w:sz w:val="20"/>
                <w:szCs w:val="20"/>
                <w:color w:val="auto"/>
              </w:rPr>
            </w:pPr>
            <w:r>
              <w:rPr>
                <w:rFonts w:ascii="Arial" w:cs="Arial" w:eastAsia="Arial" w:hAnsi="Arial"/>
                <w:sz w:val="18"/>
                <w:szCs w:val="18"/>
                <w:color w:val="auto"/>
              </w:rPr>
              <w:t>Interest income</w:t>
            </w:r>
          </w:p>
        </w:tc>
        <w:tc>
          <w:tcPr>
            <w:tcW w:w="48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923</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120</w:t>
            </w:r>
          </w:p>
        </w:tc>
        <w:tc>
          <w:tcPr>
            <w:tcW w:w="3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1,644</w:t>
            </w: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132</w:t>
            </w:r>
          </w:p>
        </w:tc>
      </w:tr>
      <w:tr>
        <w:trPr>
          <w:trHeight w:val="216"/>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Other loss, net</w:t>
            </w:r>
          </w:p>
        </w:tc>
        <w:tc>
          <w:tcPr>
            <w:tcW w:w="4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(309)</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(714)</w:t>
            </w:r>
          </w:p>
        </w:tc>
        <w:tc>
          <w:tcPr>
            <w:tcW w:w="3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(1,381)</w:t>
            </w: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(1,982)</w:t>
            </w:r>
          </w:p>
        </w:tc>
      </w:tr>
      <w:tr>
        <w:trPr>
          <w:trHeight w:val="20"/>
        </w:trPr>
        <w:tc>
          <w:tcPr>
            <w:tcW w:w="508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5080" w:type="dxa"/>
            <w:vAlign w:val="bottom"/>
          </w:tcPr>
          <w:p>
            <w:pPr>
              <w:spacing w:after="0"/>
              <w:rPr>
                <w:sz w:val="20"/>
                <w:szCs w:val="20"/>
                <w:color w:val="auto"/>
              </w:rPr>
            </w:pPr>
            <w:r>
              <w:rPr>
                <w:rFonts w:ascii="Arial" w:cs="Arial" w:eastAsia="Arial" w:hAnsi="Arial"/>
                <w:sz w:val="18"/>
                <w:szCs w:val="18"/>
                <w:color w:val="auto"/>
              </w:rPr>
              <w:t>Income (loss) from continuing operations before income taxes</w:t>
            </w:r>
          </w:p>
        </w:tc>
        <w:tc>
          <w:tcPr>
            <w:tcW w:w="4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(3,190)</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10,078</w:t>
            </w:r>
          </w:p>
        </w:tc>
        <w:tc>
          <w:tcPr>
            <w:tcW w:w="3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1,641</w:t>
            </w: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26,312</w:t>
            </w:r>
          </w:p>
        </w:tc>
      </w:tr>
      <w:tr>
        <w:trPr>
          <w:trHeight w:val="216"/>
        </w:trPr>
        <w:tc>
          <w:tcPr>
            <w:tcW w:w="50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080" w:type="dxa"/>
            <w:vAlign w:val="bottom"/>
          </w:tcPr>
          <w:p>
            <w:pPr>
              <w:ind w:left="180"/>
              <w:spacing w:after="0"/>
              <w:rPr>
                <w:sz w:val="20"/>
                <w:szCs w:val="20"/>
                <w:color w:val="auto"/>
              </w:rPr>
            </w:pPr>
            <w:r>
              <w:rPr>
                <w:rFonts w:ascii="Arial" w:cs="Arial" w:eastAsia="Arial" w:hAnsi="Arial"/>
                <w:sz w:val="18"/>
                <w:szCs w:val="18"/>
                <w:color w:val="auto"/>
              </w:rPr>
              <w:t>Income tax expense (benefit)</w:t>
            </w:r>
          </w:p>
        </w:tc>
        <w:tc>
          <w:tcPr>
            <w:tcW w:w="4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(599)</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2,305</w:t>
            </w:r>
          </w:p>
        </w:tc>
        <w:tc>
          <w:tcPr>
            <w:tcW w:w="3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711</w:t>
            </w: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6,505</w:t>
            </w:r>
          </w:p>
        </w:tc>
      </w:tr>
      <w:tr>
        <w:trPr>
          <w:trHeight w:val="210"/>
        </w:trPr>
        <w:tc>
          <w:tcPr>
            <w:tcW w:w="5080" w:type="dxa"/>
            <w:vAlign w:val="bottom"/>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080" w:type="dxa"/>
            <w:vAlign w:val="bottom"/>
          </w:tcPr>
          <w:p>
            <w:pPr>
              <w:spacing w:after="0"/>
              <w:rPr>
                <w:sz w:val="20"/>
                <w:szCs w:val="20"/>
                <w:color w:val="auto"/>
              </w:rPr>
            </w:pPr>
            <w:r>
              <w:rPr>
                <w:rFonts w:ascii="Arial" w:cs="Arial" w:eastAsia="Arial" w:hAnsi="Arial"/>
                <w:sz w:val="18"/>
                <w:szCs w:val="18"/>
                <w:color w:val="auto"/>
              </w:rPr>
              <w:t>Income (loss) from continuing operations</w:t>
            </w:r>
          </w:p>
        </w:tc>
        <w:tc>
          <w:tcPr>
            <w:tcW w:w="4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(2,591)</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7,773</w:t>
            </w:r>
          </w:p>
        </w:tc>
        <w:tc>
          <w:tcPr>
            <w:tcW w:w="3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930</w:t>
            </w: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19,807</w:t>
            </w:r>
          </w:p>
        </w:tc>
      </w:tr>
      <w:tr>
        <w:trPr>
          <w:trHeight w:val="216"/>
        </w:trPr>
        <w:tc>
          <w:tcPr>
            <w:tcW w:w="50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080" w:type="dxa"/>
            <w:vAlign w:val="bottom"/>
          </w:tcPr>
          <w:p>
            <w:pPr>
              <w:spacing w:after="0"/>
              <w:rPr>
                <w:sz w:val="20"/>
                <w:szCs w:val="20"/>
                <w:color w:val="auto"/>
              </w:rPr>
            </w:pPr>
            <w:r>
              <w:rPr>
                <w:rFonts w:ascii="Arial" w:cs="Arial" w:eastAsia="Arial" w:hAnsi="Arial"/>
                <w:sz w:val="18"/>
                <w:szCs w:val="18"/>
                <w:color w:val="auto"/>
              </w:rPr>
              <w:t>Discontinued operations:</w:t>
            </w: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Income from operations of logistical services</w:t>
            </w:r>
          </w:p>
        </w:tc>
        <w:tc>
          <w:tcPr>
            <w:tcW w:w="4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1,712</w:t>
            </w:r>
          </w:p>
        </w:tc>
      </w:tr>
      <w:tr>
        <w:trPr>
          <w:trHeight w:val="216"/>
        </w:trPr>
        <w:tc>
          <w:tcPr>
            <w:tcW w:w="5080" w:type="dxa"/>
            <w:vAlign w:val="bottom"/>
          </w:tcPr>
          <w:p>
            <w:pPr>
              <w:ind w:left="180"/>
              <w:spacing w:after="0"/>
              <w:rPr>
                <w:sz w:val="20"/>
                <w:szCs w:val="20"/>
                <w:color w:val="auto"/>
              </w:rPr>
            </w:pPr>
            <w:r>
              <w:rPr>
                <w:rFonts w:ascii="Arial" w:cs="Arial" w:eastAsia="Arial" w:hAnsi="Arial"/>
                <w:sz w:val="18"/>
                <w:szCs w:val="18"/>
                <w:color w:val="auto"/>
              </w:rPr>
              <w:t>Gain on disposal (less adjustments)</w:t>
            </w:r>
          </w:p>
        </w:tc>
        <w:tc>
          <w:tcPr>
            <w:tcW w:w="48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(193)</w:t>
            </w:r>
          </w:p>
        </w:tc>
        <w:tc>
          <w:tcPr>
            <w:tcW w:w="3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53,061</w:t>
            </w:r>
          </w:p>
        </w:tc>
      </w:tr>
      <w:tr>
        <w:trPr>
          <w:trHeight w:val="216"/>
        </w:trPr>
        <w:tc>
          <w:tcPr>
            <w:tcW w:w="5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Income tax expense (benefit)</w:t>
            </w:r>
          </w:p>
        </w:tc>
        <w:tc>
          <w:tcPr>
            <w:tcW w:w="4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(48)</w:t>
            </w:r>
          </w:p>
        </w:tc>
        <w:tc>
          <w:tcPr>
            <w:tcW w:w="3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14,261</w:t>
            </w:r>
          </w:p>
        </w:tc>
      </w:tr>
      <w:tr>
        <w:trPr>
          <w:trHeight w:val="210"/>
        </w:trPr>
        <w:tc>
          <w:tcPr>
            <w:tcW w:w="5080" w:type="dxa"/>
            <w:vAlign w:val="bottom"/>
            <w:tcBorders>
              <w:top w:val="single" w:sz="8" w:color="CCEEFF"/>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Income (loss) from discontinued operations, net of tax</w:t>
            </w:r>
          </w:p>
        </w:tc>
        <w:tc>
          <w:tcPr>
            <w:tcW w:w="4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(145)</w:t>
            </w:r>
          </w:p>
        </w:tc>
        <w:tc>
          <w:tcPr>
            <w:tcW w:w="3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40,512</w:t>
            </w:r>
          </w:p>
        </w:tc>
      </w:tr>
      <w:tr>
        <w:trPr>
          <w:trHeight w:val="210"/>
        </w:trPr>
        <w:tc>
          <w:tcPr>
            <w:tcW w:w="5080" w:type="dxa"/>
            <w:vAlign w:val="bottom"/>
            <w:tcBorders>
              <w:top w:val="single" w:sz="8" w:color="CCEEFF"/>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56"/>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(2,591)</w:t>
            </w:r>
          </w:p>
        </w:tc>
        <w:tc>
          <w:tcPr>
            <w:tcW w:w="700" w:type="dxa"/>
            <w:vAlign w:val="bottom"/>
            <w:gridSpan w:val="2"/>
            <w:shd w:val="clear" w:color="auto" w:fill="CCEEFF"/>
          </w:tcPr>
          <w:p>
            <w:pPr>
              <w:jc w:val="right"/>
              <w:ind w:right="43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7,628</w:t>
            </w: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930</w:t>
            </w:r>
          </w:p>
        </w:tc>
        <w:tc>
          <w:tcPr>
            <w:tcW w:w="780" w:type="dxa"/>
            <w:vAlign w:val="bottom"/>
            <w:gridSpan w:val="2"/>
            <w:shd w:val="clear" w:color="auto" w:fill="CCEEFF"/>
          </w:tcPr>
          <w:p>
            <w:pPr>
              <w:jc w:val="right"/>
              <w:ind w:right="53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60,319</w:t>
            </w:r>
          </w:p>
        </w:tc>
      </w:tr>
      <w:tr>
        <w:trPr>
          <w:trHeight w:val="197"/>
        </w:trPr>
        <w:tc>
          <w:tcPr>
            <w:tcW w:w="5080" w:type="dxa"/>
            <w:vAlign w:val="bottom"/>
            <w:tcBorders>
              <w:top w:val="single" w:sz="8" w:color="CCEEFF"/>
            </w:tcBorders>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16"/>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(loss) per share:</w:t>
            </w: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080" w:type="dxa"/>
            <w:vAlign w:val="bottom"/>
          </w:tcPr>
          <w:p>
            <w:pPr>
              <w:ind w:left="180"/>
              <w:spacing w:after="0"/>
              <w:rPr>
                <w:sz w:val="20"/>
                <w:szCs w:val="20"/>
                <w:color w:val="auto"/>
              </w:rPr>
            </w:pPr>
            <w:r>
              <w:rPr>
                <w:rFonts w:ascii="Arial" w:cs="Arial" w:eastAsia="Arial" w:hAnsi="Arial"/>
                <w:sz w:val="18"/>
                <w:szCs w:val="18"/>
                <w:color w:val="auto"/>
              </w:rPr>
              <w:t>Income (loss) from continuing operations</w:t>
            </w: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(0.30)</w:t>
            </w:r>
          </w:p>
        </w:tc>
        <w:tc>
          <w:tcPr>
            <w:tcW w:w="700" w:type="dxa"/>
            <w:vAlign w:val="bottom"/>
            <w:gridSpan w:val="2"/>
          </w:tcPr>
          <w:p>
            <w:pPr>
              <w:jc w:val="right"/>
              <w:ind w:right="43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0.84</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0.11</w:t>
            </w:r>
          </w:p>
        </w:tc>
        <w:tc>
          <w:tcPr>
            <w:tcW w:w="780" w:type="dxa"/>
            <w:vAlign w:val="bottom"/>
            <w:gridSpan w:val="2"/>
          </w:tcPr>
          <w:p>
            <w:pPr>
              <w:jc w:val="right"/>
              <w:ind w:right="53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2.08</w:t>
            </w:r>
          </w:p>
        </w:tc>
      </w:tr>
      <w:tr>
        <w:trPr>
          <w:trHeight w:val="216"/>
        </w:trPr>
        <w:tc>
          <w:tcPr>
            <w:tcW w:w="5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Income (loss) from discontinued operations</w:t>
            </w:r>
          </w:p>
        </w:tc>
        <w:tc>
          <w:tcPr>
            <w:tcW w:w="4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(0.02)</w:t>
            </w:r>
          </w:p>
        </w:tc>
        <w:tc>
          <w:tcPr>
            <w:tcW w:w="3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4.26</w:t>
            </w:r>
          </w:p>
        </w:tc>
      </w:tr>
      <w:tr>
        <w:trPr>
          <w:trHeight w:val="20"/>
        </w:trPr>
        <w:tc>
          <w:tcPr>
            <w:tcW w:w="508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5080" w:type="dxa"/>
            <w:vAlign w:val="bottom"/>
          </w:tcPr>
          <w:p>
            <w:pPr>
              <w:ind w:left="340"/>
              <w:spacing w:after="0"/>
              <w:rPr>
                <w:sz w:val="20"/>
                <w:szCs w:val="20"/>
                <w:color w:val="auto"/>
              </w:rPr>
            </w:pPr>
            <w:r>
              <w:rPr>
                <w:rFonts w:ascii="Arial" w:cs="Arial" w:eastAsia="Arial" w:hAnsi="Arial"/>
                <w:sz w:val="18"/>
                <w:szCs w:val="18"/>
                <w:color w:val="auto"/>
              </w:rPr>
              <w:t>Basic earnings (loss) per share</w:t>
            </w: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(0.30)</w:t>
            </w:r>
          </w:p>
        </w:tc>
        <w:tc>
          <w:tcPr>
            <w:tcW w:w="700" w:type="dxa"/>
            <w:vAlign w:val="bottom"/>
            <w:gridSpan w:val="2"/>
          </w:tcPr>
          <w:p>
            <w:pPr>
              <w:jc w:val="right"/>
              <w:ind w:right="43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0.82</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0.11</w:t>
            </w:r>
          </w:p>
        </w:tc>
        <w:tc>
          <w:tcPr>
            <w:tcW w:w="780" w:type="dxa"/>
            <w:vAlign w:val="bottom"/>
            <w:gridSpan w:val="2"/>
          </w:tcPr>
          <w:p>
            <w:pPr>
              <w:jc w:val="right"/>
              <w:ind w:right="53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6.34</w:t>
            </w:r>
          </w:p>
        </w:tc>
      </w:tr>
      <w:tr>
        <w:trPr>
          <w:trHeight w:val="20"/>
        </w:trPr>
        <w:tc>
          <w:tcPr>
            <w:tcW w:w="50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50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5080" w:type="dxa"/>
            <w:vAlign w:val="bottom"/>
          </w:tcPr>
          <w:p>
            <w:pPr>
              <w:spacing w:after="0"/>
              <w:rPr>
                <w:sz w:val="20"/>
                <w:szCs w:val="20"/>
                <w:color w:val="auto"/>
              </w:rPr>
            </w:pPr>
            <w:r>
              <w:rPr>
                <w:rFonts w:ascii="Arial" w:cs="Arial" w:eastAsia="Arial" w:hAnsi="Arial"/>
                <w:sz w:val="18"/>
                <w:szCs w:val="18"/>
                <w:color w:val="auto"/>
              </w:rPr>
              <w:t>Diluted earnings (loss) per share:</w:t>
            </w: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Income (loss) from continuing operations</w:t>
            </w: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(0.30)</w:t>
            </w:r>
          </w:p>
        </w:tc>
        <w:tc>
          <w:tcPr>
            <w:tcW w:w="700" w:type="dxa"/>
            <w:vAlign w:val="bottom"/>
            <w:gridSpan w:val="2"/>
            <w:shd w:val="clear" w:color="auto" w:fill="CCEEFF"/>
          </w:tcPr>
          <w:p>
            <w:pPr>
              <w:jc w:val="right"/>
              <w:ind w:right="43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0.84</w:t>
            </w: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0.11</w:t>
            </w:r>
          </w:p>
        </w:tc>
        <w:tc>
          <w:tcPr>
            <w:tcW w:w="780" w:type="dxa"/>
            <w:vAlign w:val="bottom"/>
            <w:gridSpan w:val="2"/>
            <w:shd w:val="clear" w:color="auto" w:fill="CCEEFF"/>
          </w:tcPr>
          <w:p>
            <w:pPr>
              <w:jc w:val="right"/>
              <w:ind w:right="53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2.08</w:t>
            </w:r>
          </w:p>
        </w:tc>
      </w:tr>
      <w:tr>
        <w:trPr>
          <w:trHeight w:val="216"/>
        </w:trPr>
        <w:tc>
          <w:tcPr>
            <w:tcW w:w="5080" w:type="dxa"/>
            <w:vAlign w:val="bottom"/>
          </w:tcPr>
          <w:p>
            <w:pPr>
              <w:ind w:left="180"/>
              <w:spacing w:after="0"/>
              <w:rPr>
                <w:sz w:val="20"/>
                <w:szCs w:val="20"/>
                <w:color w:val="auto"/>
              </w:rPr>
            </w:pPr>
            <w:r>
              <w:rPr>
                <w:rFonts w:ascii="Arial" w:cs="Arial" w:eastAsia="Arial" w:hAnsi="Arial"/>
                <w:sz w:val="18"/>
                <w:szCs w:val="18"/>
                <w:color w:val="auto"/>
              </w:rPr>
              <w:t>Income (loss) from discontinued operations</w:t>
            </w:r>
          </w:p>
        </w:tc>
        <w:tc>
          <w:tcPr>
            <w:tcW w:w="48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(0.02)</w:t>
            </w:r>
          </w:p>
        </w:tc>
        <w:tc>
          <w:tcPr>
            <w:tcW w:w="3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4.26</w:t>
            </w:r>
          </w:p>
        </w:tc>
      </w:tr>
      <w:tr>
        <w:trPr>
          <w:trHeight w:val="20"/>
        </w:trPr>
        <w:tc>
          <w:tcPr>
            <w:tcW w:w="50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50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Diluted earnings (loss) per share</w:t>
            </w: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(0.30)</w:t>
            </w:r>
          </w:p>
        </w:tc>
        <w:tc>
          <w:tcPr>
            <w:tcW w:w="700" w:type="dxa"/>
            <w:vAlign w:val="bottom"/>
            <w:gridSpan w:val="2"/>
            <w:shd w:val="clear" w:color="auto" w:fill="CCEEFF"/>
          </w:tcPr>
          <w:p>
            <w:pPr>
              <w:jc w:val="right"/>
              <w:ind w:right="43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0.82</w:t>
            </w: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0.11</w:t>
            </w:r>
          </w:p>
        </w:tc>
        <w:tc>
          <w:tcPr>
            <w:tcW w:w="780" w:type="dxa"/>
            <w:vAlign w:val="bottom"/>
            <w:gridSpan w:val="2"/>
            <w:shd w:val="clear" w:color="auto" w:fill="CCEEFF"/>
          </w:tcPr>
          <w:p>
            <w:pPr>
              <w:jc w:val="right"/>
              <w:ind w:right="53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6.34</w:t>
            </w:r>
          </w:p>
        </w:tc>
      </w:tr>
      <w:tr>
        <w:trPr>
          <w:trHeight w:val="196"/>
        </w:trPr>
        <w:tc>
          <w:tcPr>
            <w:tcW w:w="5080" w:type="dxa"/>
            <w:vAlign w:val="bottom"/>
            <w:tcBorders>
              <w:top w:val="single" w:sz="8" w:color="CCEEFF"/>
            </w:tcBorders>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56"/>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Regular dividends per share</w:t>
            </w: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0.18</w:t>
            </w:r>
          </w:p>
        </w:tc>
        <w:tc>
          <w:tcPr>
            <w:tcW w:w="700" w:type="dxa"/>
            <w:vAlign w:val="bottom"/>
            <w:gridSpan w:val="2"/>
            <w:shd w:val="clear" w:color="auto" w:fill="CCEEFF"/>
          </w:tcPr>
          <w:p>
            <w:pPr>
              <w:jc w:val="right"/>
              <w:ind w:right="43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0.16</w:t>
            </w: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0.50</w:t>
            </w:r>
          </w:p>
        </w:tc>
        <w:tc>
          <w:tcPr>
            <w:tcW w:w="780" w:type="dxa"/>
            <w:vAlign w:val="bottom"/>
            <w:gridSpan w:val="2"/>
            <w:shd w:val="clear" w:color="auto" w:fill="CCEEFF"/>
          </w:tcPr>
          <w:p>
            <w:pPr>
              <w:jc w:val="right"/>
              <w:ind w:right="53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0.44</w:t>
            </w:r>
          </w:p>
        </w:tc>
      </w:tr>
      <w:tr>
        <w:trPr>
          <w:trHeight w:val="196"/>
        </w:trPr>
        <w:tc>
          <w:tcPr>
            <w:tcW w:w="5080" w:type="dxa"/>
            <w:vAlign w:val="bottom"/>
            <w:tcBorders>
              <w:top w:val="single" w:sz="8" w:color="CCEEFF"/>
            </w:tcBorders>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36"/>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Special dividend per share</w:t>
            </w: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43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53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w:t>
            </w:r>
          </w:p>
        </w:tc>
      </w:tr>
      <w:tr>
        <w:trPr>
          <w:trHeight w:val="20"/>
        </w:trPr>
        <w:tc>
          <w:tcPr>
            <w:tcW w:w="508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accompanying notes to condensed consolidated financial statements are an integral part of the condensed consolidated financial statements.</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 of 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27" w:right="339" w:bottom="1440" w:gutter="0" w:footer="0" w:header="0"/>
        </w:sectPr>
      </w:pPr>
    </w:p>
    <w:bookmarkStart w:id="3" w:name="page4"/>
    <w:bookmarkEnd w:id="3"/>
    <w:p>
      <w:pPr>
        <w:ind w:left="3560"/>
        <w:spacing w:after="0"/>
        <w:rPr>
          <w:sz w:val="20"/>
          <w:szCs w:val="20"/>
          <w:color w:val="auto"/>
        </w:rPr>
      </w:pPr>
      <w:r>
        <w:rPr>
          <w:rFonts w:ascii="Arial" w:cs="Arial" w:eastAsia="Arial" w:hAnsi="Arial"/>
          <w:sz w:val="18"/>
          <w:szCs w:val="18"/>
          <w:u w:val="single" w:color="auto"/>
          <w:color w:val="auto"/>
        </w:rPr>
        <w:t>PART I – FINANCIAL INFORMATION – CONTINUED</w:t>
      </w:r>
    </w:p>
    <w:p>
      <w:pPr>
        <w:spacing w:after="0" w:line="23" w:lineRule="exact"/>
        <w:rPr>
          <w:sz w:val="20"/>
          <w:szCs w:val="20"/>
          <w:color w:val="auto"/>
        </w:rPr>
      </w:pPr>
    </w:p>
    <w:p>
      <w:pPr>
        <w:ind w:left="4260"/>
        <w:spacing w:after="0"/>
        <w:rPr>
          <w:sz w:val="20"/>
          <w:szCs w:val="20"/>
          <w:color w:val="auto"/>
        </w:rPr>
      </w:pPr>
      <w:r>
        <w:rPr>
          <w:rFonts w:ascii="Arial" w:cs="Arial" w:eastAsia="Arial" w:hAnsi="Arial"/>
          <w:sz w:val="18"/>
          <w:szCs w:val="18"/>
          <w:u w:val="single" w:color="auto"/>
          <w:color w:val="auto"/>
        </w:rPr>
        <w:t>ITEM 1. FINANCIAL STATEMENTS</w:t>
      </w:r>
    </w:p>
    <w:p>
      <w:pPr>
        <w:spacing w:after="0" w:line="9" w:lineRule="exact"/>
        <w:rPr>
          <w:sz w:val="20"/>
          <w:szCs w:val="20"/>
          <w:color w:val="auto"/>
        </w:rPr>
      </w:pPr>
    </w:p>
    <w:p>
      <w:pPr>
        <w:ind w:left="2820"/>
        <w:spacing w:after="0"/>
        <w:rPr>
          <w:sz w:val="20"/>
          <w:szCs w:val="20"/>
          <w:color w:val="auto"/>
        </w:rPr>
      </w:pPr>
      <w:r>
        <w:rPr>
          <w:rFonts w:ascii="Arial" w:cs="Arial" w:eastAsia="Arial" w:hAnsi="Arial"/>
          <w:sz w:val="18"/>
          <w:szCs w:val="18"/>
          <w:u w:val="single" w:color="auto"/>
          <w:color w:val="auto"/>
        </w:rPr>
        <w:t>BASSETT FURNITURE INDUSTRIES, INCORPORATED AND SUBSIDIARIES</w:t>
      </w:r>
    </w:p>
    <w:p>
      <w:pPr>
        <w:spacing w:after="0" w:line="9" w:lineRule="exact"/>
        <w:rPr>
          <w:sz w:val="20"/>
          <w:szCs w:val="20"/>
          <w:color w:val="auto"/>
        </w:rPr>
      </w:pPr>
    </w:p>
    <w:p>
      <w:pPr>
        <w:jc w:val="center"/>
        <w:ind w:left="820" w:right="1940"/>
        <w:spacing w:after="0" w:line="255" w:lineRule="auto"/>
        <w:rPr>
          <w:sz w:val="20"/>
          <w:szCs w:val="20"/>
          <w:color w:val="auto"/>
        </w:rPr>
      </w:pPr>
      <w:r>
        <w:rPr>
          <w:rFonts w:ascii="Arial" w:cs="Arial" w:eastAsia="Arial" w:hAnsi="Arial"/>
          <w:sz w:val="18"/>
          <w:szCs w:val="18"/>
          <w:u w:val="single" w:color="auto"/>
          <w:color w:val="auto"/>
        </w:rPr>
        <w:t>CONDENSED CONSOLIDATED STATEMENTS OF COMPREHENSIVE INCOME (LOSS) FOR THE PERIODS ENDED AUGUST 26, 2023 AND AUGUST 27, 2022 – UNAUDITED (In thousands)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8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gridSpan w:val="4"/>
          </w:tcPr>
          <w:p>
            <w:pPr>
              <w:jc w:val="right"/>
              <w:ind w:right="150"/>
              <w:spacing w:after="0"/>
              <w:rPr>
                <w:sz w:val="20"/>
                <w:szCs w:val="20"/>
                <w:color w:val="auto"/>
              </w:rPr>
            </w:pPr>
            <w:r>
              <w:rPr>
                <w:rFonts w:ascii="Arial" w:cs="Arial" w:eastAsia="Arial" w:hAnsi="Arial"/>
                <w:sz w:val="18"/>
                <w:szCs w:val="18"/>
                <w:b w:val="1"/>
                <w:bCs w:val="1"/>
                <w:color w:val="auto"/>
              </w:rPr>
              <w:t>Quarter Ended</w:t>
            </w:r>
          </w:p>
        </w:tc>
        <w:tc>
          <w:tcPr>
            <w:tcW w:w="64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Nine Months Ended</w:t>
            </w:r>
          </w:p>
        </w:tc>
        <w:tc>
          <w:tcPr>
            <w:tcW w:w="6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5080" w:type="dxa"/>
            <w:vAlign w:val="bottom"/>
          </w:tcPr>
          <w:p>
            <w:pPr>
              <w:spacing w:after="0"/>
              <w:rPr>
                <w:sz w:val="18"/>
                <w:szCs w:val="18"/>
                <w:color w:val="auto"/>
              </w:rPr>
            </w:pPr>
          </w:p>
        </w:tc>
        <w:tc>
          <w:tcPr>
            <w:tcW w:w="1520" w:type="dxa"/>
            <w:vAlign w:val="bottom"/>
            <w:gridSpan w:val="3"/>
          </w:tcPr>
          <w:p>
            <w:pPr>
              <w:jc w:val="right"/>
              <w:ind w:right="220"/>
              <w:spacing w:after="0"/>
              <w:rPr>
                <w:sz w:val="20"/>
                <w:szCs w:val="20"/>
                <w:color w:val="auto"/>
              </w:rPr>
            </w:pPr>
            <w:r>
              <w:rPr>
                <w:rFonts w:ascii="Arial" w:cs="Arial" w:eastAsia="Arial" w:hAnsi="Arial"/>
                <w:sz w:val="18"/>
                <w:szCs w:val="18"/>
                <w:b w:val="1"/>
                <w:bCs w:val="1"/>
                <w:color w:val="auto"/>
                <w:w w:val="93"/>
              </w:rPr>
              <w:t>August 26, 2023</w:t>
            </w:r>
          </w:p>
        </w:tc>
        <w:tc>
          <w:tcPr>
            <w:tcW w:w="100" w:type="dxa"/>
            <w:vAlign w:val="bottom"/>
          </w:tcPr>
          <w:p>
            <w:pPr>
              <w:spacing w:after="0"/>
              <w:rPr>
                <w:sz w:val="18"/>
                <w:szCs w:val="18"/>
                <w:color w:val="auto"/>
              </w:rPr>
            </w:pPr>
          </w:p>
        </w:tc>
        <w:tc>
          <w:tcPr>
            <w:tcW w:w="1320" w:type="dxa"/>
            <w:vAlign w:val="bottom"/>
            <w:gridSpan w:val="2"/>
          </w:tcPr>
          <w:p>
            <w:pPr>
              <w:ind w:left="40"/>
              <w:spacing w:after="0"/>
              <w:rPr>
                <w:sz w:val="20"/>
                <w:szCs w:val="20"/>
                <w:color w:val="auto"/>
              </w:rPr>
            </w:pPr>
            <w:r>
              <w:rPr>
                <w:rFonts w:ascii="Arial" w:cs="Arial" w:eastAsia="Arial" w:hAnsi="Arial"/>
                <w:sz w:val="18"/>
                <w:szCs w:val="18"/>
                <w:b w:val="1"/>
                <w:bCs w:val="1"/>
                <w:color w:val="auto"/>
                <w:w w:val="91"/>
              </w:rPr>
              <w:t>August 27, 2022</w:t>
            </w:r>
          </w:p>
        </w:tc>
        <w:tc>
          <w:tcPr>
            <w:tcW w:w="220" w:type="dxa"/>
            <w:vAlign w:val="bottom"/>
          </w:tcPr>
          <w:p>
            <w:pPr>
              <w:spacing w:after="0"/>
              <w:rPr>
                <w:sz w:val="18"/>
                <w:szCs w:val="18"/>
                <w:color w:val="auto"/>
              </w:rPr>
            </w:pPr>
          </w:p>
        </w:tc>
        <w:tc>
          <w:tcPr>
            <w:tcW w:w="148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w w:val="91"/>
              </w:rPr>
              <w:t>August 26, 2023</w:t>
            </w:r>
          </w:p>
        </w:tc>
        <w:tc>
          <w:tcPr>
            <w:tcW w:w="80" w:type="dxa"/>
            <w:vAlign w:val="bottom"/>
          </w:tcPr>
          <w:p>
            <w:pPr>
              <w:spacing w:after="0"/>
              <w:rPr>
                <w:sz w:val="18"/>
                <w:szCs w:val="18"/>
                <w:color w:val="auto"/>
              </w:rPr>
            </w:pPr>
          </w:p>
        </w:tc>
        <w:tc>
          <w:tcPr>
            <w:tcW w:w="1340" w:type="dxa"/>
            <w:vAlign w:val="bottom"/>
            <w:gridSpan w:val="2"/>
          </w:tcPr>
          <w:p>
            <w:pPr>
              <w:jc w:val="right"/>
              <w:spacing w:after="0"/>
              <w:rPr>
                <w:sz w:val="20"/>
                <w:szCs w:val="20"/>
                <w:color w:val="auto"/>
              </w:rPr>
            </w:pPr>
            <w:r>
              <w:rPr>
                <w:rFonts w:ascii="Arial" w:cs="Arial" w:eastAsia="Arial" w:hAnsi="Arial"/>
                <w:sz w:val="18"/>
                <w:szCs w:val="18"/>
                <w:b w:val="1"/>
                <w:bCs w:val="1"/>
                <w:color w:val="auto"/>
                <w:w w:val="91"/>
              </w:rPr>
              <w:t>August 27, 2022</w:t>
            </w:r>
          </w:p>
        </w:tc>
        <w:tc>
          <w:tcPr>
            <w:tcW w:w="100" w:type="dxa"/>
            <w:vAlign w:val="bottom"/>
          </w:tcPr>
          <w:p>
            <w:pPr>
              <w:spacing w:after="0"/>
              <w:rPr>
                <w:sz w:val="18"/>
                <w:szCs w:val="18"/>
                <w:color w:val="auto"/>
              </w:rPr>
            </w:pPr>
          </w:p>
        </w:tc>
      </w:tr>
      <w:tr>
        <w:trPr>
          <w:trHeight w:val="209"/>
        </w:trPr>
        <w:tc>
          <w:tcPr>
            <w:tcW w:w="5080" w:type="dxa"/>
            <w:vAlign w:val="bottom"/>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5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(2,591)</w:t>
            </w:r>
          </w:p>
        </w:tc>
        <w:tc>
          <w:tcPr>
            <w:tcW w:w="780" w:type="dxa"/>
            <w:vAlign w:val="bottom"/>
            <w:gridSpan w:val="2"/>
            <w:shd w:val="clear" w:color="auto" w:fill="CCEEFF"/>
          </w:tcPr>
          <w:p>
            <w:pPr>
              <w:jc w:val="right"/>
              <w:ind w:right="51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7,628</w:t>
            </w: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930</w:t>
            </w:r>
          </w:p>
        </w:tc>
        <w:tc>
          <w:tcPr>
            <w:tcW w:w="820" w:type="dxa"/>
            <w:vAlign w:val="bottom"/>
            <w:gridSpan w:val="2"/>
            <w:shd w:val="clear" w:color="auto" w:fill="CCEEFF"/>
          </w:tcPr>
          <w:p>
            <w:pPr>
              <w:jc w:val="right"/>
              <w:ind w:right="57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60,319</w:t>
            </w:r>
          </w:p>
        </w:tc>
      </w:tr>
      <w:tr>
        <w:trPr>
          <w:trHeight w:val="216"/>
        </w:trPr>
        <w:tc>
          <w:tcPr>
            <w:tcW w:w="5080" w:type="dxa"/>
            <w:vAlign w:val="bottom"/>
          </w:tcPr>
          <w:p>
            <w:pPr>
              <w:spacing w:after="0"/>
              <w:rPr>
                <w:sz w:val="20"/>
                <w:szCs w:val="20"/>
                <w:color w:val="auto"/>
              </w:rPr>
            </w:pPr>
            <w:r>
              <w:rPr>
                <w:rFonts w:ascii="Arial" w:cs="Arial" w:eastAsia="Arial" w:hAnsi="Arial"/>
                <w:sz w:val="18"/>
                <w:szCs w:val="18"/>
                <w:color w:val="auto"/>
              </w:rPr>
              <w:t>Other comprehensive income (loss):</w:t>
            </w:r>
          </w:p>
        </w:tc>
        <w:tc>
          <w:tcPr>
            <w:tcW w:w="5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Foreign currency translation adjustments</w:t>
            </w:r>
          </w:p>
        </w:tc>
        <w:tc>
          <w:tcPr>
            <w:tcW w:w="5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42</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(237)</w:t>
            </w: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5080" w:type="dxa"/>
            <w:vAlign w:val="bottom"/>
          </w:tcPr>
          <w:p>
            <w:pPr>
              <w:ind w:left="180"/>
              <w:spacing w:after="0"/>
              <w:rPr>
                <w:sz w:val="20"/>
                <w:szCs w:val="20"/>
                <w:color w:val="auto"/>
              </w:rPr>
            </w:pPr>
            <w:r>
              <w:rPr>
                <w:rFonts w:ascii="Arial" w:cs="Arial" w:eastAsia="Arial" w:hAnsi="Arial"/>
                <w:sz w:val="18"/>
                <w:szCs w:val="18"/>
                <w:color w:val="auto"/>
                <w:w w:val="95"/>
              </w:rPr>
              <w:t>Income taxes related to foreign currency translation adjustments</w:t>
            </w:r>
          </w:p>
        </w:tc>
        <w:tc>
          <w:tcPr>
            <w:tcW w:w="5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63</w:t>
            </w: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5080" w:type="dxa"/>
            <w:vAlign w:val="bottom"/>
            <w:shd w:val="clear" w:color="auto" w:fill="CCEEFF"/>
          </w:tcPr>
          <w:p>
            <w:pPr>
              <w:ind w:left="340"/>
              <w:spacing w:after="0"/>
              <w:rPr>
                <w:sz w:val="20"/>
                <w:szCs w:val="20"/>
                <w:color w:val="auto"/>
              </w:rPr>
            </w:pPr>
            <w:r>
              <w:rPr>
                <w:rFonts w:ascii="Arial" w:cs="Arial" w:eastAsia="Arial" w:hAnsi="Arial"/>
                <w:sz w:val="18"/>
                <w:szCs w:val="18"/>
                <w:color w:val="auto"/>
                <w:w w:val="95"/>
              </w:rPr>
              <w:t>Amortization associated with Long Term Cash Awards (LTCA)</w:t>
            </w:r>
          </w:p>
        </w:tc>
        <w:tc>
          <w:tcPr>
            <w:tcW w:w="5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31</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w:t>
            </w:r>
          </w:p>
        </w:tc>
        <w:tc>
          <w:tcPr>
            <w:tcW w:w="3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98</w:t>
            </w: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w:t>
            </w:r>
          </w:p>
        </w:tc>
      </w:tr>
      <w:tr>
        <w:trPr>
          <w:trHeight w:val="216"/>
        </w:trPr>
        <w:tc>
          <w:tcPr>
            <w:tcW w:w="5080" w:type="dxa"/>
            <w:vAlign w:val="bottom"/>
          </w:tcPr>
          <w:p>
            <w:pPr>
              <w:ind w:left="340"/>
              <w:spacing w:after="0"/>
              <w:rPr>
                <w:sz w:val="20"/>
                <w:szCs w:val="20"/>
                <w:color w:val="auto"/>
              </w:rPr>
            </w:pPr>
            <w:r>
              <w:rPr>
                <w:rFonts w:ascii="Arial" w:cs="Arial" w:eastAsia="Arial" w:hAnsi="Arial"/>
                <w:sz w:val="18"/>
                <w:szCs w:val="18"/>
                <w:color w:val="auto"/>
              </w:rPr>
              <w:t>Income taxes related to LTCA</w:t>
            </w:r>
          </w:p>
        </w:tc>
        <w:tc>
          <w:tcPr>
            <w:tcW w:w="5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(8)</w:t>
            </w:r>
          </w:p>
        </w:tc>
        <w:tc>
          <w:tcPr>
            <w:tcW w:w="38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(28)</w:t>
            </w: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(24)</w:t>
            </w:r>
          </w:p>
        </w:tc>
      </w:tr>
      <w:tr>
        <w:trPr>
          <w:trHeight w:val="202"/>
        </w:trPr>
        <w:tc>
          <w:tcPr>
            <w:tcW w:w="508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rPr>
              <w:t>Amortization associated with supplemental</w:t>
            </w:r>
          </w:p>
        </w:tc>
        <w:tc>
          <w:tcPr>
            <w:tcW w:w="5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5080" w:type="dxa"/>
            <w:vAlign w:val="bottom"/>
            <w:shd w:val="clear" w:color="auto" w:fill="CCEEFF"/>
          </w:tcPr>
          <w:p>
            <w:pPr>
              <w:ind w:left="500"/>
              <w:spacing w:after="0"/>
              <w:rPr>
                <w:sz w:val="20"/>
                <w:szCs w:val="20"/>
                <w:color w:val="auto"/>
              </w:rPr>
            </w:pPr>
            <w:r>
              <w:rPr>
                <w:rFonts w:ascii="Arial" w:cs="Arial" w:eastAsia="Arial" w:hAnsi="Arial"/>
                <w:sz w:val="18"/>
                <w:szCs w:val="18"/>
                <w:color w:val="auto"/>
              </w:rPr>
              <w:t>executive retirement defined benefit plan (SERP)</w:t>
            </w:r>
          </w:p>
        </w:tc>
        <w:tc>
          <w:tcPr>
            <w:tcW w:w="5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w:t>
            </w:r>
          </w:p>
        </w:tc>
        <w:tc>
          <w:tcPr>
            <w:tcW w:w="38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w:t>
            </w:r>
          </w:p>
        </w:tc>
      </w:tr>
      <w:tr>
        <w:trPr>
          <w:trHeight w:val="216"/>
        </w:trPr>
        <w:tc>
          <w:tcPr>
            <w:tcW w:w="5080" w:type="dxa"/>
            <w:vAlign w:val="bottom"/>
          </w:tcPr>
          <w:p>
            <w:pPr>
              <w:ind w:left="340"/>
              <w:spacing w:after="0"/>
              <w:rPr>
                <w:sz w:val="20"/>
                <w:szCs w:val="20"/>
                <w:color w:val="auto"/>
              </w:rPr>
            </w:pPr>
            <w:r>
              <w:rPr>
                <w:rFonts w:ascii="Arial" w:cs="Arial" w:eastAsia="Arial" w:hAnsi="Arial"/>
                <w:sz w:val="18"/>
                <w:szCs w:val="18"/>
                <w:color w:val="auto"/>
              </w:rPr>
              <w:t>Income taxes related to SERP</w:t>
            </w:r>
          </w:p>
        </w:tc>
        <w:tc>
          <w:tcPr>
            <w:tcW w:w="50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(8)</w:t>
            </w:r>
          </w:p>
        </w:tc>
        <w:tc>
          <w:tcPr>
            <w:tcW w:w="3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(24)</w:t>
            </w:r>
          </w:p>
        </w:tc>
      </w:tr>
      <w:tr>
        <w:trPr>
          <w:trHeight w:val="209"/>
        </w:trPr>
        <w:tc>
          <w:tcPr>
            <w:tcW w:w="5080" w:type="dxa"/>
            <w:vAlign w:val="bottom"/>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080" w:type="dxa"/>
            <w:vAlign w:val="bottom"/>
          </w:tcPr>
          <w:p>
            <w:pPr>
              <w:ind w:left="500"/>
              <w:spacing w:after="0"/>
              <w:rPr>
                <w:sz w:val="20"/>
                <w:szCs w:val="20"/>
                <w:color w:val="auto"/>
              </w:rPr>
            </w:pPr>
            <w:r>
              <w:rPr>
                <w:rFonts w:ascii="Arial" w:cs="Arial" w:eastAsia="Arial" w:hAnsi="Arial"/>
                <w:sz w:val="18"/>
                <w:szCs w:val="18"/>
                <w:color w:val="auto"/>
              </w:rPr>
              <w:t>Other comprehensive income (loss), net of tax</w:t>
            </w:r>
          </w:p>
        </w:tc>
        <w:tc>
          <w:tcPr>
            <w:tcW w:w="50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48</w:t>
            </w:r>
          </w:p>
        </w:tc>
        <w:tc>
          <w:tcPr>
            <w:tcW w:w="38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(104)</w:t>
            </w: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144</w:t>
            </w:r>
          </w:p>
        </w:tc>
      </w:tr>
      <w:tr>
        <w:trPr>
          <w:trHeight w:val="209"/>
        </w:trPr>
        <w:tc>
          <w:tcPr>
            <w:tcW w:w="5080" w:type="dxa"/>
            <w:vAlign w:val="bottom"/>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080" w:type="dxa"/>
            <w:vAlign w:val="bottom"/>
          </w:tcPr>
          <w:p>
            <w:pPr>
              <w:spacing w:after="0"/>
              <w:rPr>
                <w:sz w:val="20"/>
                <w:szCs w:val="20"/>
                <w:color w:val="auto"/>
              </w:rPr>
            </w:pPr>
            <w:r>
              <w:rPr>
                <w:rFonts w:ascii="Arial" w:cs="Arial" w:eastAsia="Arial" w:hAnsi="Arial"/>
                <w:sz w:val="18"/>
                <w:szCs w:val="18"/>
                <w:color w:val="auto"/>
              </w:rPr>
              <w:t>Total comprehensive income (loss)</w:t>
            </w: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(2,537)</w:t>
            </w:r>
          </w:p>
        </w:tc>
        <w:tc>
          <w:tcPr>
            <w:tcW w:w="780" w:type="dxa"/>
            <w:vAlign w:val="bottom"/>
            <w:gridSpan w:val="2"/>
          </w:tcPr>
          <w:p>
            <w:pPr>
              <w:jc w:val="right"/>
              <w:ind w:right="51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7,676</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826</w:t>
            </w:r>
          </w:p>
        </w:tc>
        <w:tc>
          <w:tcPr>
            <w:tcW w:w="820" w:type="dxa"/>
            <w:vAlign w:val="bottom"/>
            <w:gridSpan w:val="2"/>
          </w:tcPr>
          <w:p>
            <w:pPr>
              <w:jc w:val="right"/>
              <w:ind w:right="57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60,463</w:t>
            </w:r>
          </w:p>
        </w:tc>
      </w:tr>
      <w:tr>
        <w:trPr>
          <w:trHeight w:val="20"/>
        </w:trPr>
        <w:tc>
          <w:tcPr>
            <w:tcW w:w="50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accompanying notes to condensed consolidated financial statements are an integral part of the condensed consolidated financial statements.</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 of 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27"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u w:val="single" w:color="auto"/>
          <w:color w:val="auto"/>
        </w:rPr>
        <w:t>PART I – FINANCIAL INFORMATION – CONTINUED</w:t>
      </w:r>
    </w:p>
    <w:p>
      <w:pPr>
        <w:spacing w:after="0" w:line="23" w:lineRule="exact"/>
        <w:rPr>
          <w:sz w:val="20"/>
          <w:szCs w:val="20"/>
          <w:color w:val="auto"/>
        </w:rPr>
      </w:pPr>
    </w:p>
    <w:p>
      <w:pPr>
        <w:jc w:val="center"/>
        <w:ind w:right="-99"/>
        <w:spacing w:after="0"/>
        <w:rPr>
          <w:sz w:val="20"/>
          <w:szCs w:val="20"/>
          <w:color w:val="auto"/>
        </w:rPr>
      </w:pPr>
      <w:r>
        <w:rPr>
          <w:rFonts w:ascii="Arial" w:cs="Arial" w:eastAsia="Arial" w:hAnsi="Arial"/>
          <w:sz w:val="18"/>
          <w:szCs w:val="18"/>
          <w:u w:val="single" w:color="auto"/>
          <w:color w:val="auto"/>
        </w:rPr>
        <w:t>ITEM 1. FINANCIAL STATEMENTS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u w:val="single" w:color="auto"/>
          <w:color w:val="auto"/>
        </w:rPr>
        <w:t>BASSETT FURNITURE INDUSTRIES, INCORPORATED AND SUBSIDIARIES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u w:val="single" w:color="auto"/>
          <w:color w:val="auto"/>
        </w:rPr>
        <w:t>CONDENSED CONSOLIDATED BALANCE SHEETS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u w:val="single" w:color="auto"/>
          <w:color w:val="auto"/>
        </w:rPr>
        <w:t>AUGUST 26, 2023 AND NOVEMBER 26, 2022</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8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3700" w:type="dxa"/>
            <w:vAlign w:val="bottom"/>
            <w:gridSpan w:val="2"/>
          </w:tcPr>
          <w:p>
            <w:pPr>
              <w:jc w:val="right"/>
              <w:ind w:right="1960"/>
              <w:spacing w:after="0"/>
              <w:rPr>
                <w:sz w:val="20"/>
                <w:szCs w:val="20"/>
                <w:color w:val="auto"/>
              </w:rPr>
            </w:pPr>
            <w:r>
              <w:rPr>
                <w:rFonts w:ascii="Arial" w:cs="Arial" w:eastAsia="Arial" w:hAnsi="Arial"/>
                <w:sz w:val="18"/>
                <w:szCs w:val="18"/>
                <w:color w:val="auto"/>
              </w:rPr>
              <w:t>(In thousands)</w:t>
            </w: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34"/>
        </w:trPr>
        <w:tc>
          <w:tcPr>
            <w:tcW w:w="48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0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(Unaudited)</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gridSpan w:val="2"/>
            <w:vMerge w:val="restart"/>
          </w:tcPr>
          <w:p>
            <w:pPr>
              <w:ind w:left="60"/>
              <w:spacing w:after="0"/>
              <w:rPr>
                <w:sz w:val="20"/>
                <w:szCs w:val="20"/>
                <w:color w:val="auto"/>
              </w:rPr>
            </w:pPr>
            <w:r>
              <w:rPr>
                <w:rFonts w:ascii="Arial" w:cs="Arial" w:eastAsia="Arial" w:hAnsi="Arial"/>
                <w:sz w:val="18"/>
                <w:szCs w:val="18"/>
                <w:b w:val="1"/>
                <w:bCs w:val="1"/>
                <w:color w:val="auto"/>
              </w:rPr>
              <w:t>November 26,</w:t>
            </w:r>
          </w:p>
        </w:tc>
        <w:tc>
          <w:tcPr>
            <w:tcW w:w="0" w:type="dxa"/>
            <w:vAlign w:val="bottom"/>
          </w:tcPr>
          <w:p>
            <w:pPr>
              <w:spacing w:after="0"/>
              <w:rPr>
                <w:sz w:val="1"/>
                <w:szCs w:val="1"/>
                <w:color w:val="auto"/>
              </w:rPr>
            </w:pPr>
          </w:p>
        </w:tc>
      </w:tr>
      <w:tr>
        <w:trPr>
          <w:trHeight w:val="198"/>
        </w:trPr>
        <w:tc>
          <w:tcPr>
            <w:tcW w:w="48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3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8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0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88"/>
              </w:rPr>
              <w:t>August 26, 2023</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jc w:val="right"/>
              <w:ind w:right="47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4400" w:type="dxa"/>
            <w:vAlign w:val="bottom"/>
            <w:gridSpan w:val="3"/>
            <w:shd w:val="clear" w:color="auto" w:fill="CCEEFF"/>
          </w:tcPr>
          <w:p>
            <w:pPr>
              <w:spacing w:after="0" w:line="169" w:lineRule="exact"/>
              <w:rPr>
                <w:sz w:val="20"/>
                <w:szCs w:val="20"/>
                <w:color w:val="auto"/>
              </w:rPr>
            </w:pPr>
            <w:r>
              <w:rPr>
                <w:rFonts w:ascii="Arial" w:cs="Arial" w:eastAsia="Arial" w:hAnsi="Arial"/>
                <w:sz w:val="18"/>
                <w:szCs w:val="18"/>
                <w:b w:val="1"/>
                <w:bCs w:val="1"/>
                <w:color w:val="auto"/>
              </w:rPr>
              <w:t>Assets</w:t>
            </w:r>
          </w:p>
        </w:tc>
        <w:tc>
          <w:tcPr>
            <w:tcW w:w="3600" w:type="dxa"/>
            <w:vAlign w:val="bottom"/>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1380" w:type="dxa"/>
            <w:vAlign w:val="bottom"/>
            <w:tcBorders>
              <w:top w:val="single" w:sz="8" w:color="auto"/>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1320" w:type="dxa"/>
            <w:vAlign w:val="bottom"/>
            <w:tcBorders>
              <w:top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80" w:type="dxa"/>
            <w:vAlign w:val="bottom"/>
            <w:tcBorders>
              <w:top w:val="single" w:sz="8" w:color="auto"/>
            </w:tcBorders>
            <w:shd w:val="clear" w:color="auto" w:fill="CCEEFF"/>
          </w:tcPr>
          <w:p>
            <w:pPr>
              <w:spacing w:after="0" w:line="20" w:lineRule="exact"/>
              <w:rPr>
                <w:sz w:val="1"/>
                <w:szCs w:val="1"/>
                <w:color w:val="auto"/>
              </w:rPr>
            </w:pPr>
          </w:p>
        </w:tc>
        <w:tc>
          <w:tcPr>
            <w:tcW w:w="2300" w:type="dxa"/>
            <w:vAlign w:val="bottom"/>
            <w:tcBorders>
              <w:top w:val="single" w:sz="8" w:color="CCEEFF"/>
            </w:tcBorders>
            <w:shd w:val="clear" w:color="auto" w:fill="CCEEFF"/>
          </w:tcPr>
          <w:p>
            <w:pPr>
              <w:spacing w:after="0" w:line="20" w:lineRule="exact"/>
              <w:rPr>
                <w:sz w:val="1"/>
                <w:szCs w:val="1"/>
                <w:color w:val="auto"/>
              </w:rPr>
            </w:pPr>
          </w:p>
        </w:tc>
        <w:tc>
          <w:tcPr>
            <w:tcW w:w="1620" w:type="dxa"/>
            <w:vAlign w:val="bottom"/>
            <w:tcBorders>
              <w:top w:val="single" w:sz="8" w:color="CCEEFF"/>
            </w:tcBorders>
            <w:shd w:val="clear" w:color="auto" w:fill="CCEEFF"/>
          </w:tcPr>
          <w:p>
            <w:pPr>
              <w:spacing w:after="0" w:line="20" w:lineRule="exact"/>
              <w:rPr>
                <w:sz w:val="1"/>
                <w:szCs w:val="1"/>
                <w:color w:val="auto"/>
              </w:rPr>
            </w:pPr>
          </w:p>
        </w:tc>
        <w:tc>
          <w:tcPr>
            <w:tcW w:w="36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3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3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4400" w:type="dxa"/>
            <w:vAlign w:val="bottom"/>
            <w:gridSpan w:val="3"/>
          </w:tcPr>
          <w:p>
            <w:pPr>
              <w:spacing w:after="0"/>
              <w:rPr>
                <w:sz w:val="20"/>
                <w:szCs w:val="20"/>
                <w:color w:val="auto"/>
              </w:rPr>
            </w:pPr>
            <w:r>
              <w:rPr>
                <w:rFonts w:ascii="Arial" w:cs="Arial" w:eastAsia="Arial" w:hAnsi="Arial"/>
                <w:sz w:val="18"/>
                <w:szCs w:val="18"/>
                <w:b w:val="1"/>
                <w:bCs w:val="1"/>
                <w:color w:val="auto"/>
              </w:rPr>
              <w:t>Current assets</w:t>
            </w:r>
          </w:p>
        </w:tc>
        <w:tc>
          <w:tcPr>
            <w:tcW w:w="3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3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48,012</w:t>
            </w:r>
          </w:p>
        </w:tc>
        <w:tc>
          <w:tcPr>
            <w:tcW w:w="12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61,625</w:t>
            </w:r>
          </w:p>
        </w:tc>
        <w:tc>
          <w:tcPr>
            <w:tcW w:w="0" w:type="dxa"/>
            <w:vAlign w:val="bottom"/>
          </w:tcPr>
          <w:p>
            <w:pPr>
              <w:spacing w:after="0"/>
              <w:rPr>
                <w:sz w:val="1"/>
                <w:szCs w:val="1"/>
                <w:color w:val="auto"/>
              </w:rPr>
            </w:pPr>
          </w:p>
        </w:tc>
      </w:tr>
      <w:tr>
        <w:trPr>
          <w:trHeight w:val="216"/>
        </w:trPr>
        <w:tc>
          <w:tcPr>
            <w:tcW w:w="4400" w:type="dxa"/>
            <w:vAlign w:val="bottom"/>
            <w:gridSpan w:val="3"/>
          </w:tcPr>
          <w:p>
            <w:pPr>
              <w:ind w:left="180"/>
              <w:spacing w:after="0"/>
              <w:rPr>
                <w:sz w:val="20"/>
                <w:szCs w:val="20"/>
                <w:color w:val="auto"/>
              </w:rPr>
            </w:pPr>
            <w:r>
              <w:rPr>
                <w:rFonts w:ascii="Arial" w:cs="Arial" w:eastAsia="Arial" w:hAnsi="Arial"/>
                <w:sz w:val="18"/>
                <w:szCs w:val="18"/>
                <w:color w:val="auto"/>
              </w:rPr>
              <w:t>Short-term investments</w:t>
            </w:r>
          </w:p>
        </w:tc>
        <w:tc>
          <w:tcPr>
            <w:tcW w:w="3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17,743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17,715</w:t>
            </w:r>
          </w:p>
        </w:tc>
        <w:tc>
          <w:tcPr>
            <w:tcW w:w="0" w:type="dxa"/>
            <w:vAlign w:val="bottom"/>
          </w:tcPr>
          <w:p>
            <w:pPr>
              <w:spacing w:after="0"/>
              <w:rPr>
                <w:sz w:val="1"/>
                <w:szCs w:val="1"/>
                <w:color w:val="auto"/>
              </w:rPr>
            </w:pPr>
          </w:p>
        </w:tc>
      </w:tr>
      <w:tr>
        <w:trPr>
          <w:trHeight w:val="216"/>
        </w:trPr>
        <w:tc>
          <w:tcPr>
            <w:tcW w:w="440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Accounts receivable, net</w:t>
            </w:r>
          </w:p>
        </w:tc>
        <w:tc>
          <w:tcPr>
            <w:tcW w:w="3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15,339</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17,838</w:t>
            </w:r>
          </w:p>
        </w:tc>
        <w:tc>
          <w:tcPr>
            <w:tcW w:w="0" w:type="dxa"/>
            <w:vAlign w:val="bottom"/>
          </w:tcPr>
          <w:p>
            <w:pPr>
              <w:spacing w:after="0"/>
              <w:rPr>
                <w:sz w:val="1"/>
                <w:szCs w:val="1"/>
                <w:color w:val="auto"/>
              </w:rPr>
            </w:pPr>
          </w:p>
        </w:tc>
      </w:tr>
      <w:tr>
        <w:trPr>
          <w:trHeight w:val="216"/>
        </w:trPr>
        <w:tc>
          <w:tcPr>
            <w:tcW w:w="4400" w:type="dxa"/>
            <w:vAlign w:val="bottom"/>
            <w:gridSpan w:val="3"/>
          </w:tcPr>
          <w:p>
            <w:pPr>
              <w:ind w:left="180"/>
              <w:spacing w:after="0"/>
              <w:rPr>
                <w:sz w:val="20"/>
                <w:szCs w:val="20"/>
                <w:color w:val="auto"/>
              </w:rPr>
            </w:pPr>
            <w:r>
              <w:rPr>
                <w:rFonts w:ascii="Arial" w:cs="Arial" w:eastAsia="Arial" w:hAnsi="Arial"/>
                <w:sz w:val="18"/>
                <w:szCs w:val="18"/>
                <w:color w:val="auto"/>
              </w:rPr>
              <w:t>Inventories</w:t>
            </w:r>
          </w:p>
        </w:tc>
        <w:tc>
          <w:tcPr>
            <w:tcW w:w="3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66,866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85,477</w:t>
            </w:r>
          </w:p>
        </w:tc>
        <w:tc>
          <w:tcPr>
            <w:tcW w:w="0" w:type="dxa"/>
            <w:vAlign w:val="bottom"/>
          </w:tcPr>
          <w:p>
            <w:pPr>
              <w:spacing w:after="0"/>
              <w:rPr>
                <w:sz w:val="1"/>
                <w:szCs w:val="1"/>
                <w:color w:val="auto"/>
              </w:rPr>
            </w:pPr>
          </w:p>
        </w:tc>
      </w:tr>
      <w:tr>
        <w:trPr>
          <w:trHeight w:val="216"/>
        </w:trPr>
        <w:tc>
          <w:tcPr>
            <w:tcW w:w="440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Recoverable income taxes</w:t>
            </w:r>
          </w:p>
        </w:tc>
        <w:tc>
          <w:tcPr>
            <w:tcW w:w="3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3,777</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2,353</w:t>
            </w:r>
          </w:p>
        </w:tc>
        <w:tc>
          <w:tcPr>
            <w:tcW w:w="0" w:type="dxa"/>
            <w:vAlign w:val="bottom"/>
          </w:tcPr>
          <w:p>
            <w:pPr>
              <w:spacing w:after="0"/>
              <w:rPr>
                <w:sz w:val="1"/>
                <w:szCs w:val="1"/>
                <w:color w:val="auto"/>
              </w:rPr>
            </w:pPr>
          </w:p>
        </w:tc>
      </w:tr>
      <w:tr>
        <w:trPr>
          <w:trHeight w:val="216"/>
        </w:trPr>
        <w:tc>
          <w:tcPr>
            <w:tcW w:w="4400" w:type="dxa"/>
            <w:vAlign w:val="bottom"/>
            <w:gridSpan w:val="3"/>
          </w:tcPr>
          <w:p>
            <w:pPr>
              <w:ind w:left="180"/>
              <w:spacing w:after="0"/>
              <w:rPr>
                <w:sz w:val="20"/>
                <w:szCs w:val="20"/>
                <w:color w:val="auto"/>
              </w:rPr>
            </w:pPr>
            <w:r>
              <w:rPr>
                <w:rFonts w:ascii="Arial" w:cs="Arial" w:eastAsia="Arial" w:hAnsi="Arial"/>
                <w:sz w:val="18"/>
                <w:szCs w:val="18"/>
                <w:color w:val="auto"/>
              </w:rPr>
              <w:t>Other current assets</w:t>
            </w:r>
          </w:p>
        </w:tc>
        <w:tc>
          <w:tcPr>
            <w:tcW w:w="36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9,340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11,487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4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 current assets</w:t>
            </w:r>
          </w:p>
        </w:tc>
        <w:tc>
          <w:tcPr>
            <w:tcW w:w="3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161,077</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196,495</w:t>
            </w:r>
          </w:p>
        </w:tc>
        <w:tc>
          <w:tcPr>
            <w:tcW w:w="0" w:type="dxa"/>
            <w:vAlign w:val="bottom"/>
          </w:tcPr>
          <w:p>
            <w:pPr>
              <w:spacing w:after="0"/>
              <w:rPr>
                <w:sz w:val="1"/>
                <w:szCs w:val="1"/>
                <w:color w:val="auto"/>
              </w:rPr>
            </w:pPr>
          </w:p>
        </w:tc>
      </w:tr>
      <w:tr>
        <w:trPr>
          <w:trHeight w:val="209"/>
        </w:trPr>
        <w:tc>
          <w:tcPr>
            <w:tcW w:w="480" w:type="dxa"/>
            <w:vAlign w:val="bottom"/>
            <w:tcBorders>
              <w:top w:val="single" w:sz="8" w:color="CCEEFF"/>
            </w:tcBorders>
          </w:tcPr>
          <w:p>
            <w:pPr>
              <w:spacing w:after="0"/>
              <w:rPr>
                <w:sz w:val="18"/>
                <w:szCs w:val="18"/>
                <w:color w:val="auto"/>
              </w:rPr>
            </w:pPr>
          </w:p>
        </w:tc>
        <w:tc>
          <w:tcPr>
            <w:tcW w:w="2300" w:type="dxa"/>
            <w:vAlign w:val="bottom"/>
            <w:tcBorders>
              <w:top w:val="single" w:sz="8" w:color="CCEEFF"/>
            </w:tcBorders>
          </w:tcPr>
          <w:p>
            <w:pPr>
              <w:spacing w:after="0"/>
              <w:rPr>
                <w:sz w:val="18"/>
                <w:szCs w:val="18"/>
                <w:color w:val="auto"/>
              </w:rPr>
            </w:pPr>
          </w:p>
        </w:tc>
        <w:tc>
          <w:tcPr>
            <w:tcW w:w="1620" w:type="dxa"/>
            <w:vAlign w:val="bottom"/>
            <w:tcBorders>
              <w:top w:val="single" w:sz="8" w:color="CCEEFF"/>
            </w:tcBorders>
          </w:tcPr>
          <w:p>
            <w:pPr>
              <w:spacing w:after="0"/>
              <w:rPr>
                <w:sz w:val="18"/>
                <w:szCs w:val="18"/>
                <w:color w:val="auto"/>
              </w:rPr>
            </w:pPr>
          </w:p>
        </w:tc>
        <w:tc>
          <w:tcPr>
            <w:tcW w:w="360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3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84,247</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77,001</w:t>
            </w:r>
          </w:p>
        </w:tc>
        <w:tc>
          <w:tcPr>
            <w:tcW w:w="0" w:type="dxa"/>
            <w:vAlign w:val="bottom"/>
          </w:tcPr>
          <w:p>
            <w:pPr>
              <w:spacing w:after="0"/>
              <w:rPr>
                <w:sz w:val="1"/>
                <w:szCs w:val="1"/>
                <w:color w:val="auto"/>
              </w:rPr>
            </w:pPr>
          </w:p>
        </w:tc>
      </w:tr>
      <w:tr>
        <w:trPr>
          <w:trHeight w:val="216"/>
        </w:trPr>
        <w:tc>
          <w:tcPr>
            <w:tcW w:w="48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3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5,117</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5,528</w:t>
            </w:r>
          </w:p>
        </w:tc>
        <w:tc>
          <w:tcPr>
            <w:tcW w:w="0" w:type="dxa"/>
            <w:vAlign w:val="bottom"/>
          </w:tcPr>
          <w:p>
            <w:pPr>
              <w:spacing w:after="0"/>
              <w:rPr>
                <w:sz w:val="1"/>
                <w:szCs w:val="1"/>
                <w:color w:val="auto"/>
              </w:rPr>
            </w:pPr>
          </w:p>
        </w:tc>
      </w:tr>
      <w:tr>
        <w:trPr>
          <w:trHeight w:val="216"/>
        </w:trPr>
        <w:tc>
          <w:tcPr>
            <w:tcW w:w="4400" w:type="dxa"/>
            <w:vAlign w:val="bottom"/>
            <w:gridSpan w:val="3"/>
          </w:tcPr>
          <w:p>
            <w:pPr>
              <w:spacing w:after="0"/>
              <w:rPr>
                <w:sz w:val="20"/>
                <w:szCs w:val="20"/>
                <w:color w:val="auto"/>
              </w:rPr>
            </w:pPr>
            <w:r>
              <w:rPr>
                <w:rFonts w:ascii="Arial" w:cs="Arial" w:eastAsia="Arial" w:hAnsi="Arial"/>
                <w:sz w:val="18"/>
                <w:szCs w:val="18"/>
                <w:color w:val="auto"/>
              </w:rPr>
              <w:t>Goodwill and other intangible assets</w:t>
            </w:r>
          </w:p>
        </w:tc>
        <w:tc>
          <w:tcPr>
            <w:tcW w:w="3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21,547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21,727</w:t>
            </w:r>
          </w:p>
        </w:tc>
        <w:tc>
          <w:tcPr>
            <w:tcW w:w="0" w:type="dxa"/>
            <w:vAlign w:val="bottom"/>
          </w:tcPr>
          <w:p>
            <w:pPr>
              <w:spacing w:after="0"/>
              <w:rPr>
                <w:sz w:val="1"/>
                <w:szCs w:val="1"/>
                <w:color w:val="auto"/>
              </w:rPr>
            </w:pPr>
          </w:p>
        </w:tc>
      </w:tr>
      <w:tr>
        <w:trPr>
          <w:trHeight w:val="216"/>
        </w:trPr>
        <w:tc>
          <w:tcPr>
            <w:tcW w:w="44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Right of use assets under operating leases</w:t>
            </w:r>
          </w:p>
        </w:tc>
        <w:tc>
          <w:tcPr>
            <w:tcW w:w="3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89,993</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99,472</w:t>
            </w:r>
          </w:p>
        </w:tc>
        <w:tc>
          <w:tcPr>
            <w:tcW w:w="0" w:type="dxa"/>
            <w:vAlign w:val="bottom"/>
          </w:tcPr>
          <w:p>
            <w:pPr>
              <w:spacing w:after="0"/>
              <w:rPr>
                <w:sz w:val="1"/>
                <w:szCs w:val="1"/>
                <w:color w:val="auto"/>
              </w:rPr>
            </w:pPr>
          </w:p>
        </w:tc>
      </w:tr>
      <w:tr>
        <w:trPr>
          <w:trHeight w:val="216"/>
        </w:trPr>
        <w:tc>
          <w:tcPr>
            <w:tcW w:w="4400" w:type="dxa"/>
            <w:vAlign w:val="bottom"/>
            <w:gridSpan w:val="3"/>
          </w:tcPr>
          <w:p>
            <w:pPr>
              <w:spacing w:after="0"/>
              <w:rPr>
                <w:sz w:val="20"/>
                <w:szCs w:val="20"/>
                <w:color w:val="auto"/>
              </w:rPr>
            </w:pPr>
            <w:r>
              <w:rPr>
                <w:rFonts w:ascii="Arial" w:cs="Arial" w:eastAsia="Arial" w:hAnsi="Arial"/>
                <w:sz w:val="18"/>
                <w:szCs w:val="18"/>
                <w:color w:val="auto"/>
              </w:rPr>
              <w:t>Other</w:t>
            </w:r>
          </w:p>
        </w:tc>
        <w:tc>
          <w:tcPr>
            <w:tcW w:w="36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7,050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40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Total long-term assets</w:t>
            </w:r>
          </w:p>
        </w:tc>
        <w:tc>
          <w:tcPr>
            <w:tcW w:w="36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123,707</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132,777</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400" w:type="dxa"/>
            <w:vAlign w:val="bottom"/>
            <w:gridSpan w:val="3"/>
          </w:tcPr>
          <w:p>
            <w:pPr>
              <w:spacing w:after="0"/>
              <w:rPr>
                <w:sz w:val="20"/>
                <w:szCs w:val="20"/>
                <w:color w:val="auto"/>
              </w:rPr>
            </w:pPr>
            <w:r>
              <w:rPr>
                <w:rFonts w:ascii="Arial" w:cs="Arial" w:eastAsia="Arial" w:hAnsi="Arial"/>
                <w:sz w:val="18"/>
                <w:szCs w:val="18"/>
                <w:b w:val="1"/>
                <w:bCs w:val="1"/>
                <w:color w:val="auto"/>
              </w:rPr>
              <w:t>Total assets</w:t>
            </w:r>
          </w:p>
        </w:tc>
        <w:tc>
          <w:tcPr>
            <w:tcW w:w="3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369,031</w:t>
            </w:r>
          </w:p>
        </w:tc>
        <w:tc>
          <w:tcPr>
            <w:tcW w:w="120" w:type="dxa"/>
            <w:vAlign w:val="bottom"/>
          </w:tcPr>
          <w:p>
            <w:pPr>
              <w:spacing w:after="0"/>
              <w:rPr>
                <w:sz w:val="18"/>
                <w:szCs w:val="18"/>
                <w:color w:val="auto"/>
              </w:rPr>
            </w:pPr>
          </w:p>
        </w:tc>
        <w:tc>
          <w:tcPr>
            <w:tcW w:w="2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406,273</w:t>
            </w: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80" w:type="dxa"/>
            <w:vAlign w:val="bottom"/>
            <w:shd w:val="clear" w:color="auto" w:fill="CCEEFF"/>
          </w:tcPr>
          <w:p>
            <w:pPr>
              <w:spacing w:after="0"/>
              <w:rPr>
                <w:sz w:val="17"/>
                <w:szCs w:val="17"/>
                <w:color w:val="auto"/>
              </w:rPr>
            </w:pPr>
          </w:p>
        </w:tc>
        <w:tc>
          <w:tcPr>
            <w:tcW w:w="230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c>
          <w:tcPr>
            <w:tcW w:w="3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4400" w:type="dxa"/>
            <w:vAlign w:val="bottom"/>
            <w:gridSpan w:val="3"/>
          </w:tcPr>
          <w:p>
            <w:pPr>
              <w:spacing w:after="0" w:line="176" w:lineRule="exact"/>
              <w:rPr>
                <w:sz w:val="20"/>
                <w:szCs w:val="20"/>
                <w:color w:val="auto"/>
              </w:rPr>
            </w:pPr>
            <w:r>
              <w:rPr>
                <w:rFonts w:ascii="Arial" w:cs="Arial" w:eastAsia="Arial" w:hAnsi="Arial"/>
                <w:sz w:val="18"/>
                <w:szCs w:val="18"/>
                <w:b w:val="1"/>
                <w:bCs w:val="1"/>
                <w:color w:val="auto"/>
              </w:rPr>
              <w:t>Liabilities and Stockholders</w:t>
            </w:r>
            <w:r>
              <w:rPr>
                <w:rFonts w:ascii="Arial" w:cs="Arial" w:eastAsia="Arial" w:hAnsi="Arial"/>
                <w:sz w:val="18"/>
                <w:szCs w:val="18"/>
                <w:color w:val="auto"/>
              </w:rPr>
              <w:t>’</w:t>
            </w:r>
            <w:r>
              <w:rPr>
                <w:rFonts w:ascii="Arial" w:cs="Arial" w:eastAsia="Arial" w:hAnsi="Arial"/>
                <w:sz w:val="18"/>
                <w:szCs w:val="18"/>
                <w:b w:val="1"/>
                <w:bCs w:val="1"/>
                <w:color w:val="auto"/>
              </w:rPr>
              <w:t xml:space="preserve"> Equity</w:t>
            </w:r>
          </w:p>
        </w:tc>
        <w:tc>
          <w:tcPr>
            <w:tcW w:w="3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80" w:type="dxa"/>
            <w:vAlign w:val="bottom"/>
            <w:tcBorders>
              <w:top w:val="single" w:sz="8" w:color="auto"/>
            </w:tcBorders>
          </w:tcPr>
          <w:p>
            <w:pPr>
              <w:spacing w:after="0" w:line="20" w:lineRule="exact"/>
              <w:rPr>
                <w:sz w:val="1"/>
                <w:szCs w:val="1"/>
                <w:color w:val="auto"/>
              </w:rPr>
            </w:pPr>
          </w:p>
        </w:tc>
        <w:tc>
          <w:tcPr>
            <w:tcW w:w="2300" w:type="dxa"/>
            <w:vAlign w:val="bottom"/>
            <w:tcBorders>
              <w:top w:val="single" w:sz="8" w:color="auto"/>
            </w:tcBorders>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440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Current liabilities</w:t>
            </w:r>
          </w:p>
        </w:tc>
        <w:tc>
          <w:tcPr>
            <w:tcW w:w="3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gridSpan w:val="3"/>
          </w:tcPr>
          <w:p>
            <w:pPr>
              <w:ind w:left="180"/>
              <w:spacing w:after="0"/>
              <w:rPr>
                <w:sz w:val="20"/>
                <w:szCs w:val="20"/>
                <w:color w:val="auto"/>
              </w:rPr>
            </w:pPr>
            <w:r>
              <w:rPr>
                <w:rFonts w:ascii="Arial" w:cs="Arial" w:eastAsia="Arial" w:hAnsi="Arial"/>
                <w:sz w:val="18"/>
                <w:szCs w:val="18"/>
                <w:color w:val="auto"/>
              </w:rPr>
              <w:t>Accounts payable</w:t>
            </w:r>
          </w:p>
        </w:tc>
        <w:tc>
          <w:tcPr>
            <w:tcW w:w="3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17,117</w:t>
            </w:r>
          </w:p>
        </w:tc>
        <w:tc>
          <w:tcPr>
            <w:tcW w:w="120" w:type="dxa"/>
            <w:vAlign w:val="bottom"/>
          </w:tcPr>
          <w:p>
            <w:pPr>
              <w:spacing w:after="0"/>
              <w:rPr>
                <w:sz w:val="18"/>
                <w:szCs w:val="18"/>
                <w:color w:val="auto"/>
              </w:rPr>
            </w:pPr>
          </w:p>
        </w:tc>
        <w:tc>
          <w:tcPr>
            <w:tcW w:w="2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20,359</w:t>
            </w:r>
          </w:p>
        </w:tc>
        <w:tc>
          <w:tcPr>
            <w:tcW w:w="0" w:type="dxa"/>
            <w:vAlign w:val="bottom"/>
          </w:tcPr>
          <w:p>
            <w:pPr>
              <w:spacing w:after="0"/>
              <w:rPr>
                <w:sz w:val="1"/>
                <w:szCs w:val="1"/>
                <w:color w:val="auto"/>
              </w:rPr>
            </w:pPr>
          </w:p>
        </w:tc>
      </w:tr>
      <w:tr>
        <w:trPr>
          <w:trHeight w:val="216"/>
        </w:trPr>
        <w:tc>
          <w:tcPr>
            <w:tcW w:w="440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Accrued compensation and benefits</w:t>
            </w:r>
          </w:p>
        </w:tc>
        <w:tc>
          <w:tcPr>
            <w:tcW w:w="3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9,524</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12,921</w:t>
            </w:r>
          </w:p>
        </w:tc>
        <w:tc>
          <w:tcPr>
            <w:tcW w:w="0" w:type="dxa"/>
            <w:vAlign w:val="bottom"/>
          </w:tcPr>
          <w:p>
            <w:pPr>
              <w:spacing w:after="0"/>
              <w:rPr>
                <w:sz w:val="1"/>
                <w:szCs w:val="1"/>
                <w:color w:val="auto"/>
              </w:rPr>
            </w:pPr>
          </w:p>
        </w:tc>
      </w:tr>
      <w:tr>
        <w:trPr>
          <w:trHeight w:val="216"/>
        </w:trPr>
        <w:tc>
          <w:tcPr>
            <w:tcW w:w="4400" w:type="dxa"/>
            <w:vAlign w:val="bottom"/>
            <w:gridSpan w:val="3"/>
          </w:tcPr>
          <w:p>
            <w:pPr>
              <w:ind w:left="180"/>
              <w:spacing w:after="0"/>
              <w:rPr>
                <w:sz w:val="20"/>
                <w:szCs w:val="20"/>
                <w:color w:val="auto"/>
              </w:rPr>
            </w:pPr>
            <w:r>
              <w:rPr>
                <w:rFonts w:ascii="Arial" w:cs="Arial" w:eastAsia="Arial" w:hAnsi="Arial"/>
                <w:sz w:val="18"/>
                <w:szCs w:val="18"/>
                <w:color w:val="auto"/>
              </w:rPr>
              <w:t>Customer deposits</w:t>
            </w:r>
          </w:p>
        </w:tc>
        <w:tc>
          <w:tcPr>
            <w:tcW w:w="3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23,626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35,963</w:t>
            </w:r>
          </w:p>
        </w:tc>
        <w:tc>
          <w:tcPr>
            <w:tcW w:w="0" w:type="dxa"/>
            <w:vAlign w:val="bottom"/>
          </w:tcPr>
          <w:p>
            <w:pPr>
              <w:spacing w:after="0"/>
              <w:rPr>
                <w:sz w:val="1"/>
                <w:szCs w:val="1"/>
                <w:color w:val="auto"/>
              </w:rPr>
            </w:pPr>
          </w:p>
        </w:tc>
      </w:tr>
      <w:tr>
        <w:trPr>
          <w:trHeight w:val="216"/>
        </w:trPr>
        <w:tc>
          <w:tcPr>
            <w:tcW w:w="440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Current portion operating lease obligations</w:t>
            </w:r>
          </w:p>
        </w:tc>
        <w:tc>
          <w:tcPr>
            <w:tcW w:w="3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19,608</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18,819</w:t>
            </w:r>
          </w:p>
        </w:tc>
        <w:tc>
          <w:tcPr>
            <w:tcW w:w="0" w:type="dxa"/>
            <w:vAlign w:val="bottom"/>
          </w:tcPr>
          <w:p>
            <w:pPr>
              <w:spacing w:after="0"/>
              <w:rPr>
                <w:sz w:val="1"/>
                <w:szCs w:val="1"/>
                <w:color w:val="auto"/>
              </w:rPr>
            </w:pPr>
          </w:p>
        </w:tc>
      </w:tr>
      <w:tr>
        <w:trPr>
          <w:trHeight w:val="216"/>
        </w:trPr>
        <w:tc>
          <w:tcPr>
            <w:tcW w:w="4400" w:type="dxa"/>
            <w:vAlign w:val="bottom"/>
            <w:gridSpan w:val="3"/>
          </w:tcPr>
          <w:p>
            <w:pPr>
              <w:ind w:left="180"/>
              <w:spacing w:after="0"/>
              <w:rPr>
                <w:sz w:val="20"/>
                <w:szCs w:val="20"/>
                <w:color w:val="auto"/>
              </w:rPr>
            </w:pPr>
            <w:r>
              <w:rPr>
                <w:rFonts w:ascii="Arial" w:cs="Arial" w:eastAsia="Arial" w:hAnsi="Arial"/>
                <w:sz w:val="18"/>
                <w:szCs w:val="18"/>
                <w:color w:val="auto"/>
              </w:rPr>
              <w:t>Other current liabilites and accrued expenses</w:t>
            </w:r>
          </w:p>
        </w:tc>
        <w:tc>
          <w:tcPr>
            <w:tcW w:w="36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12,168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12,765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4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 current liabilities</w:t>
            </w:r>
          </w:p>
        </w:tc>
        <w:tc>
          <w:tcPr>
            <w:tcW w:w="3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82,043</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100,827</w:t>
            </w:r>
          </w:p>
        </w:tc>
        <w:tc>
          <w:tcPr>
            <w:tcW w:w="0" w:type="dxa"/>
            <w:vAlign w:val="bottom"/>
          </w:tcPr>
          <w:p>
            <w:pPr>
              <w:spacing w:after="0"/>
              <w:rPr>
                <w:sz w:val="1"/>
                <w:szCs w:val="1"/>
                <w:color w:val="auto"/>
              </w:rPr>
            </w:pPr>
          </w:p>
        </w:tc>
      </w:tr>
      <w:tr>
        <w:trPr>
          <w:trHeight w:val="210"/>
        </w:trPr>
        <w:tc>
          <w:tcPr>
            <w:tcW w:w="480" w:type="dxa"/>
            <w:vAlign w:val="bottom"/>
            <w:tcBorders>
              <w:top w:val="single" w:sz="8" w:color="CCEEFF"/>
            </w:tcBorders>
          </w:tcPr>
          <w:p>
            <w:pPr>
              <w:spacing w:after="0"/>
              <w:rPr>
                <w:sz w:val="18"/>
                <w:szCs w:val="18"/>
                <w:color w:val="auto"/>
              </w:rPr>
            </w:pPr>
          </w:p>
        </w:tc>
        <w:tc>
          <w:tcPr>
            <w:tcW w:w="2300" w:type="dxa"/>
            <w:vAlign w:val="bottom"/>
            <w:tcBorders>
              <w:top w:val="single" w:sz="8" w:color="CCEEFF"/>
            </w:tcBorders>
          </w:tcPr>
          <w:p>
            <w:pPr>
              <w:spacing w:after="0"/>
              <w:rPr>
                <w:sz w:val="18"/>
                <w:szCs w:val="18"/>
                <w:color w:val="auto"/>
              </w:rPr>
            </w:pPr>
          </w:p>
        </w:tc>
        <w:tc>
          <w:tcPr>
            <w:tcW w:w="1620" w:type="dxa"/>
            <w:vAlign w:val="bottom"/>
            <w:tcBorders>
              <w:top w:val="single" w:sz="8" w:color="CCEEFF"/>
            </w:tcBorders>
          </w:tcPr>
          <w:p>
            <w:pPr>
              <w:spacing w:after="0"/>
              <w:rPr>
                <w:sz w:val="18"/>
                <w:szCs w:val="18"/>
                <w:color w:val="auto"/>
              </w:rPr>
            </w:pPr>
          </w:p>
        </w:tc>
        <w:tc>
          <w:tcPr>
            <w:tcW w:w="360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Long-term liabilities</w:t>
            </w:r>
          </w:p>
        </w:tc>
        <w:tc>
          <w:tcPr>
            <w:tcW w:w="3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gridSpan w:val="3"/>
          </w:tcPr>
          <w:p>
            <w:pPr>
              <w:ind w:left="180"/>
              <w:spacing w:after="0"/>
              <w:rPr>
                <w:sz w:val="20"/>
                <w:szCs w:val="20"/>
                <w:color w:val="auto"/>
              </w:rPr>
            </w:pPr>
            <w:r>
              <w:rPr>
                <w:rFonts w:ascii="Arial" w:cs="Arial" w:eastAsia="Arial" w:hAnsi="Arial"/>
                <w:sz w:val="18"/>
                <w:szCs w:val="18"/>
                <w:color w:val="auto"/>
              </w:rPr>
              <w:t>Post employment benefit obligations</w:t>
            </w:r>
          </w:p>
        </w:tc>
        <w:tc>
          <w:tcPr>
            <w:tcW w:w="3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10,668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9,954</w:t>
            </w:r>
          </w:p>
        </w:tc>
        <w:tc>
          <w:tcPr>
            <w:tcW w:w="0" w:type="dxa"/>
            <w:vAlign w:val="bottom"/>
          </w:tcPr>
          <w:p>
            <w:pPr>
              <w:spacing w:after="0"/>
              <w:rPr>
                <w:sz w:val="1"/>
                <w:szCs w:val="1"/>
                <w:color w:val="auto"/>
              </w:rPr>
            </w:pPr>
          </w:p>
        </w:tc>
      </w:tr>
      <w:tr>
        <w:trPr>
          <w:trHeight w:val="216"/>
        </w:trPr>
        <w:tc>
          <w:tcPr>
            <w:tcW w:w="440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Long-term portion of operating lease obligations</w:t>
            </w:r>
          </w:p>
        </w:tc>
        <w:tc>
          <w:tcPr>
            <w:tcW w:w="3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85,875</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97,477</w:t>
            </w:r>
          </w:p>
        </w:tc>
        <w:tc>
          <w:tcPr>
            <w:tcW w:w="0" w:type="dxa"/>
            <w:vAlign w:val="bottom"/>
          </w:tcPr>
          <w:p>
            <w:pPr>
              <w:spacing w:after="0"/>
              <w:rPr>
                <w:sz w:val="1"/>
                <w:szCs w:val="1"/>
                <w:color w:val="auto"/>
              </w:rPr>
            </w:pPr>
          </w:p>
        </w:tc>
      </w:tr>
      <w:tr>
        <w:trPr>
          <w:trHeight w:val="216"/>
        </w:trPr>
        <w:tc>
          <w:tcPr>
            <w:tcW w:w="4400" w:type="dxa"/>
            <w:vAlign w:val="bottom"/>
            <w:gridSpan w:val="3"/>
          </w:tcPr>
          <w:p>
            <w:pPr>
              <w:ind w:left="180"/>
              <w:spacing w:after="0"/>
              <w:rPr>
                <w:sz w:val="20"/>
                <w:szCs w:val="20"/>
                <w:color w:val="auto"/>
              </w:rPr>
            </w:pPr>
            <w:r>
              <w:rPr>
                <w:rFonts w:ascii="Arial" w:cs="Arial" w:eastAsia="Arial" w:hAnsi="Arial"/>
                <w:sz w:val="18"/>
                <w:szCs w:val="18"/>
                <w:color w:val="auto"/>
              </w:rPr>
              <w:t>Other long-term liabilities</w:t>
            </w:r>
          </w:p>
        </w:tc>
        <w:tc>
          <w:tcPr>
            <w:tcW w:w="36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2,406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4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 long-term liabilities</w:t>
            </w:r>
          </w:p>
        </w:tc>
        <w:tc>
          <w:tcPr>
            <w:tcW w:w="3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98,211</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109,837</w:t>
            </w:r>
          </w:p>
        </w:tc>
        <w:tc>
          <w:tcPr>
            <w:tcW w:w="0" w:type="dxa"/>
            <w:vAlign w:val="bottom"/>
          </w:tcPr>
          <w:p>
            <w:pPr>
              <w:spacing w:after="0"/>
              <w:rPr>
                <w:sz w:val="1"/>
                <w:szCs w:val="1"/>
                <w:color w:val="auto"/>
              </w:rPr>
            </w:pPr>
          </w:p>
        </w:tc>
      </w:tr>
      <w:tr>
        <w:trPr>
          <w:trHeight w:val="209"/>
        </w:trPr>
        <w:tc>
          <w:tcPr>
            <w:tcW w:w="480" w:type="dxa"/>
            <w:vAlign w:val="bottom"/>
            <w:tcBorders>
              <w:top w:val="single" w:sz="8" w:color="CCEEFF"/>
            </w:tcBorders>
          </w:tcPr>
          <w:p>
            <w:pPr>
              <w:spacing w:after="0"/>
              <w:rPr>
                <w:sz w:val="18"/>
                <w:szCs w:val="18"/>
                <w:color w:val="auto"/>
              </w:rPr>
            </w:pPr>
          </w:p>
        </w:tc>
        <w:tc>
          <w:tcPr>
            <w:tcW w:w="2300" w:type="dxa"/>
            <w:vAlign w:val="bottom"/>
            <w:tcBorders>
              <w:top w:val="single" w:sz="8" w:color="CCEEFF"/>
            </w:tcBorders>
          </w:tcPr>
          <w:p>
            <w:pPr>
              <w:spacing w:after="0"/>
              <w:rPr>
                <w:sz w:val="18"/>
                <w:szCs w:val="18"/>
                <w:color w:val="auto"/>
              </w:rPr>
            </w:pPr>
          </w:p>
        </w:tc>
        <w:tc>
          <w:tcPr>
            <w:tcW w:w="1620" w:type="dxa"/>
            <w:vAlign w:val="bottom"/>
            <w:tcBorders>
              <w:top w:val="single" w:sz="8" w:color="CCEEFF"/>
            </w:tcBorders>
          </w:tcPr>
          <w:p>
            <w:pPr>
              <w:spacing w:after="0"/>
              <w:rPr>
                <w:sz w:val="18"/>
                <w:szCs w:val="18"/>
                <w:color w:val="auto"/>
              </w:rPr>
            </w:pPr>
          </w:p>
        </w:tc>
        <w:tc>
          <w:tcPr>
            <w:tcW w:w="360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 w:type="dxa"/>
            <w:vAlign w:val="bottom"/>
            <w:shd w:val="clear" w:color="auto" w:fill="CCEEFF"/>
          </w:tcPr>
          <w:p>
            <w:pPr>
              <w:spacing w:after="0"/>
              <w:rPr>
                <w:sz w:val="18"/>
                <w:szCs w:val="18"/>
                <w:color w:val="auto"/>
              </w:rPr>
            </w:pPr>
          </w:p>
        </w:tc>
        <w:tc>
          <w:tcPr>
            <w:tcW w:w="230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3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gridSpan w:val="3"/>
          </w:tcPr>
          <w:p>
            <w:pPr>
              <w:spacing w:after="0"/>
              <w:rPr>
                <w:sz w:val="20"/>
                <w:szCs w:val="20"/>
                <w:color w:val="auto"/>
              </w:rPr>
            </w:pPr>
            <w:r>
              <w:rPr>
                <w:rFonts w:ascii="Arial" w:cs="Arial" w:eastAsia="Arial" w:hAnsi="Arial"/>
                <w:sz w:val="18"/>
                <w:szCs w:val="18"/>
                <w:b w:val="1"/>
                <w:bCs w:val="1"/>
                <w:color w:val="auto"/>
              </w:rPr>
              <w:t>Stockholders</w:t>
            </w:r>
            <w:r>
              <w:rPr>
                <w:rFonts w:ascii="Arial" w:cs="Arial" w:eastAsia="Arial" w:hAnsi="Arial"/>
                <w:sz w:val="18"/>
                <w:szCs w:val="18"/>
                <w:color w:val="auto"/>
              </w:rPr>
              <w:t>’</w:t>
            </w:r>
            <w:r>
              <w:rPr>
                <w:rFonts w:ascii="Arial" w:cs="Arial" w:eastAsia="Arial" w:hAnsi="Arial"/>
                <w:sz w:val="18"/>
                <w:szCs w:val="18"/>
                <w:b w:val="1"/>
                <w:bCs w:val="1"/>
                <w:color w:val="auto"/>
              </w:rPr>
              <w:t xml:space="preserve"> equity</w:t>
            </w:r>
          </w:p>
        </w:tc>
        <w:tc>
          <w:tcPr>
            <w:tcW w:w="3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Common stock</w:t>
            </w:r>
          </w:p>
        </w:tc>
        <w:tc>
          <w:tcPr>
            <w:tcW w:w="3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43,800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44,759</w:t>
            </w:r>
          </w:p>
        </w:tc>
        <w:tc>
          <w:tcPr>
            <w:tcW w:w="0" w:type="dxa"/>
            <w:vAlign w:val="bottom"/>
          </w:tcPr>
          <w:p>
            <w:pPr>
              <w:spacing w:after="0"/>
              <w:rPr>
                <w:sz w:val="1"/>
                <w:szCs w:val="1"/>
                <w:color w:val="auto"/>
              </w:rPr>
            </w:pPr>
          </w:p>
        </w:tc>
      </w:tr>
      <w:tr>
        <w:trPr>
          <w:trHeight w:val="216"/>
        </w:trPr>
        <w:tc>
          <w:tcPr>
            <w:tcW w:w="4400" w:type="dxa"/>
            <w:vAlign w:val="bottom"/>
            <w:gridSpan w:val="3"/>
          </w:tcPr>
          <w:p>
            <w:pPr>
              <w:ind w:left="180"/>
              <w:spacing w:after="0"/>
              <w:rPr>
                <w:sz w:val="20"/>
                <w:szCs w:val="20"/>
                <w:color w:val="auto"/>
              </w:rPr>
            </w:pPr>
            <w:r>
              <w:rPr>
                <w:rFonts w:ascii="Arial" w:cs="Arial" w:eastAsia="Arial" w:hAnsi="Arial"/>
                <w:sz w:val="18"/>
                <w:szCs w:val="18"/>
                <w:color w:val="auto"/>
              </w:rPr>
              <w:t>Retained earnings</w:t>
            </w:r>
          </w:p>
        </w:tc>
        <w:tc>
          <w:tcPr>
            <w:tcW w:w="3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145,031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150,800</w:t>
            </w:r>
          </w:p>
        </w:tc>
        <w:tc>
          <w:tcPr>
            <w:tcW w:w="0" w:type="dxa"/>
            <w:vAlign w:val="bottom"/>
          </w:tcPr>
          <w:p>
            <w:pPr>
              <w:spacing w:after="0"/>
              <w:rPr>
                <w:sz w:val="1"/>
                <w:szCs w:val="1"/>
                <w:color w:val="auto"/>
              </w:rPr>
            </w:pPr>
          </w:p>
        </w:tc>
      </w:tr>
      <w:tr>
        <w:trPr>
          <w:trHeight w:val="216"/>
        </w:trPr>
        <w:tc>
          <w:tcPr>
            <w:tcW w:w="440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Additional paid-in capital</w:t>
            </w:r>
          </w:p>
        </w:tc>
        <w:tc>
          <w:tcPr>
            <w:tcW w:w="3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400" w:type="dxa"/>
            <w:vAlign w:val="bottom"/>
            <w:gridSpan w:val="3"/>
          </w:tcPr>
          <w:p>
            <w:pPr>
              <w:ind w:left="180"/>
              <w:spacing w:after="0"/>
              <w:rPr>
                <w:sz w:val="20"/>
                <w:szCs w:val="20"/>
                <w:color w:val="auto"/>
              </w:rPr>
            </w:pPr>
            <w:r>
              <w:rPr>
                <w:rFonts w:ascii="Arial" w:cs="Arial" w:eastAsia="Arial" w:hAnsi="Arial"/>
                <w:sz w:val="18"/>
                <w:szCs w:val="18"/>
                <w:color w:val="auto"/>
              </w:rPr>
              <w:t>Accumulated other comprehensive income (loss)</w:t>
            </w:r>
          </w:p>
        </w:tc>
        <w:tc>
          <w:tcPr>
            <w:tcW w:w="3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2"/>
          </w:tcPr>
          <w:p>
            <w:pPr>
              <w:jc w:val="right"/>
              <w:ind w:right="60"/>
              <w:spacing w:after="0"/>
              <w:rPr>
                <w:sz w:val="20"/>
                <w:szCs w:val="20"/>
                <w:color w:val="auto"/>
              </w:rPr>
            </w:pPr>
            <w:r>
              <w:rPr>
                <w:rFonts w:ascii="Arial" w:cs="Arial" w:eastAsia="Arial" w:hAnsi="Arial"/>
                <w:sz w:val="18"/>
                <w:szCs w:val="18"/>
                <w:color w:val="auto"/>
              </w:rPr>
              <w:t>(54)</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0"/>
        </w:trPr>
        <w:tc>
          <w:tcPr>
            <w:tcW w:w="440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Total stockholders' equity</w:t>
            </w:r>
          </w:p>
        </w:tc>
        <w:tc>
          <w:tcPr>
            <w:tcW w:w="36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188,777</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195,609</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400" w:type="dxa"/>
            <w:vAlign w:val="bottom"/>
            <w:gridSpan w:val="3"/>
          </w:tcPr>
          <w:p>
            <w:pPr>
              <w:spacing w:after="0"/>
              <w:rPr>
                <w:sz w:val="20"/>
                <w:szCs w:val="20"/>
                <w:color w:val="auto"/>
              </w:rPr>
            </w:pPr>
            <w:r>
              <w:rPr>
                <w:rFonts w:ascii="Arial" w:cs="Arial" w:eastAsia="Arial" w:hAnsi="Arial"/>
                <w:sz w:val="18"/>
                <w:szCs w:val="18"/>
                <w:b w:val="1"/>
                <w:bCs w:val="1"/>
                <w:color w:val="auto"/>
              </w:rPr>
              <w:t>Total liabilities and stockholders</w:t>
            </w:r>
            <w:r>
              <w:rPr>
                <w:rFonts w:ascii="Arial" w:cs="Arial" w:eastAsia="Arial" w:hAnsi="Arial"/>
                <w:sz w:val="18"/>
                <w:szCs w:val="18"/>
                <w:color w:val="auto"/>
              </w:rPr>
              <w:t>’</w:t>
            </w:r>
            <w:r>
              <w:rPr>
                <w:rFonts w:ascii="Arial" w:cs="Arial" w:eastAsia="Arial" w:hAnsi="Arial"/>
                <w:sz w:val="18"/>
                <w:szCs w:val="18"/>
                <w:b w:val="1"/>
                <w:bCs w:val="1"/>
                <w:color w:val="auto"/>
              </w:rPr>
              <w:t xml:space="preserve"> equity</w:t>
            </w:r>
          </w:p>
        </w:tc>
        <w:tc>
          <w:tcPr>
            <w:tcW w:w="3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369,031</w:t>
            </w:r>
          </w:p>
        </w:tc>
        <w:tc>
          <w:tcPr>
            <w:tcW w:w="120" w:type="dxa"/>
            <w:vAlign w:val="bottom"/>
          </w:tcPr>
          <w:p>
            <w:pPr>
              <w:spacing w:after="0"/>
              <w:rPr>
                <w:sz w:val="18"/>
                <w:szCs w:val="18"/>
                <w:color w:val="auto"/>
              </w:rPr>
            </w:pPr>
          </w:p>
        </w:tc>
        <w:tc>
          <w:tcPr>
            <w:tcW w:w="2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406,273</w:t>
            </w: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accompanying notes to condensed consolidated financial statements are an integral part of the condensed consolidated financial statements.</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 of 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27" w:right="339" w:bottom="1440" w:gutter="0" w:footer="0" w:header="0"/>
        </w:sectPr>
      </w:pPr>
    </w:p>
    <w:bookmarkStart w:id="5" w:name="page6"/>
    <w:bookmarkEnd w:id="5"/>
    <w:p>
      <w:pPr>
        <w:ind w:left="3560"/>
        <w:spacing w:after="0"/>
        <w:rPr>
          <w:sz w:val="20"/>
          <w:szCs w:val="20"/>
          <w:color w:val="auto"/>
        </w:rPr>
      </w:pPr>
      <w:r>
        <w:rPr>
          <w:rFonts w:ascii="Arial" w:cs="Arial" w:eastAsia="Arial" w:hAnsi="Arial"/>
          <w:sz w:val="18"/>
          <w:szCs w:val="18"/>
          <w:u w:val="single" w:color="auto"/>
          <w:color w:val="auto"/>
        </w:rPr>
        <w:t>PART I – FINANCIAL INFORMATION – CONTINUED</w:t>
      </w:r>
    </w:p>
    <w:p>
      <w:pPr>
        <w:spacing w:after="0" w:line="23" w:lineRule="exact"/>
        <w:rPr>
          <w:sz w:val="20"/>
          <w:szCs w:val="20"/>
          <w:color w:val="auto"/>
        </w:rPr>
      </w:pPr>
    </w:p>
    <w:p>
      <w:pPr>
        <w:ind w:left="4260"/>
        <w:spacing w:after="0"/>
        <w:rPr>
          <w:sz w:val="20"/>
          <w:szCs w:val="20"/>
          <w:color w:val="auto"/>
        </w:rPr>
      </w:pPr>
      <w:r>
        <w:rPr>
          <w:rFonts w:ascii="Arial" w:cs="Arial" w:eastAsia="Arial" w:hAnsi="Arial"/>
          <w:sz w:val="18"/>
          <w:szCs w:val="18"/>
          <w:u w:val="single" w:color="auto"/>
          <w:color w:val="auto"/>
        </w:rPr>
        <w:t>ITEM 1. FINANCIAL STATEMENTS</w:t>
      </w:r>
    </w:p>
    <w:p>
      <w:pPr>
        <w:spacing w:after="0" w:line="9" w:lineRule="exact"/>
        <w:rPr>
          <w:sz w:val="20"/>
          <w:szCs w:val="20"/>
          <w:color w:val="auto"/>
        </w:rPr>
      </w:pPr>
    </w:p>
    <w:p>
      <w:pPr>
        <w:ind w:left="2600"/>
        <w:spacing w:after="0"/>
        <w:rPr>
          <w:sz w:val="20"/>
          <w:szCs w:val="20"/>
          <w:color w:val="auto"/>
        </w:rPr>
      </w:pPr>
      <w:r>
        <w:rPr>
          <w:rFonts w:ascii="Arial" w:cs="Arial" w:eastAsia="Arial" w:hAnsi="Arial"/>
          <w:sz w:val="18"/>
          <w:szCs w:val="18"/>
          <w:u w:val="single" w:color="auto"/>
          <w:color w:val="auto"/>
        </w:rPr>
        <w:t>BASSETT FURNITURE INDUSTRIES, INCORPORATED AND SUBSIDIARIES</w:t>
      </w:r>
    </w:p>
    <w:p>
      <w:pPr>
        <w:spacing w:after="0" w:line="9" w:lineRule="exact"/>
        <w:rPr>
          <w:sz w:val="20"/>
          <w:szCs w:val="20"/>
          <w:color w:val="auto"/>
        </w:rPr>
      </w:pPr>
    </w:p>
    <w:p>
      <w:pPr>
        <w:ind w:left="3080"/>
        <w:spacing w:after="0"/>
        <w:rPr>
          <w:sz w:val="20"/>
          <w:szCs w:val="20"/>
          <w:color w:val="auto"/>
        </w:rPr>
      </w:pPr>
      <w:r>
        <w:rPr>
          <w:rFonts w:ascii="Arial" w:cs="Arial" w:eastAsia="Arial" w:hAnsi="Arial"/>
          <w:sz w:val="18"/>
          <w:szCs w:val="18"/>
          <w:u w:val="single" w:color="auto"/>
          <w:color w:val="auto"/>
        </w:rPr>
        <w:t>CONDENSED CONSOLIDATED STATEMENTS OF CASH FLOWS</w:t>
      </w:r>
    </w:p>
    <w:p>
      <w:pPr>
        <w:spacing w:after="0" w:line="9" w:lineRule="exact"/>
        <w:rPr>
          <w:sz w:val="20"/>
          <w:szCs w:val="20"/>
          <w:color w:val="auto"/>
        </w:rPr>
      </w:pPr>
    </w:p>
    <w:p>
      <w:pPr>
        <w:ind w:left="2480"/>
        <w:spacing w:after="0"/>
        <w:rPr>
          <w:sz w:val="20"/>
          <w:szCs w:val="20"/>
          <w:color w:val="auto"/>
        </w:rPr>
      </w:pPr>
      <w:r>
        <w:rPr>
          <w:rFonts w:ascii="Arial" w:cs="Arial" w:eastAsia="Arial" w:hAnsi="Arial"/>
          <w:sz w:val="18"/>
          <w:szCs w:val="18"/>
          <w:u w:val="single" w:color="auto"/>
          <w:color w:val="auto"/>
        </w:rPr>
        <w:t>FOR THE PERIODS ENDED AUGUST 26, 2023 AND AUGUST 27, 2022 – UNAUDITED</w:t>
      </w:r>
    </w:p>
    <w:p>
      <w:pPr>
        <w:spacing w:after="0" w:line="9"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140" w:type="dxa"/>
            <w:vAlign w:val="bottom"/>
            <w:gridSpan w:val="6"/>
          </w:tcPr>
          <w:p>
            <w:pPr>
              <w:jc w:val="right"/>
              <w:ind w:right="900"/>
              <w:spacing w:after="0"/>
              <w:rPr>
                <w:sz w:val="20"/>
                <w:szCs w:val="20"/>
                <w:color w:val="auto"/>
              </w:rPr>
            </w:pPr>
            <w:r>
              <w:rPr>
                <w:rFonts w:ascii="Arial" w:cs="Arial" w:eastAsia="Arial" w:hAnsi="Arial"/>
                <w:sz w:val="18"/>
                <w:szCs w:val="18"/>
                <w:b w:val="1"/>
                <w:bCs w:val="1"/>
                <w:color w:val="auto"/>
              </w:rPr>
              <w:t>Nine Months Ended</w:t>
            </w:r>
          </w:p>
        </w:tc>
      </w:tr>
      <w:tr>
        <w:trPr>
          <w:trHeight w:val="210"/>
        </w:trPr>
        <w:tc>
          <w:tcPr>
            <w:tcW w:w="80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gridSpan w:val="2"/>
          </w:tcPr>
          <w:p>
            <w:pPr>
              <w:jc w:val="right"/>
              <w:ind w:right="260"/>
              <w:spacing w:after="0"/>
              <w:rPr>
                <w:sz w:val="20"/>
                <w:szCs w:val="20"/>
                <w:color w:val="auto"/>
              </w:rPr>
            </w:pPr>
            <w:r>
              <w:rPr>
                <w:rFonts w:ascii="Arial" w:cs="Arial" w:eastAsia="Arial" w:hAnsi="Arial"/>
                <w:sz w:val="18"/>
                <w:szCs w:val="18"/>
                <w:b w:val="1"/>
                <w:bCs w:val="1"/>
                <w:color w:val="auto"/>
                <w:w w:val="88"/>
              </w:rPr>
              <w:t>August 26, 2023</w:t>
            </w:r>
          </w:p>
        </w:tc>
        <w:tc>
          <w:tcPr>
            <w:tcW w:w="8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88"/>
              </w:rPr>
              <w:t>August 27, 2022</w:t>
            </w:r>
          </w:p>
        </w:tc>
        <w:tc>
          <w:tcPr>
            <w:tcW w:w="100" w:type="dxa"/>
            <w:vAlign w:val="bottom"/>
          </w:tcPr>
          <w:p>
            <w:pPr>
              <w:spacing w:after="0"/>
              <w:rPr>
                <w:sz w:val="18"/>
                <w:szCs w:val="18"/>
                <w:color w:val="auto"/>
              </w:rPr>
            </w:pPr>
          </w:p>
        </w:tc>
      </w:tr>
      <w:tr>
        <w:trPr>
          <w:trHeight w:val="209"/>
        </w:trPr>
        <w:tc>
          <w:tcPr>
            <w:tcW w:w="8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activities:</w:t>
            </w:r>
          </w:p>
        </w:tc>
        <w:tc>
          <w:tcPr>
            <w:tcW w:w="10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Net income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930</w:t>
            </w:r>
          </w:p>
        </w:tc>
        <w:tc>
          <w:tcPr>
            <w:tcW w:w="12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60,319</w:t>
            </w: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income to net cash provided by (used in) operating activities:</w:t>
            </w: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340"/>
              <w:spacing w:after="0"/>
              <w:rPr>
                <w:sz w:val="20"/>
                <w:szCs w:val="20"/>
                <w:color w:val="auto"/>
              </w:rPr>
            </w:pPr>
            <w:r>
              <w:rPr>
                <w:rFonts w:ascii="Arial" w:cs="Arial" w:eastAsia="Arial" w:hAnsi="Arial"/>
                <w:sz w:val="18"/>
                <w:szCs w:val="18"/>
                <w:color w:val="auto"/>
              </w:rPr>
              <w:t>Depreciation and amortization</w:t>
            </w:r>
          </w:p>
        </w:tc>
        <w:tc>
          <w:tcPr>
            <w:tcW w:w="1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7,502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8,732</w:t>
            </w:r>
          </w:p>
        </w:tc>
      </w:tr>
      <w:tr>
        <w:trPr>
          <w:trHeight w:val="216"/>
        </w:trPr>
        <w:tc>
          <w:tcPr>
            <w:tcW w:w="8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Gain on disposal of discontinued operations</w:t>
            </w: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(53,061)</w:t>
            </w:r>
          </w:p>
        </w:tc>
      </w:tr>
      <w:tr>
        <w:trPr>
          <w:trHeight w:val="216"/>
        </w:trPr>
        <w:tc>
          <w:tcPr>
            <w:tcW w:w="8000" w:type="dxa"/>
            <w:vAlign w:val="bottom"/>
          </w:tcPr>
          <w:p>
            <w:pPr>
              <w:ind w:left="340"/>
              <w:spacing w:after="0"/>
              <w:rPr>
                <w:sz w:val="20"/>
                <w:szCs w:val="20"/>
                <w:color w:val="auto"/>
              </w:rPr>
            </w:pPr>
            <w:r>
              <w:rPr>
                <w:rFonts w:ascii="Arial" w:cs="Arial" w:eastAsia="Arial" w:hAnsi="Arial"/>
                <w:sz w:val="18"/>
                <w:szCs w:val="18"/>
                <w:color w:val="auto"/>
              </w:rPr>
              <w:t>Gain on sale of property and equipment</w:t>
            </w:r>
          </w:p>
        </w:tc>
        <w:tc>
          <w:tcPr>
            <w:tcW w:w="1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right"/>
              <w:ind w:right="40"/>
              <w:spacing w:after="0"/>
              <w:rPr>
                <w:sz w:val="20"/>
                <w:szCs w:val="20"/>
                <w:color w:val="auto"/>
              </w:rPr>
            </w:pPr>
            <w:r>
              <w:rPr>
                <w:rFonts w:ascii="Arial" w:cs="Arial" w:eastAsia="Arial" w:hAnsi="Arial"/>
                <w:sz w:val="18"/>
                <w:szCs w:val="18"/>
                <w:color w:val="auto"/>
              </w:rPr>
              <w:t>(4,603)</w:t>
            </w:r>
          </w:p>
        </w:tc>
      </w:tr>
      <w:tr>
        <w:trPr>
          <w:trHeight w:val="216"/>
        </w:trPr>
        <w:tc>
          <w:tcPr>
            <w:tcW w:w="8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Gain on revaluation of contingent consideration</w:t>
            </w: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(1,013)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000" w:type="dxa"/>
            <w:vAlign w:val="bottom"/>
          </w:tcPr>
          <w:p>
            <w:pPr>
              <w:ind w:left="340"/>
              <w:spacing w:after="0"/>
              <w:rPr>
                <w:sz w:val="20"/>
                <w:szCs w:val="20"/>
                <w:color w:val="auto"/>
              </w:rPr>
            </w:pPr>
            <w:r>
              <w:rPr>
                <w:rFonts w:ascii="Arial" w:cs="Arial" w:eastAsia="Arial" w:hAnsi="Arial"/>
                <w:sz w:val="18"/>
                <w:szCs w:val="18"/>
                <w:color w:val="auto"/>
              </w:rPr>
              <w:t>Deferred income taxes</w:t>
            </w:r>
          </w:p>
        </w:tc>
        <w:tc>
          <w:tcPr>
            <w:tcW w:w="1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473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right"/>
              <w:ind w:right="40"/>
              <w:spacing w:after="0"/>
              <w:rPr>
                <w:sz w:val="20"/>
                <w:szCs w:val="20"/>
                <w:color w:val="auto"/>
              </w:rPr>
            </w:pPr>
            <w:r>
              <w:rPr>
                <w:rFonts w:ascii="Arial" w:cs="Arial" w:eastAsia="Arial" w:hAnsi="Arial"/>
                <w:sz w:val="18"/>
                <w:szCs w:val="18"/>
                <w:color w:val="auto"/>
              </w:rPr>
              <w:t>(2,856)</w:t>
            </w:r>
          </w:p>
        </w:tc>
      </w:tr>
      <w:tr>
        <w:trPr>
          <w:trHeight w:val="216"/>
        </w:trPr>
        <w:tc>
          <w:tcPr>
            <w:tcW w:w="8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net</w:t>
            </w: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1,781</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1,425</w:t>
            </w:r>
          </w:p>
        </w:tc>
      </w:tr>
      <w:tr>
        <w:trPr>
          <w:trHeight w:val="216"/>
        </w:trPr>
        <w:tc>
          <w:tcPr>
            <w:tcW w:w="8000" w:type="dxa"/>
            <w:vAlign w:val="bottom"/>
          </w:tcPr>
          <w:p>
            <w:pPr>
              <w:ind w:left="340"/>
              <w:spacing w:after="0"/>
              <w:rPr>
                <w:sz w:val="20"/>
                <w:szCs w:val="20"/>
                <w:color w:val="auto"/>
              </w:rPr>
            </w:pPr>
            <w:r>
              <w:rPr>
                <w:rFonts w:ascii="Arial" w:cs="Arial" w:eastAsia="Arial" w:hAnsi="Arial"/>
                <w:sz w:val="18"/>
                <w:szCs w:val="18"/>
                <w:color w:val="auto"/>
              </w:rPr>
              <w:t>Changes in operating assets and liabilities:</w:t>
            </w: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Accounts receivable</w:t>
            </w: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2,499</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w:t>
            </w:r>
          </w:p>
        </w:tc>
      </w:tr>
      <w:tr>
        <w:trPr>
          <w:trHeight w:val="216"/>
        </w:trPr>
        <w:tc>
          <w:tcPr>
            <w:tcW w:w="8000" w:type="dxa"/>
            <w:vAlign w:val="bottom"/>
          </w:tcPr>
          <w:p>
            <w:pPr>
              <w:ind w:left="500"/>
              <w:spacing w:after="0"/>
              <w:rPr>
                <w:sz w:val="20"/>
                <w:szCs w:val="20"/>
                <w:color w:val="auto"/>
              </w:rPr>
            </w:pPr>
            <w:r>
              <w:rPr>
                <w:rFonts w:ascii="Arial" w:cs="Arial" w:eastAsia="Arial" w:hAnsi="Arial"/>
                <w:sz w:val="18"/>
                <w:szCs w:val="18"/>
                <w:color w:val="auto"/>
              </w:rPr>
              <w:t>Inventories</w:t>
            </w:r>
          </w:p>
        </w:tc>
        <w:tc>
          <w:tcPr>
            <w:tcW w:w="1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18,611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right"/>
              <w:ind w:right="40"/>
              <w:spacing w:after="0"/>
              <w:rPr>
                <w:sz w:val="20"/>
                <w:szCs w:val="20"/>
                <w:color w:val="auto"/>
              </w:rPr>
            </w:pPr>
            <w:r>
              <w:rPr>
                <w:rFonts w:ascii="Arial" w:cs="Arial" w:eastAsia="Arial" w:hAnsi="Arial"/>
                <w:sz w:val="18"/>
                <w:szCs w:val="18"/>
                <w:color w:val="auto"/>
              </w:rPr>
              <w:t>(13,677)</w:t>
            </w:r>
          </w:p>
        </w:tc>
      </w:tr>
      <w:tr>
        <w:trPr>
          <w:trHeight w:val="216"/>
        </w:trPr>
        <w:tc>
          <w:tcPr>
            <w:tcW w:w="80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Other current assets</w:t>
            </w: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(289)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2,961</w:t>
            </w:r>
          </w:p>
        </w:tc>
      </w:tr>
      <w:tr>
        <w:trPr>
          <w:trHeight w:val="216"/>
        </w:trPr>
        <w:tc>
          <w:tcPr>
            <w:tcW w:w="8000" w:type="dxa"/>
            <w:vAlign w:val="bottom"/>
          </w:tcPr>
          <w:p>
            <w:pPr>
              <w:ind w:left="500"/>
              <w:spacing w:after="0"/>
              <w:rPr>
                <w:sz w:val="20"/>
                <w:szCs w:val="20"/>
                <w:color w:val="auto"/>
              </w:rPr>
            </w:pPr>
            <w:r>
              <w:rPr>
                <w:rFonts w:ascii="Arial" w:cs="Arial" w:eastAsia="Arial" w:hAnsi="Arial"/>
                <w:sz w:val="18"/>
                <w:szCs w:val="18"/>
                <w:color w:val="auto"/>
              </w:rPr>
              <w:t>Right of use assets under operating leases</w:t>
            </w:r>
          </w:p>
        </w:tc>
        <w:tc>
          <w:tcPr>
            <w:tcW w:w="1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13,668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15,881</w:t>
            </w:r>
          </w:p>
        </w:tc>
      </w:tr>
      <w:tr>
        <w:trPr>
          <w:trHeight w:val="216"/>
        </w:trPr>
        <w:tc>
          <w:tcPr>
            <w:tcW w:w="80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Customer deposits</w:t>
            </w: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(12,337)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(11,181)</w:t>
            </w:r>
          </w:p>
        </w:tc>
      </w:tr>
      <w:tr>
        <w:trPr>
          <w:trHeight w:val="216"/>
        </w:trPr>
        <w:tc>
          <w:tcPr>
            <w:tcW w:w="8000" w:type="dxa"/>
            <w:vAlign w:val="bottom"/>
          </w:tcPr>
          <w:p>
            <w:pPr>
              <w:ind w:left="500"/>
              <w:spacing w:after="0"/>
              <w:rPr>
                <w:sz w:val="20"/>
                <w:szCs w:val="20"/>
                <w:color w:val="auto"/>
              </w:rPr>
            </w:pPr>
            <w:r>
              <w:rPr>
                <w:rFonts w:ascii="Arial" w:cs="Arial" w:eastAsia="Arial" w:hAnsi="Arial"/>
                <w:sz w:val="18"/>
                <w:szCs w:val="18"/>
                <w:color w:val="auto"/>
              </w:rPr>
              <w:t>Accounts payable and other liabilities</w:t>
            </w:r>
          </w:p>
        </w:tc>
        <w:tc>
          <w:tcPr>
            <w:tcW w:w="100" w:type="dxa"/>
            <w:vAlign w:val="bottom"/>
          </w:tcPr>
          <w:p>
            <w:pPr>
              <w:spacing w:after="0"/>
              <w:rPr>
                <w:sz w:val="18"/>
                <w:szCs w:val="18"/>
                <w:color w:val="auto"/>
              </w:rPr>
            </w:pPr>
          </w:p>
        </w:tc>
        <w:tc>
          <w:tcPr>
            <w:tcW w:w="1500" w:type="dxa"/>
            <w:vAlign w:val="bottom"/>
            <w:gridSpan w:val="2"/>
          </w:tcPr>
          <w:p>
            <w:pPr>
              <w:jc w:val="right"/>
              <w:ind w:right="60"/>
              <w:spacing w:after="0"/>
              <w:rPr>
                <w:sz w:val="20"/>
                <w:szCs w:val="20"/>
                <w:color w:val="auto"/>
              </w:rPr>
            </w:pPr>
            <w:r>
              <w:rPr>
                <w:rFonts w:ascii="Arial" w:cs="Arial" w:eastAsia="Arial" w:hAnsi="Arial"/>
                <w:sz w:val="18"/>
                <w:szCs w:val="18"/>
                <w:color w:val="auto"/>
              </w:rPr>
              <w:t>(6,586)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1,227</w:t>
            </w:r>
          </w:p>
        </w:tc>
      </w:tr>
      <w:tr>
        <w:trPr>
          <w:trHeight w:val="216"/>
        </w:trPr>
        <w:tc>
          <w:tcPr>
            <w:tcW w:w="80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Obligations under operating leases</w:t>
            </w: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(14,990)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(17,519)</w:t>
            </w:r>
          </w:p>
        </w:tc>
      </w:tr>
      <w:tr>
        <w:trPr>
          <w:trHeight w:val="20"/>
        </w:trPr>
        <w:tc>
          <w:tcPr>
            <w:tcW w:w="80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8000" w:type="dxa"/>
            <w:vAlign w:val="bottom"/>
          </w:tcPr>
          <w:p>
            <w:pPr>
              <w:ind w:left="500"/>
              <w:spacing w:after="0"/>
              <w:rPr>
                <w:sz w:val="20"/>
                <w:szCs w:val="20"/>
                <w:color w:val="auto"/>
              </w:rPr>
            </w:pPr>
            <w:r>
              <w:rPr>
                <w:rFonts w:ascii="Arial" w:cs="Arial" w:eastAsia="Arial" w:hAnsi="Arial"/>
                <w:sz w:val="18"/>
                <w:szCs w:val="18"/>
                <w:b w:val="1"/>
                <w:bCs w:val="1"/>
                <w:color w:val="auto"/>
              </w:rPr>
              <w:t>Net cash provided by (used in) operating activities</w:t>
            </w:r>
          </w:p>
        </w:tc>
        <w:tc>
          <w:tcPr>
            <w:tcW w:w="1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10,249</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right"/>
              <w:ind w:right="40"/>
              <w:spacing w:after="0"/>
              <w:rPr>
                <w:sz w:val="20"/>
                <w:szCs w:val="20"/>
                <w:color w:val="auto"/>
              </w:rPr>
            </w:pPr>
            <w:r>
              <w:rPr>
                <w:rFonts w:ascii="Arial" w:cs="Arial" w:eastAsia="Arial" w:hAnsi="Arial"/>
                <w:sz w:val="18"/>
                <w:szCs w:val="18"/>
                <w:color w:val="auto"/>
              </w:rPr>
              <w:t>(12,295)</w:t>
            </w:r>
          </w:p>
        </w:tc>
      </w:tr>
      <w:tr>
        <w:trPr>
          <w:trHeight w:val="210"/>
        </w:trPr>
        <w:tc>
          <w:tcPr>
            <w:tcW w:w="80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b w:val="1"/>
                <w:bCs w:val="1"/>
                <w:color w:val="auto"/>
              </w:rPr>
              <w:t>Investing activities:</w:t>
            </w: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Purchases of property and equipment</w:t>
            </w: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(14,657)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(17,266)</w:t>
            </w: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Proceeds from sales of property and equipment</w:t>
            </w:r>
          </w:p>
        </w:tc>
        <w:tc>
          <w:tcPr>
            <w:tcW w:w="1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8,226</w:t>
            </w: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Proceeds from the disposal of discontinued operations, net</w:t>
            </w: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84,534</w:t>
            </w: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Other</w:t>
            </w:r>
          </w:p>
        </w:tc>
        <w:tc>
          <w:tcPr>
            <w:tcW w:w="100" w:type="dxa"/>
            <w:vAlign w:val="bottom"/>
          </w:tcPr>
          <w:p>
            <w:pPr>
              <w:spacing w:after="0"/>
              <w:rPr>
                <w:sz w:val="18"/>
                <w:szCs w:val="18"/>
                <w:color w:val="auto"/>
              </w:rPr>
            </w:pPr>
          </w:p>
        </w:tc>
        <w:tc>
          <w:tcPr>
            <w:tcW w:w="1500" w:type="dxa"/>
            <w:vAlign w:val="bottom"/>
            <w:gridSpan w:val="2"/>
          </w:tcPr>
          <w:p>
            <w:pPr>
              <w:jc w:val="right"/>
              <w:ind w:right="60"/>
              <w:spacing w:after="0"/>
              <w:rPr>
                <w:sz w:val="20"/>
                <w:szCs w:val="20"/>
                <w:color w:val="auto"/>
              </w:rPr>
            </w:pPr>
            <w:r>
              <w:rPr>
                <w:rFonts w:ascii="Arial" w:cs="Arial" w:eastAsia="Arial" w:hAnsi="Arial"/>
                <w:sz w:val="18"/>
                <w:szCs w:val="18"/>
                <w:color w:val="auto"/>
              </w:rPr>
              <w:t>(1,664)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right"/>
              <w:ind w:right="40"/>
              <w:spacing w:after="0"/>
              <w:rPr>
                <w:sz w:val="20"/>
                <w:szCs w:val="20"/>
                <w:color w:val="auto"/>
              </w:rPr>
            </w:pPr>
            <w:r>
              <w:rPr>
                <w:rFonts w:ascii="Arial" w:cs="Arial" w:eastAsia="Arial" w:hAnsi="Arial"/>
                <w:sz w:val="18"/>
                <w:szCs w:val="18"/>
                <w:color w:val="auto"/>
              </w:rPr>
              <w:t>(1,428)</w:t>
            </w:r>
          </w:p>
        </w:tc>
      </w:tr>
      <w:tr>
        <w:trPr>
          <w:trHeight w:val="20"/>
        </w:trPr>
        <w:tc>
          <w:tcPr>
            <w:tcW w:w="80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8000" w:type="dxa"/>
            <w:vAlign w:val="bottom"/>
            <w:shd w:val="clear" w:color="auto" w:fill="CCEEFF"/>
          </w:tcPr>
          <w:p>
            <w:pPr>
              <w:ind w:left="500"/>
              <w:spacing w:after="0"/>
              <w:rPr>
                <w:sz w:val="20"/>
                <w:szCs w:val="20"/>
                <w:color w:val="auto"/>
              </w:rPr>
            </w:pPr>
            <w:r>
              <w:rPr>
                <w:rFonts w:ascii="Arial" w:cs="Arial" w:eastAsia="Arial" w:hAnsi="Arial"/>
                <w:sz w:val="18"/>
                <w:szCs w:val="18"/>
                <w:b w:val="1"/>
                <w:bCs w:val="1"/>
                <w:color w:val="auto"/>
              </w:rPr>
              <w:t>Net cash provided by (used in) investing activities</w:t>
            </w: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(15,321)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74,066</w:t>
            </w:r>
          </w:p>
        </w:tc>
      </w:tr>
      <w:tr>
        <w:trPr>
          <w:trHeight w:val="210"/>
        </w:trPr>
        <w:tc>
          <w:tcPr>
            <w:tcW w:w="800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Financing activities:</w:t>
            </w: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Cash dividends</w:t>
            </w:r>
          </w:p>
        </w:tc>
        <w:tc>
          <w:tcPr>
            <w:tcW w:w="100" w:type="dxa"/>
            <w:vAlign w:val="bottom"/>
          </w:tcPr>
          <w:p>
            <w:pPr>
              <w:spacing w:after="0"/>
              <w:rPr>
                <w:sz w:val="18"/>
                <w:szCs w:val="18"/>
                <w:color w:val="auto"/>
              </w:rPr>
            </w:pPr>
          </w:p>
        </w:tc>
        <w:tc>
          <w:tcPr>
            <w:tcW w:w="1500" w:type="dxa"/>
            <w:vAlign w:val="bottom"/>
            <w:gridSpan w:val="2"/>
          </w:tcPr>
          <w:p>
            <w:pPr>
              <w:jc w:val="right"/>
              <w:ind w:right="60"/>
              <w:spacing w:after="0"/>
              <w:rPr>
                <w:sz w:val="20"/>
                <w:szCs w:val="20"/>
                <w:color w:val="auto"/>
              </w:rPr>
            </w:pPr>
            <w:r>
              <w:rPr>
                <w:rFonts w:ascii="Arial" w:cs="Arial" w:eastAsia="Arial" w:hAnsi="Arial"/>
                <w:sz w:val="18"/>
                <w:szCs w:val="18"/>
                <w:color w:val="auto"/>
              </w:rPr>
              <w:t>(4,406)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right"/>
              <w:ind w:right="40"/>
              <w:spacing w:after="0"/>
              <w:rPr>
                <w:sz w:val="20"/>
                <w:szCs w:val="20"/>
                <w:color w:val="auto"/>
              </w:rPr>
            </w:pPr>
            <w:r>
              <w:rPr>
                <w:rFonts w:ascii="Arial" w:cs="Arial" w:eastAsia="Arial" w:hAnsi="Arial"/>
                <w:sz w:val="18"/>
                <w:szCs w:val="18"/>
                <w:color w:val="auto"/>
              </w:rPr>
              <w:t>(18,734)</w:t>
            </w: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Other issuance of common stock</w:t>
            </w: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340</w:t>
            </w: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Repurchases of common stock</w:t>
            </w:r>
          </w:p>
        </w:tc>
        <w:tc>
          <w:tcPr>
            <w:tcW w:w="100" w:type="dxa"/>
            <w:vAlign w:val="bottom"/>
          </w:tcPr>
          <w:p>
            <w:pPr>
              <w:spacing w:after="0"/>
              <w:rPr>
                <w:sz w:val="18"/>
                <w:szCs w:val="18"/>
                <w:color w:val="auto"/>
              </w:rPr>
            </w:pPr>
          </w:p>
        </w:tc>
        <w:tc>
          <w:tcPr>
            <w:tcW w:w="1500" w:type="dxa"/>
            <w:vAlign w:val="bottom"/>
            <w:gridSpan w:val="2"/>
          </w:tcPr>
          <w:p>
            <w:pPr>
              <w:jc w:val="right"/>
              <w:ind w:right="60"/>
              <w:spacing w:after="0"/>
              <w:rPr>
                <w:sz w:val="20"/>
                <w:szCs w:val="20"/>
                <w:color w:val="auto"/>
              </w:rPr>
            </w:pPr>
            <w:r>
              <w:rPr>
                <w:rFonts w:ascii="Arial" w:cs="Arial" w:eastAsia="Arial" w:hAnsi="Arial"/>
                <w:sz w:val="18"/>
                <w:szCs w:val="18"/>
                <w:color w:val="auto"/>
              </w:rPr>
              <w:t>(4,056)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right"/>
              <w:ind w:right="40"/>
              <w:spacing w:after="0"/>
              <w:rPr>
                <w:sz w:val="20"/>
                <w:szCs w:val="20"/>
                <w:color w:val="auto"/>
              </w:rPr>
            </w:pPr>
            <w:r>
              <w:rPr>
                <w:rFonts w:ascii="Arial" w:cs="Arial" w:eastAsia="Arial" w:hAnsi="Arial"/>
                <w:sz w:val="18"/>
                <w:szCs w:val="18"/>
                <w:color w:val="auto"/>
              </w:rPr>
              <w:t>(10,263)</w:t>
            </w: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Taxes paid related to net share settlement of equity awards</w:t>
            </w: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Repayments of finance lease obligations</w:t>
            </w:r>
          </w:p>
        </w:tc>
        <w:tc>
          <w:tcPr>
            <w:tcW w:w="100" w:type="dxa"/>
            <w:vAlign w:val="bottom"/>
          </w:tcPr>
          <w:p>
            <w:pPr>
              <w:spacing w:after="0"/>
              <w:rPr>
                <w:sz w:val="18"/>
                <w:szCs w:val="18"/>
                <w:color w:val="auto"/>
              </w:rPr>
            </w:pPr>
          </w:p>
        </w:tc>
        <w:tc>
          <w:tcPr>
            <w:tcW w:w="1500" w:type="dxa"/>
            <w:vAlign w:val="bottom"/>
            <w:gridSpan w:val="2"/>
          </w:tcPr>
          <w:p>
            <w:pPr>
              <w:jc w:val="right"/>
              <w:ind w:right="60"/>
              <w:spacing w:after="0"/>
              <w:rPr>
                <w:sz w:val="20"/>
                <w:szCs w:val="20"/>
                <w:color w:val="auto"/>
              </w:rPr>
            </w:pPr>
            <w:r>
              <w:rPr>
                <w:rFonts w:ascii="Arial" w:cs="Arial" w:eastAsia="Arial" w:hAnsi="Arial"/>
                <w:sz w:val="18"/>
                <w:szCs w:val="18"/>
                <w:color w:val="auto"/>
              </w:rPr>
              <w:t>(208)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right"/>
              <w:ind w:right="40"/>
              <w:spacing w:after="0"/>
              <w:rPr>
                <w:sz w:val="20"/>
                <w:szCs w:val="20"/>
                <w:color w:val="auto"/>
              </w:rPr>
            </w:pPr>
            <w:r>
              <w:rPr>
                <w:rFonts w:ascii="Arial" w:cs="Arial" w:eastAsia="Arial" w:hAnsi="Arial"/>
                <w:sz w:val="18"/>
                <w:szCs w:val="18"/>
                <w:color w:val="auto"/>
              </w:rPr>
              <w:t>(618)</w:t>
            </w:r>
          </w:p>
        </w:tc>
      </w:tr>
      <w:tr>
        <w:trPr>
          <w:trHeight w:val="20"/>
        </w:trPr>
        <w:tc>
          <w:tcPr>
            <w:tcW w:w="80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8000" w:type="dxa"/>
            <w:vAlign w:val="bottom"/>
            <w:shd w:val="clear" w:color="auto" w:fill="CCEEFF"/>
          </w:tcPr>
          <w:p>
            <w:pPr>
              <w:ind w:left="500"/>
              <w:spacing w:after="0"/>
              <w:rPr>
                <w:sz w:val="20"/>
                <w:szCs w:val="20"/>
                <w:color w:val="auto"/>
              </w:rPr>
            </w:pPr>
            <w:r>
              <w:rPr>
                <w:rFonts w:ascii="Arial" w:cs="Arial" w:eastAsia="Arial" w:hAnsi="Arial"/>
                <w:sz w:val="18"/>
                <w:szCs w:val="18"/>
                <w:b w:val="1"/>
                <w:bCs w:val="1"/>
                <w:color w:val="auto"/>
              </w:rPr>
              <w:t>Net cash used in financing activities</w:t>
            </w: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(8,504)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(29,275)</w:t>
            </w:r>
          </w:p>
        </w:tc>
      </w:tr>
      <w:tr>
        <w:trPr>
          <w:trHeight w:val="216"/>
        </w:trPr>
        <w:tc>
          <w:tcPr>
            <w:tcW w:w="8000" w:type="dxa"/>
            <w:vAlign w:val="bottom"/>
          </w:tcPr>
          <w:p>
            <w:pPr>
              <w:spacing w:after="0"/>
              <w:rPr>
                <w:sz w:val="20"/>
                <w:szCs w:val="20"/>
                <w:color w:val="auto"/>
              </w:rPr>
            </w:pPr>
            <w:r>
              <w:rPr>
                <w:rFonts w:ascii="Arial" w:cs="Arial" w:eastAsia="Arial" w:hAnsi="Arial"/>
                <w:sz w:val="18"/>
                <w:szCs w:val="18"/>
                <w:b w:val="1"/>
                <w:bCs w:val="1"/>
                <w:color w:val="auto"/>
              </w:rPr>
              <w:t>Effect of exchange rate changes on cash and cash equivalents</w:t>
            </w:r>
          </w:p>
        </w:tc>
        <w:tc>
          <w:tcPr>
            <w:tcW w:w="100" w:type="dxa"/>
            <w:vAlign w:val="bottom"/>
          </w:tcPr>
          <w:p>
            <w:pPr>
              <w:spacing w:after="0"/>
              <w:rPr>
                <w:sz w:val="18"/>
                <w:szCs w:val="18"/>
                <w:color w:val="auto"/>
              </w:rPr>
            </w:pPr>
          </w:p>
        </w:tc>
        <w:tc>
          <w:tcPr>
            <w:tcW w:w="1500" w:type="dxa"/>
            <w:vAlign w:val="bottom"/>
            <w:gridSpan w:val="2"/>
          </w:tcPr>
          <w:p>
            <w:pPr>
              <w:jc w:val="right"/>
              <w:ind w:right="60"/>
              <w:spacing w:after="0"/>
              <w:rPr>
                <w:sz w:val="20"/>
                <w:szCs w:val="20"/>
                <w:color w:val="auto"/>
              </w:rPr>
            </w:pPr>
            <w:r>
              <w:rPr>
                <w:rFonts w:ascii="Arial" w:cs="Arial" w:eastAsia="Arial" w:hAnsi="Arial"/>
                <w:sz w:val="18"/>
                <w:szCs w:val="18"/>
                <w:color w:val="auto"/>
              </w:rPr>
              <w:t>(37)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0"/>
        </w:trPr>
        <w:tc>
          <w:tcPr>
            <w:tcW w:w="80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8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Change in cash and cash equivalents</w:t>
            </w: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(13,613)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32,496</w:t>
            </w:r>
          </w:p>
        </w:tc>
      </w:tr>
      <w:tr>
        <w:trPr>
          <w:trHeight w:val="216"/>
        </w:trPr>
        <w:tc>
          <w:tcPr>
            <w:tcW w:w="8000" w:type="dxa"/>
            <w:vAlign w:val="bottom"/>
          </w:tcPr>
          <w:p>
            <w:pPr>
              <w:spacing w:after="0"/>
              <w:rPr>
                <w:sz w:val="20"/>
                <w:szCs w:val="20"/>
                <w:color w:val="auto"/>
              </w:rPr>
            </w:pPr>
            <w:r>
              <w:rPr>
                <w:rFonts w:ascii="Arial" w:cs="Arial" w:eastAsia="Arial" w:hAnsi="Arial"/>
                <w:sz w:val="18"/>
                <w:szCs w:val="18"/>
                <w:b w:val="1"/>
                <w:bCs w:val="1"/>
                <w:color w:val="auto"/>
              </w:rPr>
              <w:t>Cash and cash equivalents - beginning of period</w:t>
            </w:r>
          </w:p>
        </w:tc>
        <w:tc>
          <w:tcPr>
            <w:tcW w:w="1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61,625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34,374</w:t>
            </w:r>
          </w:p>
        </w:tc>
        <w:tc>
          <w:tcPr>
            <w:tcW w:w="100" w:type="dxa"/>
            <w:vAlign w:val="bottom"/>
          </w:tcPr>
          <w:p>
            <w:pPr>
              <w:spacing w:after="0"/>
              <w:rPr>
                <w:sz w:val="18"/>
                <w:szCs w:val="18"/>
                <w:color w:val="auto"/>
              </w:rPr>
            </w:pPr>
          </w:p>
        </w:tc>
      </w:tr>
      <w:tr>
        <w:trPr>
          <w:trHeight w:val="210"/>
        </w:trPr>
        <w:tc>
          <w:tcPr>
            <w:tcW w:w="8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000" w:type="dxa"/>
            <w:vAlign w:val="bottom"/>
          </w:tcPr>
          <w:p>
            <w:pPr>
              <w:spacing w:after="0"/>
              <w:rPr>
                <w:sz w:val="20"/>
                <w:szCs w:val="20"/>
                <w:color w:val="auto"/>
              </w:rPr>
            </w:pPr>
            <w:r>
              <w:rPr>
                <w:rFonts w:ascii="Arial" w:cs="Arial" w:eastAsia="Arial" w:hAnsi="Arial"/>
                <w:sz w:val="18"/>
                <w:szCs w:val="18"/>
                <w:b w:val="1"/>
                <w:bCs w:val="1"/>
                <w:color w:val="auto"/>
              </w:rPr>
              <w:t>Cash and cash equivalents - end of period</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48,012</w:t>
            </w:r>
          </w:p>
        </w:tc>
        <w:tc>
          <w:tcPr>
            <w:tcW w:w="12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66,870</w:t>
            </w:r>
          </w:p>
        </w:tc>
      </w:tr>
      <w:tr>
        <w:trPr>
          <w:trHeight w:val="20"/>
        </w:trPr>
        <w:tc>
          <w:tcPr>
            <w:tcW w:w="80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accompanying notes to condensed consolidated financial statements are an integral part of the condensed consolidated financial statements.</w:t>
      </w: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 of 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27" w:right="339" w:bottom="1440" w:gutter="0" w:footer="0" w:header="0"/>
        </w:sectPr>
      </w:pPr>
    </w:p>
    <w:bookmarkStart w:id="6" w:name="page7"/>
    <w:bookmarkEnd w:id="6"/>
    <w:p>
      <w:pPr>
        <w:jc w:val="center"/>
        <w:ind w:right="20"/>
        <w:spacing w:after="0"/>
        <w:rPr>
          <w:sz w:val="20"/>
          <w:szCs w:val="20"/>
          <w:color w:val="auto"/>
        </w:rPr>
      </w:pPr>
      <w:r>
        <w:rPr>
          <w:rFonts w:ascii="Arial" w:cs="Arial" w:eastAsia="Arial" w:hAnsi="Arial"/>
          <w:sz w:val="18"/>
          <w:szCs w:val="18"/>
          <w:u w:val="single" w:color="auto"/>
          <w:color w:val="auto"/>
        </w:rPr>
        <w:t>PART I-FINANCIAL INFORMATION-CONTINUED</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8"/>
          <w:szCs w:val="18"/>
          <w:u w:val="single" w:color="auto"/>
          <w:color w:val="auto"/>
        </w:rPr>
        <w:t>BASSETT FURNITURE INDUSTRIES, INCORPORATED AND SUBSIDIARIES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u w:val="single" w:color="auto"/>
          <w:color w:val="auto"/>
        </w:rPr>
        <w:t>NOTES TO CONDENSED CONSOLIDATED FINANCIAL STATEMENTS-UNAUDITED</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u w:val="single" w:color="auto"/>
          <w:color w:val="auto"/>
        </w:rPr>
        <w:t>AUGUST 26, 2023</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u w:val="single" w:color="auto"/>
          <w:color w:val="auto"/>
        </w:rPr>
        <w:t>(Dollars 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Presentation</w:t>
      </w:r>
    </w:p>
    <w:p>
      <w:pPr>
        <w:spacing w:after="0" w:line="229"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accompanying unaudited condensed consolidated financial statements have been prepared in accordance with the instructions to Form 10-Q and do not include all of the information and footnotes required by accounting principles generally accepted in the United States (“GAAP”) for complete financial statements. In our opinion, all adjustments (consisting of normal recurring adjustments) considered necessary for a fair presentation have been included.</w:t>
      </w:r>
    </w:p>
    <w:p>
      <w:pPr>
        <w:spacing w:after="0" w:line="14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References to “ASC” included hereinafter refer to the Accounting Standards Codification established by the Financial Accounting Standards Board (“FASB”) as the source of authoritative GAAP.</w:t>
      </w:r>
    </w:p>
    <w:p>
      <w:pPr>
        <w:spacing w:after="0" w:line="17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condensed consolidated financial statements include the accounts of Bassett Furniture Industries, Incorporated (“Bassett”, “we”, “our”, or the “Company”) and our wholly-owned subsidiaries of which we have a controlling interest. In accordance with ASC Topic 810, we have evaluated our licensees and certain other entities to determine whether they are variable interest entities (“VIEs”) of which we are the primary beneficiary and thus would require consolidation in our financial statements. To date we have concluded that none of our licensees represent VIEs. During the second and third fiscal quarters of 2022, we were the primary beneficiary of one VIE by virtue of our control over the activities that most significantly impact the entity’s economic performance. This VIE was created to effect a Section 1031 like-kind exchange involving the purchase of real property in Tampa, Florida, for $7,668 during the second quarter of 2022 and the sale of real property in Houston, Texas for $8,217 during the third quarter of 2022 for the purpose of deferring approximately $4,300 of the taxable gain resulting from the sale of the Houston property. Subsequent to the completion of the exchange transactions during the third quarter of fiscal 2022, the sole equity interest in the VIE was transferred to Bassett and the entity is now consolidated as a wholly owned subsidiary.</w:t>
      </w:r>
    </w:p>
    <w:p>
      <w:pPr>
        <w:spacing w:after="0" w:line="19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Revenue from the sale of furniture and accessories is reported in the accompanying condensed consolidated statements of operations net of estimates for returns and allowances.</w:t>
      </w:r>
    </w:p>
    <w:p>
      <w:pPr>
        <w:spacing w:after="0" w:line="170"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On January 31, 2022, we entered into a definitive agreement to sell substantially all of the assets of our wholly-owned subsidiary, Zenith Freight Lines, LLC (“Zenith”) to J.B. Hunt Transport Services, Inc. (“J.B. Hunt”). The sale was completed on February 28, 2022. Accordingly, the operations of our logistical services segment for the three and nine months ended August 27, 2022 are presented in the accompanying condensed consolidated statements of operations as discontinued operations. See Note 12, Discontinued Operations, for additional information. Costs incurred by Bassett for logistical services performed for Bassett by Zenith were included in selling, general and administrative expenses for the nine months ended August 27, 2022.</w:t>
      </w:r>
    </w:p>
    <w:p>
      <w:pPr>
        <w:spacing w:after="0" w:line="16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September 2, 2022, we acquired 100% of the capital stock of Noa Home Inc. (“Noa Home”), a mid-priced e-commerce furniture retailer headquartered in Montreal, Canada. Noa Home has operations in Canada, Australia, Singapore and the United Kingdom. Since acquisition, Noa Home has been consolidated as a wholly-owned subsidiary. See Note 3 for additional information.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Certain prior year amounts have been reclassified to conform to the current year presentation (see Note 13, Segments).</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Interim Financial Presentation and Other Information</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All intercompany accounts and transactions have been eliminated in the condensed consolidated financial statements. The results of operations for the three and nine months ended August 26, 2023 are not necessarily indicative of results for the full fiscal year. These interim condensed consolidated financial statements should be read in conjunction with the consolidated financial statements and accompanying notes included in our Annual Report on Form 10-K for the year ended November 26, 2022.</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calculate an anticipated effective tax rate for the year based on our annual estimates of pretax income and use that effective tax rate to record our year-to-date income tax provision. Any change in annual projections of pretax income could have a significant impact on our effective tax rate for the respective quarter.</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 of 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 w:name="page8"/>
    <w:bookmarkEnd w:id="7"/>
    <w:p>
      <w:pPr>
        <w:jc w:val="center"/>
        <w:ind w:right="20"/>
        <w:spacing w:after="0"/>
        <w:rPr>
          <w:sz w:val="20"/>
          <w:szCs w:val="20"/>
          <w:color w:val="auto"/>
        </w:rPr>
      </w:pPr>
      <w:r>
        <w:rPr>
          <w:rFonts w:ascii="Arial" w:cs="Arial" w:eastAsia="Arial" w:hAnsi="Arial"/>
          <w:sz w:val="18"/>
          <w:szCs w:val="18"/>
          <w:u w:val="single" w:color="auto"/>
          <w:color w:val="auto"/>
        </w:rPr>
        <w:t>PART I-FINANCIAL INFORMATION-CONTINUED</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8"/>
          <w:szCs w:val="18"/>
          <w:u w:val="single" w:color="auto"/>
          <w:color w:val="auto"/>
        </w:rPr>
        <w:t>BASSETT FURNITURE INDUSTRIES, INCORPORATED AND SUBSIDIARIES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u w:val="single" w:color="auto"/>
          <w:color w:val="auto"/>
        </w:rPr>
        <w:t>NOTES TO CONDENSED CONSOLIDATED FINANCIAL STATEMENTS-UNAUDITED</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u w:val="single" w:color="auto"/>
          <w:color w:val="auto"/>
        </w:rPr>
        <w:t>AUGUST 26, 2023</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u w:val="single" w:color="auto"/>
          <w:color w:val="auto"/>
        </w:rPr>
        <w:t>(Dollars in thousands except share and per share data)</w:t>
      </w:r>
    </w:p>
    <w:p>
      <w:pPr>
        <w:spacing w:after="0" w:line="200" w:lineRule="exact"/>
        <w:rPr>
          <w:sz w:val="20"/>
          <w:szCs w:val="20"/>
          <w:color w:val="auto"/>
        </w:rPr>
      </w:pPr>
    </w:p>
    <w:p>
      <w:pPr>
        <w:spacing w:after="0" w:line="254"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Our effective tax rate was 18.8% and 43.3% for the three and nine months ended August 26, 2023, respectively, and 22.8% and 25.6% for the three and nine months ended August 27, 2022, respectively. The effective rate for the three months ended August 26, 2023 differs from the federal statutory rate of 21% primarily due the effect of a change in our estimate of annual pretax income on our anticipated effective rate for the full year, offset by increases in the valuation allowance placed on deferred tax assets associated with Noa Home and the effects of state income taxes and various permanent differences. For the nine months ended August 26, 2023, the effective rate differs from the federal statutory rate primarily due to the non-taxable gain on revaluation of contingent consideration associated with the acquisition of Noa Home (see Note 3), offset by increases in the valuation allowance placed on deferred tax assets associated with Noa Home and the effects of state income taxes and various permanent differences. For the three and nine months ended August 27, 2022, the effective rates differ from the federal statutory rate of 21% primarily due to the effects of state income taxes and various permanent differences, including those associated with Company-owned life insurance, and a tax of $522 for the nine months ended August 27, 2022 associated with the non-deductible goodwill written off in connection with the sale of Zenith and included in income tax on discontinued operations.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Non-cash Investing and Financing Activity</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nine months ended August 26, 2023 and August 27, 2022, $6,026 and $6,957, respectively, of lease right-of-use assets were added through the recognition of the corresponding lease obligations.</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Business Combinations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September 2, 2022, we acquired 100% of the capital stock of Noa Home, a mid-priced e-commerce furniture retailer headquartered in Montreal, Canada. Noa Home has operations in Canada, Australia, Singapore and the United Kingdom. The initial purchase price (denominated in Canadian dollars) of approximately C$7,700 included cash payments of C$2,000 paid to the co-founders of Noa Home and approximately C$5,700 for the repayment of existing debt owed by Noa Home. Per the terms of the agreement at the acquisition date, the Noa Home co-founders also had the opportunity to receive additional cash payments totaling approximately C$1,330 per year for the three fiscal years following the year of acquisition based on established increases in net revenues and achieving certain internal EBITDA goals.</w:t>
      </w:r>
    </w:p>
    <w:p>
      <w:pPr>
        <w:spacing w:after="0" w:line="192"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Under the acquisition method of accounting, the fair value of the consideration transferred was allocated to the tangible and intangible assets acquired and the liabilities assumed based on their estimated fair values as of the acquisition date with the remaining unallocated amount recorded as goodwill.</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 of 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 w:name="page9"/>
    <w:bookmarkEnd w:id="8"/>
    <w:p>
      <w:pPr>
        <w:jc w:val="center"/>
        <w:ind w:right="20"/>
        <w:spacing w:after="0"/>
        <w:rPr>
          <w:sz w:val="20"/>
          <w:szCs w:val="20"/>
          <w:color w:val="auto"/>
        </w:rPr>
      </w:pPr>
      <w:r>
        <w:rPr>
          <w:rFonts w:ascii="Arial" w:cs="Arial" w:eastAsia="Arial" w:hAnsi="Arial"/>
          <w:sz w:val="18"/>
          <w:szCs w:val="18"/>
          <w:u w:val="single" w:color="auto"/>
          <w:color w:val="auto"/>
        </w:rPr>
        <w:t>PART I-FINANCIAL INFORMATION-CONTINUED</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8"/>
          <w:szCs w:val="18"/>
          <w:u w:val="single" w:color="auto"/>
          <w:color w:val="auto"/>
        </w:rPr>
        <w:t>BASSETT FURNITURE INDUSTRIES, INCORPORATED AND SUBSIDIARIES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u w:val="single" w:color="auto"/>
          <w:color w:val="auto"/>
        </w:rPr>
        <w:t>NOTES TO CONDENSED CONSOLIDATED FINANCIAL STATEMENTS-UNAUDITED</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u w:val="single" w:color="auto"/>
          <w:color w:val="auto"/>
        </w:rPr>
        <w:t>AUGUST 26, 2023</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u w:val="single" w:color="auto"/>
          <w:color w:val="auto"/>
        </w:rPr>
        <w:t>(Dollars in thousands except share and per share data)</w:t>
      </w:r>
    </w:p>
    <w:p>
      <w:pPr>
        <w:spacing w:after="0" w:line="200" w:lineRule="exact"/>
        <w:rPr>
          <w:sz w:val="20"/>
          <w:szCs w:val="20"/>
          <w:color w:val="auto"/>
        </w:rPr>
      </w:pPr>
    </w:p>
    <w:p>
      <w:pPr>
        <w:spacing w:after="0" w:line="25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allocation of the fair value of the acquired business has been based on a preliminary valuation. Our estimates and assumptions are subject to change as we obtain additional information for our estimates during the measurement period (up to one year from the acquisition date). The primary areas of the preliminary allocation of the fair value of consideration transferred that are not yet finalized relate to the fair values of certain tangible and intangible assets acquired and the residual goodwill. As of August 26, 2023, there have been no changes to the preliminary allocation of the purchase price (translated into U.S. dollars as of the acquisition date) which is as follows:</w:t>
      </w:r>
    </w:p>
    <w:p>
      <w:pPr>
        <w:spacing w:after="0" w:line="202" w:lineRule="exact"/>
        <w:rPr>
          <w:sz w:val="20"/>
          <w:szCs w:val="20"/>
          <w:color w:val="auto"/>
        </w:rPr>
      </w:pPr>
    </w:p>
    <w:tbl>
      <w:tblPr>
        <w:tblLayout w:type="fixed"/>
        <w:tblInd w:w="840" w:type="dxa"/>
        <w:tblCellMar>
          <w:top w:w="0" w:type="dxa"/>
          <w:left w:w="0" w:type="dxa"/>
          <w:bottom w:w="0" w:type="dxa"/>
          <w:right w:w="0" w:type="dxa"/>
        </w:tblCellMar>
      </w:tblPr>
      <w:tr>
        <w:trPr>
          <w:trHeight w:val="216"/>
        </w:trPr>
        <w:tc>
          <w:tcPr>
            <w:tcW w:w="7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Fair value of consideration given in exchange for 100% of Noa Home:</w:t>
            </w:r>
          </w:p>
        </w:tc>
        <w:tc>
          <w:tcPr>
            <w:tcW w:w="6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7920" w:type="dxa"/>
            <w:vAlign w:val="bottom"/>
          </w:tcPr>
          <w:p>
            <w:pPr>
              <w:ind w:left="180"/>
              <w:spacing w:after="0"/>
              <w:rPr>
                <w:sz w:val="20"/>
                <w:szCs w:val="20"/>
                <w:color w:val="auto"/>
              </w:rPr>
            </w:pPr>
            <w:r>
              <w:rPr>
                <w:rFonts w:ascii="Arial" w:cs="Arial" w:eastAsia="Arial" w:hAnsi="Arial"/>
                <w:sz w:val="18"/>
                <w:szCs w:val="18"/>
                <w:color w:val="auto"/>
              </w:rPr>
              <w:t>Cash</w:t>
            </w:r>
          </w:p>
        </w:tc>
        <w:tc>
          <w:tcPr>
            <w:tcW w:w="600" w:type="dxa"/>
            <w:vAlign w:val="bottom"/>
          </w:tcPr>
          <w:p>
            <w:pPr>
              <w:jc w:val="right"/>
              <w:ind w:right="41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5,878</w:t>
            </w:r>
          </w:p>
        </w:tc>
      </w:tr>
      <w:tr>
        <w:trPr>
          <w:trHeight w:val="216"/>
        </w:trPr>
        <w:tc>
          <w:tcPr>
            <w:tcW w:w="79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Fair value of contingent consideration as of acquisition date</w:t>
            </w:r>
          </w:p>
        </w:tc>
        <w:tc>
          <w:tcPr>
            <w:tcW w:w="6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1,375</w:t>
            </w:r>
          </w:p>
        </w:tc>
      </w:tr>
      <w:tr>
        <w:trPr>
          <w:trHeight w:val="20"/>
        </w:trPr>
        <w:tc>
          <w:tcPr>
            <w:tcW w:w="7920" w:type="dxa"/>
            <w:vAlign w:val="bottom"/>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r>
        <w:trPr>
          <w:trHeight w:val="209"/>
        </w:trPr>
        <w:tc>
          <w:tcPr>
            <w:tcW w:w="7920" w:type="dxa"/>
            <w:vAlign w:val="bottom"/>
          </w:tcPr>
          <w:p>
            <w:pPr>
              <w:ind w:left="340"/>
              <w:spacing w:after="0"/>
              <w:rPr>
                <w:sz w:val="20"/>
                <w:szCs w:val="20"/>
                <w:color w:val="auto"/>
              </w:rPr>
            </w:pPr>
            <w:r>
              <w:rPr>
                <w:rFonts w:ascii="Arial" w:cs="Arial" w:eastAsia="Arial" w:hAnsi="Arial"/>
                <w:sz w:val="18"/>
                <w:szCs w:val="18"/>
                <w:color w:val="auto"/>
              </w:rPr>
              <w:t>Total fair value of consideration given</w:t>
            </w:r>
          </w:p>
        </w:tc>
        <w:tc>
          <w:tcPr>
            <w:tcW w:w="600" w:type="dxa"/>
            <w:vAlign w:val="bottom"/>
          </w:tcPr>
          <w:p>
            <w:pPr>
              <w:jc w:val="right"/>
              <w:ind w:right="41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7,253</w:t>
            </w:r>
          </w:p>
        </w:tc>
      </w:tr>
      <w:tr>
        <w:trPr>
          <w:trHeight w:val="20"/>
        </w:trPr>
        <w:tc>
          <w:tcPr>
            <w:tcW w:w="79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7"/>
        </w:trPr>
        <w:tc>
          <w:tcPr>
            <w:tcW w:w="79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7920" w:type="dxa"/>
            <w:vAlign w:val="bottom"/>
          </w:tcPr>
          <w:p>
            <w:pPr>
              <w:ind w:left="20"/>
              <w:spacing w:after="0"/>
              <w:rPr>
                <w:sz w:val="20"/>
                <w:szCs w:val="20"/>
                <w:color w:val="auto"/>
              </w:rPr>
            </w:pPr>
            <w:r>
              <w:rPr>
                <w:rFonts w:ascii="Arial" w:cs="Arial" w:eastAsia="Arial" w:hAnsi="Arial"/>
                <w:sz w:val="18"/>
                <w:szCs w:val="18"/>
                <w:color w:val="auto"/>
              </w:rPr>
              <w:t>Allocation of the fair value of consideration transferred:</w:t>
            </w:r>
          </w:p>
        </w:tc>
        <w:tc>
          <w:tcPr>
            <w:tcW w:w="6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7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Identifiable assets acquired:</w:t>
            </w:r>
          </w:p>
        </w:tc>
        <w:tc>
          <w:tcPr>
            <w:tcW w:w="6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7920" w:type="dxa"/>
            <w:vAlign w:val="bottom"/>
          </w:tcPr>
          <w:p>
            <w:pPr>
              <w:ind w:left="180"/>
              <w:spacing w:after="0"/>
              <w:rPr>
                <w:sz w:val="20"/>
                <w:szCs w:val="20"/>
                <w:color w:val="auto"/>
              </w:rPr>
            </w:pPr>
            <w:r>
              <w:rPr>
                <w:rFonts w:ascii="Arial" w:cs="Arial" w:eastAsia="Arial" w:hAnsi="Arial"/>
                <w:sz w:val="18"/>
                <w:szCs w:val="18"/>
                <w:color w:val="auto"/>
              </w:rPr>
              <w:t>Cash</w:t>
            </w:r>
          </w:p>
        </w:tc>
        <w:tc>
          <w:tcPr>
            <w:tcW w:w="600" w:type="dxa"/>
            <w:vAlign w:val="bottom"/>
          </w:tcPr>
          <w:p>
            <w:pPr>
              <w:jc w:val="right"/>
              <w:ind w:right="41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296</w:t>
            </w:r>
          </w:p>
        </w:tc>
      </w:tr>
      <w:tr>
        <w:trPr>
          <w:trHeight w:val="216"/>
        </w:trPr>
        <w:tc>
          <w:tcPr>
            <w:tcW w:w="79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Inventory</w:t>
            </w:r>
          </w:p>
        </w:tc>
        <w:tc>
          <w:tcPr>
            <w:tcW w:w="6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1,585</w:t>
            </w:r>
          </w:p>
        </w:tc>
      </w:tr>
      <w:tr>
        <w:trPr>
          <w:trHeight w:val="216"/>
        </w:trPr>
        <w:tc>
          <w:tcPr>
            <w:tcW w:w="7920" w:type="dxa"/>
            <w:vAlign w:val="bottom"/>
          </w:tcPr>
          <w:p>
            <w:pPr>
              <w:ind w:left="180"/>
              <w:spacing w:after="0"/>
              <w:rPr>
                <w:sz w:val="20"/>
                <w:szCs w:val="20"/>
                <w:color w:val="auto"/>
              </w:rPr>
            </w:pPr>
            <w:r>
              <w:rPr>
                <w:rFonts w:ascii="Arial" w:cs="Arial" w:eastAsia="Arial" w:hAnsi="Arial"/>
                <w:sz w:val="18"/>
                <w:szCs w:val="18"/>
                <w:color w:val="auto"/>
              </w:rPr>
              <w:t>Other current assets</w:t>
            </w:r>
          </w:p>
        </w:tc>
        <w:tc>
          <w:tcPr>
            <w:tcW w:w="60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317</w:t>
            </w:r>
          </w:p>
        </w:tc>
      </w:tr>
      <w:tr>
        <w:trPr>
          <w:trHeight w:val="216"/>
        </w:trPr>
        <w:tc>
          <w:tcPr>
            <w:tcW w:w="79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Property &amp; equipment</w:t>
            </w:r>
          </w:p>
        </w:tc>
        <w:tc>
          <w:tcPr>
            <w:tcW w:w="6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155</w:t>
            </w:r>
          </w:p>
        </w:tc>
      </w:tr>
      <w:tr>
        <w:trPr>
          <w:trHeight w:val="216"/>
        </w:trPr>
        <w:tc>
          <w:tcPr>
            <w:tcW w:w="7920" w:type="dxa"/>
            <w:vAlign w:val="bottom"/>
          </w:tcPr>
          <w:p>
            <w:pPr>
              <w:ind w:left="180"/>
              <w:spacing w:after="0"/>
              <w:rPr>
                <w:sz w:val="20"/>
                <w:szCs w:val="20"/>
                <w:color w:val="auto"/>
              </w:rPr>
            </w:pPr>
            <w:r>
              <w:rPr>
                <w:rFonts w:ascii="Arial" w:cs="Arial" w:eastAsia="Arial" w:hAnsi="Arial"/>
                <w:sz w:val="18"/>
                <w:szCs w:val="18"/>
                <w:color w:val="auto"/>
              </w:rPr>
              <w:t>Intangible asset - trade name</w:t>
            </w:r>
          </w:p>
        </w:tc>
        <w:tc>
          <w:tcPr>
            <w:tcW w:w="60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1,929</w:t>
            </w:r>
          </w:p>
        </w:tc>
      </w:tr>
      <w:tr>
        <w:trPr>
          <w:trHeight w:val="20"/>
        </w:trPr>
        <w:tc>
          <w:tcPr>
            <w:tcW w:w="79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0"/>
        </w:trPr>
        <w:tc>
          <w:tcPr>
            <w:tcW w:w="79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identifiable assets acquired</w:t>
            </w:r>
          </w:p>
        </w:tc>
        <w:tc>
          <w:tcPr>
            <w:tcW w:w="6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4,282</w:t>
            </w:r>
          </w:p>
        </w:tc>
      </w:tr>
      <w:tr>
        <w:trPr>
          <w:trHeight w:val="216"/>
        </w:trPr>
        <w:tc>
          <w:tcPr>
            <w:tcW w:w="7920" w:type="dxa"/>
            <w:vAlign w:val="bottom"/>
          </w:tcPr>
          <w:p>
            <w:pPr>
              <w:ind w:left="20"/>
              <w:spacing w:after="0"/>
              <w:rPr>
                <w:sz w:val="20"/>
                <w:szCs w:val="20"/>
                <w:color w:val="auto"/>
              </w:rPr>
            </w:pPr>
            <w:r>
              <w:rPr>
                <w:rFonts w:ascii="Arial" w:cs="Arial" w:eastAsia="Arial" w:hAnsi="Arial"/>
                <w:sz w:val="18"/>
                <w:szCs w:val="18"/>
                <w:color w:val="auto"/>
              </w:rPr>
              <w:t>Liabilities assumed:</w:t>
            </w:r>
          </w:p>
        </w:tc>
        <w:tc>
          <w:tcPr>
            <w:tcW w:w="6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79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Accounts payable</w:t>
            </w:r>
          </w:p>
        </w:tc>
        <w:tc>
          <w:tcPr>
            <w:tcW w:w="6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(1,227)</w:t>
            </w:r>
          </w:p>
        </w:tc>
      </w:tr>
      <w:tr>
        <w:trPr>
          <w:trHeight w:val="216"/>
        </w:trPr>
        <w:tc>
          <w:tcPr>
            <w:tcW w:w="7920" w:type="dxa"/>
            <w:vAlign w:val="bottom"/>
          </w:tcPr>
          <w:p>
            <w:pPr>
              <w:ind w:left="180"/>
              <w:spacing w:after="0"/>
              <w:rPr>
                <w:sz w:val="20"/>
                <w:szCs w:val="20"/>
                <w:color w:val="auto"/>
              </w:rPr>
            </w:pPr>
            <w:r>
              <w:rPr>
                <w:rFonts w:ascii="Arial" w:cs="Arial" w:eastAsia="Arial" w:hAnsi="Arial"/>
                <w:sz w:val="18"/>
                <w:szCs w:val="18"/>
                <w:color w:val="auto"/>
              </w:rPr>
              <w:t>Customer deposits</w:t>
            </w:r>
          </w:p>
        </w:tc>
        <w:tc>
          <w:tcPr>
            <w:tcW w:w="60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(1,059)</w:t>
            </w:r>
          </w:p>
        </w:tc>
      </w:tr>
      <w:tr>
        <w:trPr>
          <w:trHeight w:val="216"/>
        </w:trPr>
        <w:tc>
          <w:tcPr>
            <w:tcW w:w="79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current liabilities and accrued expenses</w:t>
            </w:r>
          </w:p>
        </w:tc>
        <w:tc>
          <w:tcPr>
            <w:tcW w:w="6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(458)</w:t>
            </w:r>
          </w:p>
        </w:tc>
      </w:tr>
      <w:tr>
        <w:trPr>
          <w:trHeight w:val="20"/>
        </w:trPr>
        <w:tc>
          <w:tcPr>
            <w:tcW w:w="7920" w:type="dxa"/>
            <w:vAlign w:val="bottom"/>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r>
        <w:trPr>
          <w:trHeight w:val="209"/>
        </w:trPr>
        <w:tc>
          <w:tcPr>
            <w:tcW w:w="7920" w:type="dxa"/>
            <w:vAlign w:val="bottom"/>
          </w:tcPr>
          <w:p>
            <w:pPr>
              <w:ind w:left="340"/>
              <w:spacing w:after="0"/>
              <w:rPr>
                <w:sz w:val="20"/>
                <w:szCs w:val="20"/>
                <w:color w:val="auto"/>
              </w:rPr>
            </w:pPr>
            <w:r>
              <w:rPr>
                <w:rFonts w:ascii="Arial" w:cs="Arial" w:eastAsia="Arial" w:hAnsi="Arial"/>
                <w:sz w:val="18"/>
                <w:szCs w:val="18"/>
                <w:color w:val="auto"/>
              </w:rPr>
              <w:t>Total liabilities assumed</w:t>
            </w:r>
          </w:p>
        </w:tc>
        <w:tc>
          <w:tcPr>
            <w:tcW w:w="60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(2,744)</w:t>
            </w:r>
          </w:p>
        </w:tc>
      </w:tr>
      <w:tr>
        <w:trPr>
          <w:trHeight w:val="20"/>
        </w:trPr>
        <w:tc>
          <w:tcPr>
            <w:tcW w:w="79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0"/>
        </w:trPr>
        <w:tc>
          <w:tcPr>
            <w:tcW w:w="79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identifiable assets acquired</w:t>
            </w:r>
          </w:p>
        </w:tc>
        <w:tc>
          <w:tcPr>
            <w:tcW w:w="6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1,538</w:t>
            </w:r>
          </w:p>
        </w:tc>
      </w:tr>
      <w:tr>
        <w:trPr>
          <w:trHeight w:val="216"/>
        </w:trPr>
        <w:tc>
          <w:tcPr>
            <w:tcW w:w="7920" w:type="dxa"/>
            <w:vAlign w:val="bottom"/>
          </w:tcPr>
          <w:p>
            <w:pPr>
              <w:ind w:left="340"/>
              <w:spacing w:after="0"/>
              <w:rPr>
                <w:sz w:val="20"/>
                <w:szCs w:val="20"/>
                <w:color w:val="auto"/>
              </w:rPr>
            </w:pPr>
            <w:r>
              <w:rPr>
                <w:rFonts w:ascii="Arial" w:cs="Arial" w:eastAsia="Arial" w:hAnsi="Arial"/>
                <w:sz w:val="18"/>
                <w:szCs w:val="18"/>
                <w:color w:val="auto"/>
              </w:rPr>
              <w:t>Goodwill</w:t>
            </w:r>
          </w:p>
        </w:tc>
        <w:tc>
          <w:tcPr>
            <w:tcW w:w="60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5,715</w:t>
            </w:r>
          </w:p>
        </w:tc>
      </w:tr>
      <w:tr>
        <w:trPr>
          <w:trHeight w:val="20"/>
        </w:trPr>
        <w:tc>
          <w:tcPr>
            <w:tcW w:w="79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29"/>
        </w:trPr>
        <w:tc>
          <w:tcPr>
            <w:tcW w:w="7920" w:type="dxa"/>
            <w:vAlign w:val="bottom"/>
            <w:shd w:val="clear" w:color="auto" w:fill="CCEEFF"/>
          </w:tcPr>
          <w:p>
            <w:pPr>
              <w:ind w:left="500"/>
              <w:spacing w:after="0"/>
              <w:rPr>
                <w:sz w:val="20"/>
                <w:szCs w:val="20"/>
                <w:color w:val="auto"/>
              </w:rPr>
            </w:pPr>
            <w:r>
              <w:rPr>
                <w:rFonts w:ascii="Arial" w:cs="Arial" w:eastAsia="Arial" w:hAnsi="Arial"/>
                <w:sz w:val="18"/>
                <w:szCs w:val="18"/>
                <w:color w:val="auto"/>
              </w:rPr>
              <w:t>Total net assets acquired</w:t>
            </w:r>
          </w:p>
        </w:tc>
        <w:tc>
          <w:tcPr>
            <w:tcW w:w="60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7,253</w:t>
            </w:r>
          </w:p>
        </w:tc>
      </w:tr>
      <w:tr>
        <w:trPr>
          <w:trHeight w:val="20"/>
        </w:trPr>
        <w:tc>
          <w:tcPr>
            <w:tcW w:w="79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Goodwill was determined based on the residual difference between the fair value of the consideration transferred and the value assigned to the tangible and intangible assets and liabilities recognized in connection with the acquisition and is deductible for tax purposes. Among the factors that contributed to a purchase price resulting in the recognition of goodwill are the expected synergies arising from combining the Company’s manufacturing and distribution capabilities with Noa Home’s position in the international e-commerce market for home furnishings and accessories.</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 portion of the fair value of the consideration transferred in the amount of $1,929 has been assigned to the identifiable intangible asset associated with the Noa Home trade name. This intangible asset is considered to have an indefinite life. The indefinite-lived intangible asset and goodwill are not amortized but will be tested for impairment annually or between annual tests if an indicator of impairment exists and the Company determines it is more likely than not that the fair value of the goodwill is below its book value.</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The fair values of consideration transferred and net assets acquired were determined using a combination of Level 2 and Level 3 inputs as specified in the fair value hierarchy in ASC 820, </w:t>
      </w:r>
      <w:r>
        <w:rPr>
          <w:rFonts w:ascii="Arial" w:cs="Arial" w:eastAsia="Arial" w:hAnsi="Arial"/>
          <w:sz w:val="18"/>
          <w:szCs w:val="18"/>
          <w:i w:val="1"/>
          <w:iCs w:val="1"/>
          <w:color w:val="auto"/>
        </w:rPr>
        <w:t>Fair Value Measurements and Disclosures</w:t>
      </w:r>
      <w:r>
        <w:rPr>
          <w:rFonts w:ascii="Arial" w:cs="Arial" w:eastAsia="Arial" w:hAnsi="Arial"/>
          <w:sz w:val="18"/>
          <w:szCs w:val="18"/>
          <w:color w:val="auto"/>
        </w:rPr>
        <w:t>.</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Subsequent to the acquisition date, the parties concluded that the targets originally set forth by which the Noa Home co-founders were to earn the contingent consideration would likely not be met within the initially anticipated time frame. Therefore, we have agreed to replace the contingent consideration with two fixed payments of C$200 each, the first of which was paid in June of 2023 with the second to be paid in December of 2024. As a result of the write-down of the contingent consideration payable that was recognized at the acquisition date, we recorded a gain of $1,013 for the nine months ended August 26, 2023.</w:t>
      </w:r>
    </w:p>
    <w:p>
      <w:pPr>
        <w:spacing w:after="0" w:line="18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revenues and results of operations of Noa Home for the three and nine months ended August 26, 2023 were not material. The pro forma impact of the acquisition has not been presented because it was not material to our consolidated results of operations for the three and nine months ended August 27, 2022.</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 of 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u w:val="single" w:color="auto"/>
          <w:color w:val="auto"/>
        </w:rPr>
        <w:t>PART I-FINANCIAL INFORMATION-CONTINUED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BASSETT FURNITURE INDUSTRIES, INCORPORATED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CONDENSED CONSOLIDATED FINANCIAL STATEMENTS-UNAUDITED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AUGUST 26, 2023</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(Dollars 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Financial Instruments and Investments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Instruments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financial instruments include cash and cash equivalents, short-term investments in certificates of deposit (CDs), accounts receivable, and accounts payable. Because of their short maturities, the carrying amounts of cash and cash equivalents, short-term investments in CDs, accounts receivable, and accounts payable approximate fair value.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Investments</w:t>
      </w:r>
    </w:p>
    <w:p>
      <w:pPr>
        <w:spacing w:after="0" w:line="225"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Our short-term investments of $17,743 and $17,715 at August 26, 2023 and November 26, 2022 consisted of CDs. At August 26, 2023, the CDs had original terms averaging seven months, bearing interest at rates ranging from 0.7% to 5.45%. At August 26, 2023, the weighted average remaining time to maturity of the CDs was approximately six months and the weighted average yield of the CDs was approximately 5.09%. Each CD is placed with a federally insured financial institution and all deposits are within federal deposit insurance limits. Due to the nature of these investments and their relatively short maturities, the carrying amount of the short-term investments at August 26, 2023 and November 26, 2022 approximates their fair value.</w:t>
      </w:r>
    </w:p>
    <w:p>
      <w:pPr>
        <w:spacing w:after="0" w:line="40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440" w:type="dxa"/>
            <w:vAlign w:val="bottom"/>
            <w:gridSpan w:val="2"/>
          </w:tcPr>
          <w:p>
            <w:pPr>
              <w:spacing w:after="0"/>
              <w:rPr>
                <w:sz w:val="20"/>
                <w:szCs w:val="20"/>
                <w:color w:val="auto"/>
              </w:rPr>
            </w:pPr>
            <w:r>
              <w:rPr>
                <w:rFonts w:ascii="Arial" w:cs="Arial" w:eastAsia="Arial" w:hAnsi="Arial"/>
                <w:sz w:val="18"/>
                <w:szCs w:val="18"/>
                <w:b w:val="1"/>
                <w:bCs w:val="1"/>
                <w:color w:val="auto"/>
              </w:rPr>
              <w:t>5. Accounts Receivable</w:t>
            </w:r>
          </w:p>
        </w:tc>
        <w:tc>
          <w:tcPr>
            <w:tcW w:w="1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7440" w:type="dxa"/>
            <w:vAlign w:val="bottom"/>
            <w:gridSpan w:val="2"/>
          </w:tcPr>
          <w:p>
            <w:pPr>
              <w:spacing w:after="0"/>
              <w:rPr>
                <w:sz w:val="20"/>
                <w:szCs w:val="20"/>
                <w:color w:val="auto"/>
              </w:rPr>
            </w:pPr>
            <w:r>
              <w:rPr>
                <w:rFonts w:ascii="Arial" w:cs="Arial" w:eastAsia="Arial" w:hAnsi="Arial"/>
                <w:sz w:val="18"/>
                <w:szCs w:val="18"/>
                <w:color w:val="auto"/>
              </w:rPr>
              <w:t>Accounts receivable consists of the following:</w:t>
            </w:r>
          </w:p>
        </w:tc>
        <w:tc>
          <w:tcPr>
            <w:tcW w:w="1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660" w:type="dxa"/>
            <w:vAlign w:val="bottom"/>
          </w:tcPr>
          <w:p>
            <w:pPr>
              <w:spacing w:after="0"/>
              <w:rPr>
                <w:sz w:val="24"/>
                <w:szCs w:val="24"/>
                <w:color w:val="auto"/>
              </w:rPr>
            </w:pPr>
          </w:p>
        </w:tc>
        <w:tc>
          <w:tcPr>
            <w:tcW w:w="67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3"/>
              </w:rPr>
              <w:t>August 26, 2023</w:t>
            </w:r>
          </w:p>
        </w:tc>
        <w:tc>
          <w:tcPr>
            <w:tcW w:w="200" w:type="dxa"/>
            <w:vAlign w:val="bottom"/>
          </w:tcPr>
          <w:p>
            <w:pPr>
              <w:spacing w:after="0"/>
              <w:rPr>
                <w:sz w:val="24"/>
                <w:szCs w:val="24"/>
                <w:color w:val="auto"/>
              </w:rPr>
            </w:pPr>
          </w:p>
        </w:tc>
        <w:tc>
          <w:tcPr>
            <w:tcW w:w="15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1"/>
              </w:rPr>
              <w:t>November 26, 2022</w:t>
            </w:r>
          </w:p>
        </w:tc>
        <w:tc>
          <w:tcPr>
            <w:tcW w:w="100" w:type="dxa"/>
            <w:vAlign w:val="bottom"/>
          </w:tcPr>
          <w:p>
            <w:pPr>
              <w:spacing w:after="0"/>
              <w:rPr>
                <w:sz w:val="24"/>
                <w:szCs w:val="24"/>
                <w:color w:val="auto"/>
              </w:rPr>
            </w:pPr>
          </w:p>
        </w:tc>
      </w:tr>
      <w:tr>
        <w:trPr>
          <w:trHeight w:val="210"/>
        </w:trPr>
        <w:tc>
          <w:tcPr>
            <w:tcW w:w="660" w:type="dxa"/>
            <w:vAlign w:val="bottom"/>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Gross accounts receivable</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15,791</w:t>
            </w:r>
          </w:p>
        </w:tc>
        <w:tc>
          <w:tcPr>
            <w:tcW w:w="54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19,099</w:t>
            </w:r>
          </w:p>
        </w:tc>
      </w:tr>
      <w:tr>
        <w:trPr>
          <w:trHeight w:val="216"/>
        </w:trPr>
        <w:tc>
          <w:tcPr>
            <w:tcW w:w="660" w:type="dxa"/>
            <w:vAlign w:val="bottom"/>
          </w:tcPr>
          <w:p>
            <w:pPr>
              <w:spacing w:after="0"/>
              <w:rPr>
                <w:sz w:val="18"/>
                <w:szCs w:val="18"/>
                <w:color w:val="auto"/>
              </w:rPr>
            </w:pPr>
          </w:p>
        </w:tc>
        <w:tc>
          <w:tcPr>
            <w:tcW w:w="6780" w:type="dxa"/>
            <w:vAlign w:val="bottom"/>
          </w:tcPr>
          <w:p>
            <w:pPr>
              <w:spacing w:after="0"/>
              <w:rPr>
                <w:sz w:val="20"/>
                <w:szCs w:val="20"/>
                <w:color w:val="auto"/>
              </w:rPr>
            </w:pPr>
            <w:r>
              <w:rPr>
                <w:rFonts w:ascii="Arial" w:cs="Arial" w:eastAsia="Arial" w:hAnsi="Arial"/>
                <w:sz w:val="18"/>
                <w:szCs w:val="18"/>
                <w:color w:val="auto"/>
              </w:rPr>
              <w:t>Allowance for doubtful accounts</w:t>
            </w:r>
          </w:p>
        </w:tc>
        <w:tc>
          <w:tcPr>
            <w:tcW w:w="120" w:type="dxa"/>
            <w:vAlign w:val="bottom"/>
          </w:tcPr>
          <w:p>
            <w:pPr>
              <w:spacing w:after="0"/>
              <w:rPr>
                <w:sz w:val="18"/>
                <w:szCs w:val="18"/>
                <w:color w:val="auto"/>
              </w:rPr>
            </w:pPr>
          </w:p>
        </w:tc>
        <w:tc>
          <w:tcPr>
            <w:tcW w:w="1600" w:type="dxa"/>
            <w:vAlign w:val="bottom"/>
            <w:gridSpan w:val="2"/>
          </w:tcPr>
          <w:p>
            <w:pPr>
              <w:jc w:val="right"/>
              <w:ind w:right="140"/>
              <w:spacing w:after="0"/>
              <w:rPr>
                <w:sz w:val="20"/>
                <w:szCs w:val="20"/>
                <w:color w:val="auto"/>
              </w:rPr>
            </w:pPr>
            <w:r>
              <w:rPr>
                <w:rFonts w:ascii="Arial" w:cs="Arial" w:eastAsia="Arial" w:hAnsi="Arial"/>
                <w:sz w:val="18"/>
                <w:szCs w:val="18"/>
                <w:color w:val="auto"/>
              </w:rPr>
              <w:t>(452)</w:t>
            </w:r>
          </w:p>
        </w:tc>
        <w:tc>
          <w:tcPr>
            <w:tcW w:w="54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(1,261)</w:t>
            </w:r>
          </w:p>
        </w:tc>
      </w:tr>
      <w:tr>
        <w:trPr>
          <w:trHeight w:val="250"/>
        </w:trPr>
        <w:tc>
          <w:tcPr>
            <w:tcW w:w="660" w:type="dxa"/>
            <w:vAlign w:val="bottom"/>
          </w:tcPr>
          <w:p>
            <w:pPr>
              <w:spacing w:after="0"/>
              <w:rPr>
                <w:sz w:val="21"/>
                <w:szCs w:val="21"/>
                <w:color w:val="auto"/>
              </w:rPr>
            </w:pPr>
          </w:p>
        </w:tc>
        <w:tc>
          <w:tcPr>
            <w:tcW w:w="67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Accounts receivable, net</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15,339</w:t>
            </w:r>
          </w:p>
        </w:tc>
        <w:tc>
          <w:tcPr>
            <w:tcW w:w="2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top w:val="single" w:sz="8" w:color="auto"/>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17,838</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20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maintain an allowance for credit losses for estimated losses resulting from the inability of our customers to make required payments. The allowance for credit losses is based on a review of specifically identified accounts in addition to an overall aging analysis which is applied to accounts pooled on the basis of similar risk characteristics. Judgments are made with respect to the collectability of accounts receivable within each pool based on historical experience, current payment practices and current economic trends based on our expectations over the expected life of the receivables, which is generally ninety days or less. Actual credit losses could differ from those estimates.</w:t>
      </w:r>
    </w:p>
    <w:p>
      <w:pPr>
        <w:sectPr>
          <w:pgSz w:w="11900" w:h="16838" w:orient="portrait"/>
          <w:cols w:equalWidth="0" w:num="1">
            <w:col w:w="11240"/>
          </w:cols>
          <w:pgMar w:left="320" w:top="125" w:right="339" w:bottom="1440" w:gutter="0" w:footer="0" w:header="0"/>
        </w:sectPr>
      </w:pP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Activity in the allowance for credit losses for the nine months ended August 26, 2023 was as follows:</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Balance at November 26,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-121920</wp:posOffset>
            </wp:positionV>
            <wp:extent cx="5700395" cy="13716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700395" cy="137160"/>
                    </a:xfrm>
                    <a:prstGeom prst="rect">
                      <a:avLst/>
                    </a:prstGeom>
                    <a:noFill/>
                  </pic:spPr>
                </pic:pic>
              </a:graphicData>
            </a:graphic>
          </wp:anchor>
        </w:drawing>
      </w:r>
    </w:p>
    <w:p>
      <w:pPr>
        <w:spacing w:after="0" w:line="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Additions charged to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5715</wp:posOffset>
            </wp:positionV>
            <wp:extent cx="5700395" cy="1460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700395" cy="146050"/>
                    </a:xfrm>
                    <a:prstGeom prst="rect">
                      <a:avLst/>
                    </a:prstGeom>
                    <a:noFill/>
                  </pic:spPr>
                </pic:pic>
              </a:graphicData>
            </a:graphic>
          </wp:anchor>
        </w:drawing>
      </w:r>
    </w:p>
    <w:p>
      <w:pPr>
        <w:ind w:left="660"/>
        <w:spacing w:after="0"/>
        <w:rPr>
          <w:sz w:val="20"/>
          <w:szCs w:val="20"/>
          <w:color w:val="auto"/>
        </w:rPr>
      </w:pPr>
      <w:r>
        <w:rPr>
          <w:rFonts w:ascii="Arial" w:cs="Arial" w:eastAsia="Arial" w:hAnsi="Arial"/>
          <w:sz w:val="18"/>
          <w:szCs w:val="18"/>
          <w:color w:val="auto"/>
        </w:rPr>
        <w:t>Write-offs against allowance</w:t>
      </w:r>
    </w:p>
    <w:p>
      <w:pPr>
        <w:spacing w:after="0" w:line="4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Balance at August 26, 2023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400" w:lineRule="exact"/>
        <w:rPr>
          <w:sz w:val="20"/>
          <w:szCs w:val="20"/>
          <w:color w:val="auto"/>
        </w:rPr>
      </w:pPr>
    </w:p>
    <w:p>
      <w:pPr>
        <w:ind w:left="1120" w:hanging="1113"/>
        <w:spacing w:after="0"/>
        <w:tabs>
          <w:tab w:leader="none" w:pos="1120" w:val="left"/>
        </w:tabs>
        <w:numPr>
          <w:ilvl w:val="0"/>
          <w:numId w:val="4"/>
        </w:numPr>
        <w:rPr>
          <w:rFonts w:ascii="Arial" w:cs="Arial" w:eastAsia="Arial" w:hAnsi="Arial"/>
          <w:sz w:val="18"/>
          <w:szCs w:val="18"/>
          <w:color w:val="auto"/>
        </w:rPr>
      </w:pPr>
      <w:r>
        <w:rPr>
          <w:rFonts w:ascii="Arial" w:cs="Arial" w:eastAsia="Arial" w:hAnsi="Arial"/>
          <w:sz w:val="18"/>
          <w:szCs w:val="18"/>
          <w:color w:val="auto"/>
        </w:rPr>
        <w:t>1,261</w:t>
      </w:r>
    </w:p>
    <w:p>
      <w:pPr>
        <w:spacing w:after="0" w:line="23" w:lineRule="exact"/>
        <w:rPr>
          <w:rFonts w:ascii="Arial" w:cs="Arial" w:eastAsia="Arial" w:hAnsi="Arial"/>
          <w:sz w:val="18"/>
          <w:szCs w:val="18"/>
          <w:color w:val="auto"/>
        </w:rPr>
      </w:pPr>
    </w:p>
    <w:p>
      <w:pPr>
        <w:ind w:left="1260"/>
        <w:spacing w:after="0"/>
        <w:rPr>
          <w:rFonts w:ascii="Arial" w:cs="Arial" w:eastAsia="Arial" w:hAnsi="Arial"/>
          <w:sz w:val="18"/>
          <w:szCs w:val="18"/>
          <w:color w:val="auto"/>
        </w:rPr>
      </w:pPr>
      <w:r>
        <w:rPr>
          <w:rFonts w:ascii="Arial" w:cs="Arial" w:eastAsia="Arial" w:hAnsi="Arial"/>
          <w:sz w:val="18"/>
          <w:szCs w:val="18"/>
          <w:color w:val="auto"/>
        </w:rPr>
        <w:t>124</w:t>
      </w:r>
    </w:p>
    <w:p>
      <w:pPr>
        <w:spacing w:after="0" w:line="9" w:lineRule="exact"/>
        <w:rPr>
          <w:sz w:val="20"/>
          <w:szCs w:val="20"/>
          <w:color w:val="auto"/>
        </w:rPr>
      </w:pPr>
    </w:p>
    <w:p>
      <w:pPr>
        <w:jc w:val="right"/>
        <w:ind w:right="1620"/>
        <w:spacing w:after="0"/>
        <w:rPr>
          <w:sz w:val="20"/>
          <w:szCs w:val="20"/>
          <w:color w:val="auto"/>
        </w:rPr>
      </w:pPr>
      <w:r>
        <w:rPr>
          <w:rFonts w:ascii="Arial" w:cs="Arial" w:eastAsia="Arial" w:hAnsi="Arial"/>
          <w:sz w:val="18"/>
          <w:szCs w:val="18"/>
          <w:color w:val="auto"/>
        </w:rPr>
        <w:t>(933)</w:t>
      </w:r>
    </w:p>
    <w:p>
      <w:pPr>
        <w:spacing w:after="0" w:line="9" w:lineRule="exact"/>
        <w:rPr>
          <w:sz w:val="20"/>
          <w:szCs w:val="20"/>
          <w:color w:val="auto"/>
        </w:rPr>
      </w:pPr>
    </w:p>
    <w:p>
      <w:pPr>
        <w:ind w:left="1260" w:hanging="1253"/>
        <w:spacing w:after="0"/>
        <w:tabs>
          <w:tab w:leader="none" w:pos="1260" w:val="left"/>
        </w:tabs>
        <w:numPr>
          <w:ilvl w:val="0"/>
          <w:numId w:val="5"/>
        </w:numPr>
        <w:rPr>
          <w:rFonts w:ascii="Arial" w:cs="Arial" w:eastAsia="Arial" w:hAnsi="Arial"/>
          <w:sz w:val="18"/>
          <w:szCs w:val="18"/>
          <w:color w:val="auto"/>
        </w:rPr>
      </w:pPr>
      <w:r>
        <w:rPr>
          <w:rFonts w:ascii="Arial" w:cs="Arial" w:eastAsia="Arial" w:hAnsi="Arial"/>
          <w:sz w:val="18"/>
          <w:szCs w:val="18"/>
          <w:color w:val="auto"/>
        </w:rPr>
        <w:t>452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14605</wp:posOffset>
            </wp:positionV>
            <wp:extent cx="96837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96837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31750</wp:posOffset>
            </wp:positionV>
            <wp:extent cx="96837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968375" cy="8890"/>
                    </a:xfrm>
                    <a:prstGeom prst="rect">
                      <a:avLst/>
                    </a:prstGeom>
                    <a:noFill/>
                  </pic:spPr>
                </pic:pic>
              </a:graphicData>
            </a:graphic>
          </wp:anchor>
        </w:drawing>
      </w:r>
    </w:p>
    <w:p>
      <w:pPr>
        <w:spacing w:after="0" w:line="239" w:lineRule="exact"/>
        <w:rPr>
          <w:sz w:val="20"/>
          <w:szCs w:val="20"/>
          <w:color w:val="auto"/>
        </w:rPr>
      </w:pPr>
    </w:p>
    <w:p>
      <w:pPr>
        <w:sectPr>
          <w:pgSz w:w="11900" w:h="16838" w:orient="portrait"/>
          <w:cols w:equalWidth="0" w:num="2">
            <w:col w:w="7320" w:space="700"/>
            <w:col w:w="3220"/>
          </w:cols>
          <w:pgMar w:left="320" w:top="125" w:right="339" w:bottom="1440" w:gutter="0" w:footer="0" w:header="0"/>
          <w:type w:val="continuous"/>
        </w:sectPr>
      </w:pPr>
    </w:p>
    <w:p>
      <w:pPr>
        <w:spacing w:after="0" w:line="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 xml:space="preserve">We believe that the carrying value of our net accounts receivable approximates fair value. The inputs into these fair value estimates reflect our market assumptions and are not observable. Consequently, the inputs are considered to be Level 3 as specified in the fair value hierarchy in ASC Topic 820, </w:t>
      </w:r>
      <w:r>
        <w:rPr>
          <w:rFonts w:ascii="Arial" w:cs="Arial" w:eastAsia="Arial" w:hAnsi="Arial"/>
          <w:sz w:val="18"/>
          <w:szCs w:val="18"/>
          <w:i w:val="1"/>
          <w:iCs w:val="1"/>
          <w:color w:val="auto"/>
        </w:rPr>
        <w:t>Fair</w:t>
      </w:r>
      <w:r>
        <w:rPr>
          <w:rFonts w:ascii="Arial" w:cs="Arial" w:eastAsia="Arial" w:hAnsi="Arial"/>
          <w:sz w:val="18"/>
          <w:szCs w:val="18"/>
          <w:color w:val="auto"/>
        </w:rPr>
        <w:t xml:space="preserve"> </w:t>
      </w:r>
      <w:r>
        <w:rPr>
          <w:rFonts w:ascii="Arial" w:cs="Arial" w:eastAsia="Arial" w:hAnsi="Arial"/>
          <w:sz w:val="18"/>
          <w:szCs w:val="18"/>
          <w:i w:val="1"/>
          <w:iCs w:val="1"/>
          <w:color w:val="auto"/>
        </w:rPr>
        <w:t>Value Measurements and Disclosures</w:t>
      </w:r>
      <w:r>
        <w:rPr>
          <w:rFonts w:ascii="Arial" w:cs="Arial" w:eastAsia="Arial" w:hAnsi="Arial"/>
          <w:sz w:val="18"/>
          <w:szCs w:val="18"/>
          <w:color w:val="auto"/>
        </w:rPr>
        <w:t>. See Note 4.</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 of 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0" w:name="page11"/>
    <w:bookmarkEnd w:id="10"/>
    <w:p>
      <w:pPr>
        <w:jc w:val="center"/>
        <w:spacing w:after="0"/>
        <w:rPr>
          <w:sz w:val="20"/>
          <w:szCs w:val="20"/>
          <w:color w:val="auto"/>
        </w:rPr>
      </w:pPr>
      <w:r>
        <w:rPr>
          <w:rFonts w:ascii="Arial" w:cs="Arial" w:eastAsia="Arial" w:hAnsi="Arial"/>
          <w:sz w:val="18"/>
          <w:szCs w:val="18"/>
          <w:u w:val="single" w:color="auto"/>
          <w:color w:val="auto"/>
        </w:rPr>
        <w:t>PART I-FINANCIAL INFORMATION-CONTINUED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BASSETT FURNITURE INDUSTRIES, INCORPORATED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CONDENSED CONSOLIDATED FINANCIAL STATEMENTS-UNAUDITED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AUGUST 26, 2023</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(Dollars 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Inventories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Domestic furniture inventories are valued at the lower of cost, which is determined using the last-in, first-out (LIFO) method, or market. Imported inventories and those applicable to our Lane Venture and Bassett Outdoor lines are valued at the lower of cost, which is determined using the first-in, first-out (FIFO) method, or net realizable value.</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800" w:type="dxa"/>
            <w:vAlign w:val="bottom"/>
            <w:gridSpan w:val="2"/>
          </w:tcPr>
          <w:p>
            <w:pPr>
              <w:spacing w:after="0"/>
              <w:rPr>
                <w:sz w:val="20"/>
                <w:szCs w:val="20"/>
                <w:color w:val="auto"/>
              </w:rPr>
            </w:pPr>
            <w:r>
              <w:rPr>
                <w:rFonts w:ascii="Arial" w:cs="Arial" w:eastAsia="Arial" w:hAnsi="Arial"/>
                <w:sz w:val="18"/>
                <w:szCs w:val="18"/>
                <w:color w:val="auto"/>
              </w:rPr>
              <w:t>Inventories were comprised of the following:</w:t>
            </w:r>
          </w:p>
        </w:tc>
        <w:tc>
          <w:tcPr>
            <w:tcW w:w="1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32"/>
        </w:trPr>
        <w:tc>
          <w:tcPr>
            <w:tcW w:w="1120" w:type="dxa"/>
            <w:vAlign w:val="bottom"/>
          </w:tcPr>
          <w:p>
            <w:pPr>
              <w:spacing w:after="0"/>
              <w:rPr>
                <w:sz w:val="24"/>
                <w:szCs w:val="24"/>
                <w:color w:val="auto"/>
              </w:rPr>
            </w:pPr>
          </w:p>
        </w:tc>
        <w:tc>
          <w:tcPr>
            <w:tcW w:w="56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1"/>
              </w:rPr>
              <w:t>August 26, 2023</w:t>
            </w:r>
          </w:p>
        </w:tc>
        <w:tc>
          <w:tcPr>
            <w:tcW w:w="160" w:type="dxa"/>
            <w:vAlign w:val="bottom"/>
          </w:tcPr>
          <w:p>
            <w:pPr>
              <w:spacing w:after="0"/>
              <w:rPr>
                <w:sz w:val="24"/>
                <w:szCs w:val="24"/>
                <w:color w:val="auto"/>
              </w:rPr>
            </w:pPr>
          </w:p>
        </w:tc>
        <w:tc>
          <w:tcPr>
            <w:tcW w:w="1520" w:type="dxa"/>
            <w:vAlign w:val="bottom"/>
            <w:tcBorders>
              <w:bottom w:val="single" w:sz="8" w:color="auto"/>
            </w:tcBorders>
            <w:gridSpan w:val="2"/>
          </w:tcPr>
          <w:p>
            <w:pPr>
              <w:ind w:left="40"/>
              <w:spacing w:after="0"/>
              <w:rPr>
                <w:sz w:val="20"/>
                <w:szCs w:val="20"/>
                <w:color w:val="auto"/>
              </w:rPr>
            </w:pPr>
            <w:r>
              <w:rPr>
                <w:rFonts w:ascii="Arial" w:cs="Arial" w:eastAsia="Arial" w:hAnsi="Arial"/>
                <w:sz w:val="18"/>
                <w:szCs w:val="18"/>
                <w:color w:val="auto"/>
                <w:w w:val="92"/>
              </w:rPr>
              <w:t>November 26, 2022</w:t>
            </w:r>
          </w:p>
        </w:tc>
        <w:tc>
          <w:tcPr>
            <w:tcW w:w="80" w:type="dxa"/>
            <w:vAlign w:val="bottom"/>
          </w:tcPr>
          <w:p>
            <w:pPr>
              <w:spacing w:after="0"/>
              <w:rPr>
                <w:sz w:val="24"/>
                <w:szCs w:val="24"/>
                <w:color w:val="auto"/>
              </w:rPr>
            </w:pPr>
          </w:p>
        </w:tc>
      </w:tr>
      <w:tr>
        <w:trPr>
          <w:trHeight w:val="210"/>
        </w:trPr>
        <w:tc>
          <w:tcPr>
            <w:tcW w:w="1120" w:type="dxa"/>
            <w:vAlign w:val="bottom"/>
          </w:tcPr>
          <w:p>
            <w:pPr>
              <w:spacing w:after="0"/>
              <w:rPr>
                <w:sz w:val="18"/>
                <w:szCs w:val="18"/>
                <w:color w:val="auto"/>
              </w:rPr>
            </w:pPr>
          </w:p>
        </w:tc>
        <w:tc>
          <w:tcPr>
            <w:tcW w:w="5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Wholesale finished goods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32,258</w:t>
            </w: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46,607</w:t>
            </w:r>
          </w:p>
        </w:tc>
      </w:tr>
      <w:tr>
        <w:trPr>
          <w:trHeight w:val="216"/>
        </w:trPr>
        <w:tc>
          <w:tcPr>
            <w:tcW w:w="1120" w:type="dxa"/>
            <w:vAlign w:val="bottom"/>
          </w:tcPr>
          <w:p>
            <w:pPr>
              <w:spacing w:after="0"/>
              <w:rPr>
                <w:sz w:val="18"/>
                <w:szCs w:val="18"/>
                <w:color w:val="auto"/>
              </w:rPr>
            </w:pPr>
          </w:p>
        </w:tc>
        <w:tc>
          <w:tcPr>
            <w:tcW w:w="5680" w:type="dxa"/>
            <w:vAlign w:val="bottom"/>
          </w:tcPr>
          <w:p>
            <w:pPr>
              <w:ind w:left="20"/>
              <w:spacing w:after="0"/>
              <w:rPr>
                <w:sz w:val="20"/>
                <w:szCs w:val="20"/>
                <w:color w:val="auto"/>
              </w:rPr>
            </w:pPr>
            <w:r>
              <w:rPr>
                <w:rFonts w:ascii="Arial" w:cs="Arial" w:eastAsia="Arial" w:hAnsi="Arial"/>
                <w:sz w:val="18"/>
                <w:szCs w:val="18"/>
                <w:color w:val="auto"/>
              </w:rPr>
              <w:t>Work in process</w:t>
            </w:r>
          </w:p>
        </w:tc>
        <w:tc>
          <w:tcPr>
            <w:tcW w:w="1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606</w:t>
            </w: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620</w:t>
            </w:r>
          </w:p>
        </w:tc>
      </w:tr>
      <w:tr>
        <w:trPr>
          <w:trHeight w:val="216"/>
        </w:trPr>
        <w:tc>
          <w:tcPr>
            <w:tcW w:w="1120" w:type="dxa"/>
            <w:vAlign w:val="bottom"/>
          </w:tcPr>
          <w:p>
            <w:pPr>
              <w:spacing w:after="0"/>
              <w:rPr>
                <w:sz w:val="18"/>
                <w:szCs w:val="18"/>
                <w:color w:val="auto"/>
              </w:rPr>
            </w:pPr>
          </w:p>
        </w:tc>
        <w:tc>
          <w:tcPr>
            <w:tcW w:w="5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Raw materials and supplies</w:t>
            </w:r>
          </w:p>
        </w:tc>
        <w:tc>
          <w:tcPr>
            <w:tcW w:w="14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19,021</w:t>
            </w: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22,859</w:t>
            </w:r>
          </w:p>
        </w:tc>
      </w:tr>
      <w:tr>
        <w:trPr>
          <w:trHeight w:val="216"/>
        </w:trPr>
        <w:tc>
          <w:tcPr>
            <w:tcW w:w="1120" w:type="dxa"/>
            <w:vAlign w:val="bottom"/>
          </w:tcPr>
          <w:p>
            <w:pPr>
              <w:spacing w:after="0"/>
              <w:rPr>
                <w:sz w:val="18"/>
                <w:szCs w:val="18"/>
                <w:color w:val="auto"/>
              </w:rPr>
            </w:pPr>
          </w:p>
        </w:tc>
        <w:tc>
          <w:tcPr>
            <w:tcW w:w="5680" w:type="dxa"/>
            <w:vAlign w:val="bottom"/>
          </w:tcPr>
          <w:p>
            <w:pPr>
              <w:ind w:left="20"/>
              <w:spacing w:after="0"/>
              <w:rPr>
                <w:sz w:val="20"/>
                <w:szCs w:val="20"/>
                <w:color w:val="auto"/>
              </w:rPr>
            </w:pPr>
            <w:r>
              <w:rPr>
                <w:rFonts w:ascii="Arial" w:cs="Arial" w:eastAsia="Arial" w:hAnsi="Arial"/>
                <w:sz w:val="18"/>
                <w:szCs w:val="18"/>
                <w:color w:val="auto"/>
              </w:rPr>
              <w:t>Retail merchandise</w:t>
            </w:r>
          </w:p>
        </w:tc>
        <w:tc>
          <w:tcPr>
            <w:tcW w:w="1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33,048</w:t>
            </w: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32,974</w:t>
            </w:r>
          </w:p>
        </w:tc>
      </w:tr>
      <w:tr>
        <w:trPr>
          <w:trHeight w:val="20"/>
        </w:trPr>
        <w:tc>
          <w:tcPr>
            <w:tcW w:w="1120" w:type="dxa"/>
            <w:vAlign w:val="bottom"/>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0"/>
        </w:trPr>
        <w:tc>
          <w:tcPr>
            <w:tcW w:w="1120" w:type="dxa"/>
            <w:vAlign w:val="bottom"/>
          </w:tcPr>
          <w:p>
            <w:pPr>
              <w:spacing w:after="0"/>
              <w:rPr>
                <w:sz w:val="18"/>
                <w:szCs w:val="18"/>
                <w:color w:val="auto"/>
              </w:rPr>
            </w:pPr>
          </w:p>
        </w:tc>
        <w:tc>
          <w:tcPr>
            <w:tcW w:w="5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inventories on first-in, first-out method</w:t>
            </w:r>
          </w:p>
        </w:tc>
        <w:tc>
          <w:tcPr>
            <w:tcW w:w="14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84,933</w:t>
            </w: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103,060</w:t>
            </w:r>
          </w:p>
        </w:tc>
      </w:tr>
      <w:tr>
        <w:trPr>
          <w:trHeight w:val="216"/>
        </w:trPr>
        <w:tc>
          <w:tcPr>
            <w:tcW w:w="1120" w:type="dxa"/>
            <w:vAlign w:val="bottom"/>
          </w:tcPr>
          <w:p>
            <w:pPr>
              <w:spacing w:after="0"/>
              <w:rPr>
                <w:sz w:val="18"/>
                <w:szCs w:val="18"/>
                <w:color w:val="auto"/>
              </w:rPr>
            </w:pPr>
          </w:p>
        </w:tc>
        <w:tc>
          <w:tcPr>
            <w:tcW w:w="5680" w:type="dxa"/>
            <w:vAlign w:val="bottom"/>
          </w:tcPr>
          <w:p>
            <w:pPr>
              <w:ind w:left="20"/>
              <w:spacing w:after="0"/>
              <w:rPr>
                <w:sz w:val="20"/>
                <w:szCs w:val="20"/>
                <w:color w:val="auto"/>
              </w:rPr>
            </w:pPr>
            <w:r>
              <w:rPr>
                <w:rFonts w:ascii="Arial" w:cs="Arial" w:eastAsia="Arial" w:hAnsi="Arial"/>
                <w:sz w:val="18"/>
                <w:szCs w:val="18"/>
                <w:color w:val="auto"/>
              </w:rPr>
              <w:t>LIFO adjustment</w:t>
            </w:r>
          </w:p>
        </w:tc>
        <w:tc>
          <w:tcPr>
            <w:tcW w:w="140" w:type="dxa"/>
            <w:vAlign w:val="bottom"/>
          </w:tcPr>
          <w:p>
            <w:pPr>
              <w:spacing w:after="0"/>
              <w:rPr>
                <w:sz w:val="18"/>
                <w:szCs w:val="18"/>
                <w:color w:val="auto"/>
              </w:rPr>
            </w:pPr>
          </w:p>
        </w:tc>
        <w:tc>
          <w:tcPr>
            <w:tcW w:w="1560" w:type="dxa"/>
            <w:vAlign w:val="bottom"/>
            <w:gridSpan w:val="2"/>
          </w:tcPr>
          <w:p>
            <w:pPr>
              <w:jc w:val="right"/>
              <w:ind w:right="100"/>
              <w:spacing w:after="0"/>
              <w:rPr>
                <w:sz w:val="20"/>
                <w:szCs w:val="20"/>
                <w:color w:val="auto"/>
              </w:rPr>
            </w:pPr>
            <w:r>
              <w:rPr>
                <w:rFonts w:ascii="Arial" w:cs="Arial" w:eastAsia="Arial" w:hAnsi="Arial"/>
                <w:sz w:val="18"/>
                <w:szCs w:val="18"/>
                <w:color w:val="auto"/>
              </w:rPr>
              <w:t>(11,785)</w:t>
            </w:r>
          </w:p>
        </w:tc>
        <w:tc>
          <w:tcPr>
            <w:tcW w:w="52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(12,416)</w:t>
            </w:r>
          </w:p>
        </w:tc>
      </w:tr>
      <w:tr>
        <w:trPr>
          <w:trHeight w:val="216"/>
        </w:trPr>
        <w:tc>
          <w:tcPr>
            <w:tcW w:w="1120" w:type="dxa"/>
            <w:vAlign w:val="bottom"/>
          </w:tcPr>
          <w:p>
            <w:pPr>
              <w:spacing w:after="0"/>
              <w:rPr>
                <w:sz w:val="18"/>
                <w:szCs w:val="18"/>
                <w:color w:val="auto"/>
              </w:rPr>
            </w:pPr>
          </w:p>
        </w:tc>
        <w:tc>
          <w:tcPr>
            <w:tcW w:w="5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Reserve for excess and obsolete inventory</w:t>
            </w:r>
          </w:p>
        </w:tc>
        <w:tc>
          <w:tcPr>
            <w:tcW w:w="14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(6,282)</w:t>
            </w:r>
          </w:p>
        </w:tc>
        <w:tc>
          <w:tcPr>
            <w:tcW w:w="5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(5,167)</w:t>
            </w:r>
          </w:p>
        </w:tc>
      </w:tr>
      <w:tr>
        <w:trPr>
          <w:trHeight w:val="20"/>
        </w:trPr>
        <w:tc>
          <w:tcPr>
            <w:tcW w:w="1120" w:type="dxa"/>
            <w:vAlign w:val="bottom"/>
          </w:tcPr>
          <w:p>
            <w:pPr>
              <w:spacing w:after="0" w:line="20" w:lineRule="exact"/>
              <w:rPr>
                <w:sz w:val="1"/>
                <w:szCs w:val="1"/>
                <w:color w:val="auto"/>
              </w:rPr>
            </w:pPr>
          </w:p>
        </w:tc>
        <w:tc>
          <w:tcPr>
            <w:tcW w:w="56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r>
        <w:trPr>
          <w:trHeight w:val="209"/>
        </w:trPr>
        <w:tc>
          <w:tcPr>
            <w:tcW w:w="1120" w:type="dxa"/>
            <w:vAlign w:val="bottom"/>
          </w:tcPr>
          <w:p>
            <w:pPr>
              <w:spacing w:after="0"/>
              <w:rPr>
                <w:sz w:val="18"/>
                <w:szCs w:val="18"/>
                <w:color w:val="auto"/>
              </w:rPr>
            </w:pPr>
          </w:p>
        </w:tc>
        <w:tc>
          <w:tcPr>
            <w:tcW w:w="56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66,866</w:t>
            </w:r>
          </w:p>
        </w:tc>
        <w:tc>
          <w:tcPr>
            <w:tcW w:w="160" w:type="dxa"/>
            <w:vAlign w:val="bottom"/>
          </w:tcPr>
          <w:p>
            <w:pPr>
              <w:spacing w:after="0"/>
              <w:rPr>
                <w:sz w:val="18"/>
                <w:szCs w:val="18"/>
                <w:color w:val="auto"/>
              </w:rPr>
            </w:pPr>
          </w:p>
        </w:tc>
        <w:tc>
          <w:tcPr>
            <w:tcW w:w="520" w:type="dxa"/>
            <w:vAlign w:val="bottom"/>
          </w:tcPr>
          <w:p>
            <w:pPr>
              <w:jc w:val="right"/>
              <w:ind w:right="33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85,477</w:t>
            </w:r>
          </w:p>
        </w:tc>
      </w:tr>
      <w:tr>
        <w:trPr>
          <w:trHeight w:val="20"/>
        </w:trPr>
        <w:tc>
          <w:tcPr>
            <w:tcW w:w="1120" w:type="dxa"/>
            <w:vAlign w:val="bottom"/>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estimate an inventory reserve for excess quantities and obsolete items based on specific identification and historical write-offs, taking into account future demand, market conditions and the respective valuations at LIFO. The need for these reserves is primarily driven by the normal product life cycle. As products mature and sales volumes decline, we rationalize our product offerings to respond to consumer tastes and keep our product lines fresh. If actual demand or market conditions in the future are less favorable than those estimated, additional inventory write-downs may be required. In determining reserves, we calculate separate reserves on our wholesale and retail inventories. Our wholesale inventories tend to carry the majority of the reserves for excess quantities and obsolete inventory due to the nature of our distribution model. These wholesale reserves primarily represent design and/or style obsolescence. Typically, product is not shipped to our retail warehouses until a consumer has ordered and paid a deposit for the product. We do not typically hold retail inventory for stock purposes. Consequently, floor sample inventory and inventory for delivery to customers account for the majority of our inventory at retail. Retail reserves are based on accessory and clearance floor sample inventory in our stores and any inventory that is not associated with a specific customer order in our retail warehouses.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Activity in the reserves for excess quantities and obsolete inventory by segment are as follows:</w:t>
      </w:r>
    </w:p>
    <w:p>
      <w:pPr>
        <w:spacing w:after="0" w:line="225" w:lineRule="exact"/>
        <w:rPr>
          <w:sz w:val="20"/>
          <w:szCs w:val="20"/>
          <w:color w:val="auto"/>
        </w:rPr>
      </w:pPr>
    </w:p>
    <w:tbl>
      <w:tblPr>
        <w:tblLayout w:type="fixed"/>
        <w:tblInd w:w="28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gridSpan w:val="2"/>
          </w:tcPr>
          <w:p>
            <w:pPr>
              <w:jc w:val="right"/>
              <w:ind w:right="500"/>
              <w:spacing w:after="0"/>
              <w:rPr>
                <w:sz w:val="20"/>
                <w:szCs w:val="20"/>
                <w:color w:val="auto"/>
              </w:rPr>
            </w:pPr>
            <w:r>
              <w:rPr>
                <w:rFonts w:ascii="Arial" w:cs="Arial" w:eastAsia="Arial" w:hAnsi="Arial"/>
                <w:sz w:val="18"/>
                <w:szCs w:val="18"/>
                <w:color w:val="auto"/>
              </w:rPr>
              <w:t>Wholesale</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6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0" w:type="dxa"/>
            <w:vAlign w:val="bottom"/>
            <w:gridSpan w:val="2"/>
          </w:tcPr>
          <w:p>
            <w:pPr>
              <w:jc w:val="right"/>
              <w:ind w:right="580"/>
              <w:spacing w:after="0"/>
              <w:rPr>
                <w:sz w:val="20"/>
                <w:szCs w:val="20"/>
                <w:color w:val="auto"/>
              </w:rPr>
            </w:pPr>
            <w:r>
              <w:rPr>
                <w:rFonts w:ascii="Arial" w:cs="Arial" w:eastAsia="Arial" w:hAnsi="Arial"/>
                <w:sz w:val="18"/>
                <w:szCs w:val="18"/>
                <w:color w:val="auto"/>
              </w:rPr>
              <w:t>Segment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00" w:type="dxa"/>
            <w:vAlign w:val="bottom"/>
            <w:gridSpan w:val="2"/>
          </w:tcPr>
          <w:p>
            <w:pPr>
              <w:jc w:val="right"/>
              <w:ind w:right="340"/>
              <w:spacing w:after="0"/>
              <w:rPr>
                <w:sz w:val="20"/>
                <w:szCs w:val="20"/>
                <w:color w:val="auto"/>
              </w:rPr>
            </w:pPr>
            <w:r>
              <w:rPr>
                <w:rFonts w:ascii="Arial" w:cs="Arial" w:eastAsia="Arial" w:hAnsi="Arial"/>
                <w:sz w:val="18"/>
                <w:szCs w:val="18"/>
                <w:color w:val="auto"/>
                <w:w w:val="92"/>
              </w:rPr>
              <w:t>Retail Segment</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gridSpan w:val="2"/>
          </w:tcPr>
          <w:p>
            <w:pPr>
              <w:jc w:val="right"/>
              <w:ind w:right="66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64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Balance at November 26, 2022</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4,103</w:t>
            </w:r>
          </w:p>
        </w:tc>
        <w:tc>
          <w:tcPr>
            <w:tcW w:w="14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1,064</w:t>
            </w:r>
          </w:p>
        </w:tc>
        <w:tc>
          <w:tcPr>
            <w:tcW w:w="14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5,167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tcPr>
          <w:p>
            <w:pPr>
              <w:spacing w:after="0"/>
              <w:rPr>
                <w:sz w:val="20"/>
                <w:szCs w:val="20"/>
                <w:color w:val="auto"/>
              </w:rPr>
            </w:pPr>
            <w:r>
              <w:rPr>
                <w:rFonts w:ascii="Arial" w:cs="Arial" w:eastAsia="Arial" w:hAnsi="Arial"/>
                <w:sz w:val="18"/>
                <w:szCs w:val="18"/>
                <w:color w:val="auto"/>
              </w:rPr>
              <w:t>Additions charged to expense</w:t>
            </w:r>
          </w:p>
        </w:tc>
        <w:tc>
          <w:tcPr>
            <w:tcW w:w="2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3,228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586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3,814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Write-offs</w:t>
            </w:r>
          </w:p>
        </w:tc>
        <w:tc>
          <w:tcPr>
            <w:tcW w:w="2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(2,086)</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(613)</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(2,699)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4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660" w:type="dxa"/>
            <w:vAlign w:val="bottom"/>
            <w:gridSpan w:val="2"/>
          </w:tcPr>
          <w:p>
            <w:pPr>
              <w:spacing w:after="0"/>
              <w:rPr>
                <w:sz w:val="20"/>
                <w:szCs w:val="20"/>
                <w:color w:val="auto"/>
              </w:rPr>
            </w:pPr>
            <w:r>
              <w:rPr>
                <w:rFonts w:ascii="Arial" w:cs="Arial" w:eastAsia="Arial" w:hAnsi="Arial"/>
                <w:sz w:val="18"/>
                <w:szCs w:val="18"/>
                <w:color w:val="auto"/>
              </w:rPr>
              <w:t>Balance at August 26, 2023</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5,245</w:t>
            </w:r>
          </w:p>
        </w:tc>
        <w:tc>
          <w:tcPr>
            <w:tcW w:w="140" w:type="dxa"/>
            <w:vAlign w:val="bottom"/>
          </w:tcPr>
          <w:p>
            <w:pPr>
              <w:spacing w:after="0"/>
              <w:rPr>
                <w:sz w:val="18"/>
                <w:szCs w:val="18"/>
                <w:color w:val="auto"/>
              </w:rPr>
            </w:pPr>
          </w:p>
        </w:tc>
        <w:tc>
          <w:tcPr>
            <w:tcW w:w="2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1,037</w:t>
            </w:r>
          </w:p>
        </w:tc>
        <w:tc>
          <w:tcPr>
            <w:tcW w:w="140" w:type="dxa"/>
            <w:vAlign w:val="bottom"/>
          </w:tcPr>
          <w:p>
            <w:pPr>
              <w:spacing w:after="0"/>
              <w:rPr>
                <w:sz w:val="18"/>
                <w:szCs w:val="18"/>
                <w:color w:val="auto"/>
              </w:rPr>
            </w:pPr>
          </w:p>
        </w:tc>
        <w:tc>
          <w:tcPr>
            <w:tcW w:w="4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6,282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Our estimates and assumptions have been reasonably accurate in the past. We have not made any significant changes to our methodology for determining inventory reserves in 2023 and do not anticipate that our methodology is likely to change in the future.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 of 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u w:val="single" w:color="auto"/>
          <w:color w:val="auto"/>
        </w:rPr>
        <w:t>PART I-FINANCIAL INFORMATION-CONTINUED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BASSETT FURNITURE INDUSTRIES, INCORPORATED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CONDENSED CONSOLIDATED FINANCIAL STATEMENTS-UNAUDITED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AUGUST 26, 2023</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(Dollars 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20" w:type="dxa"/>
            <w:vAlign w:val="bottom"/>
          </w:tcPr>
          <w:p>
            <w:pPr>
              <w:spacing w:after="0"/>
              <w:rPr>
                <w:sz w:val="20"/>
                <w:szCs w:val="20"/>
                <w:color w:val="auto"/>
              </w:rPr>
            </w:pPr>
            <w:r>
              <w:rPr>
                <w:rFonts w:ascii="Arial" w:cs="Arial" w:eastAsia="Arial" w:hAnsi="Arial"/>
                <w:sz w:val="18"/>
                <w:szCs w:val="18"/>
                <w:b w:val="1"/>
                <w:bCs w:val="1"/>
                <w:color w:val="auto"/>
              </w:rPr>
              <w:t>7. Goodwill and Other Intangible Assets</w:t>
            </w:r>
          </w:p>
        </w:tc>
        <w:tc>
          <w:tcPr>
            <w:tcW w:w="4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5020" w:type="dxa"/>
            <w:vAlign w:val="bottom"/>
          </w:tcPr>
          <w:p>
            <w:pPr>
              <w:spacing w:after="0"/>
              <w:rPr>
                <w:sz w:val="20"/>
                <w:szCs w:val="20"/>
                <w:color w:val="auto"/>
              </w:rPr>
            </w:pPr>
            <w:r>
              <w:rPr>
                <w:rFonts w:ascii="Arial" w:cs="Arial" w:eastAsia="Arial" w:hAnsi="Arial"/>
                <w:sz w:val="18"/>
                <w:szCs w:val="18"/>
                <w:color w:val="auto"/>
                <w:w w:val="99"/>
              </w:rPr>
              <w:t>Goodwill and other intangible assets consisted of the following:</w:t>
            </w: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50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gridSpan w:val="5"/>
          </w:tcPr>
          <w:p>
            <w:pPr>
              <w:jc w:val="right"/>
              <w:ind w:right="340"/>
              <w:spacing w:after="0"/>
              <w:rPr>
                <w:sz w:val="20"/>
                <w:szCs w:val="20"/>
                <w:color w:val="auto"/>
              </w:rPr>
            </w:pPr>
            <w:r>
              <w:rPr>
                <w:rFonts w:ascii="Arial" w:cs="Arial" w:eastAsia="Arial" w:hAnsi="Arial"/>
                <w:sz w:val="18"/>
                <w:szCs w:val="18"/>
                <w:b w:val="1"/>
                <w:bCs w:val="1"/>
                <w:color w:val="auto"/>
                <w:w w:val="94"/>
              </w:rPr>
              <w:t>August 26, 2023</w:t>
            </w: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421"/>
        </w:trPr>
        <w:tc>
          <w:tcPr>
            <w:tcW w:w="50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560" w:type="dxa"/>
            <w:vAlign w:val="bottom"/>
            <w:gridSpan w:val="5"/>
          </w:tcPr>
          <w:p>
            <w:pPr>
              <w:jc w:val="center"/>
              <w:ind w:right="200"/>
              <w:spacing w:after="0"/>
              <w:rPr>
                <w:sz w:val="20"/>
                <w:szCs w:val="20"/>
                <w:color w:val="auto"/>
              </w:rPr>
            </w:pPr>
            <w:r>
              <w:rPr>
                <w:rFonts w:ascii="Arial" w:cs="Arial" w:eastAsia="Arial" w:hAnsi="Arial"/>
                <w:sz w:val="18"/>
                <w:szCs w:val="18"/>
                <w:b w:val="1"/>
                <w:bCs w:val="1"/>
                <w:color w:val="auto"/>
                <w:w w:val="91"/>
              </w:rPr>
              <w:t>Gross Carrying</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Accumulated</w:t>
            </w: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1"/>
              </w:rPr>
              <w:t>Intangible</w:t>
            </w:r>
          </w:p>
        </w:tc>
      </w:tr>
      <w:tr>
        <w:trPr>
          <w:trHeight w:val="234"/>
        </w:trPr>
        <w:tc>
          <w:tcPr>
            <w:tcW w:w="50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40" w:type="dxa"/>
            <w:vAlign w:val="bottom"/>
            <w:gridSpan w:val="4"/>
          </w:tcPr>
          <w:p>
            <w:pPr>
              <w:jc w:val="center"/>
              <w:ind w:right="500"/>
              <w:spacing w:after="0"/>
              <w:rPr>
                <w:sz w:val="20"/>
                <w:szCs w:val="20"/>
                <w:color w:val="auto"/>
              </w:rPr>
            </w:pPr>
            <w:r>
              <w:rPr>
                <w:rFonts w:ascii="Arial" w:cs="Arial" w:eastAsia="Arial" w:hAnsi="Arial"/>
                <w:sz w:val="18"/>
                <w:szCs w:val="18"/>
                <w:b w:val="1"/>
                <w:bCs w:val="1"/>
                <w:color w:val="auto"/>
                <w:w w:val="91"/>
              </w:rPr>
              <w:t>Amount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gridSpan w:val="2"/>
          </w:tcPr>
          <w:p>
            <w:pPr>
              <w:jc w:val="center"/>
              <w:spacing w:after="0"/>
              <w:rPr>
                <w:sz w:val="20"/>
                <w:szCs w:val="20"/>
                <w:color w:val="auto"/>
              </w:rPr>
            </w:pPr>
            <w:r>
              <w:rPr>
                <w:rFonts w:ascii="Arial" w:cs="Arial" w:eastAsia="Arial" w:hAnsi="Arial"/>
                <w:sz w:val="18"/>
                <w:szCs w:val="18"/>
                <w:b w:val="1"/>
                <w:bCs w:val="1"/>
                <w:color w:val="auto"/>
                <w:w w:val="92"/>
              </w:rPr>
              <w:t>Amortization</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gridSpan w:val="3"/>
          </w:tcPr>
          <w:p>
            <w:pPr>
              <w:jc w:val="center"/>
              <w:ind w:right="320"/>
              <w:spacing w:after="0"/>
              <w:rPr>
                <w:sz w:val="20"/>
                <w:szCs w:val="20"/>
                <w:color w:val="auto"/>
              </w:rPr>
            </w:pPr>
            <w:r>
              <w:rPr>
                <w:rFonts w:ascii="Arial" w:cs="Arial" w:eastAsia="Arial" w:hAnsi="Arial"/>
                <w:sz w:val="18"/>
                <w:szCs w:val="18"/>
                <w:b w:val="1"/>
                <w:bCs w:val="1"/>
                <w:color w:val="auto"/>
                <w:w w:val="83"/>
              </w:rPr>
              <w:t>Assets, Net</w:t>
            </w:r>
          </w:p>
        </w:tc>
      </w:tr>
      <w:tr>
        <w:trPr>
          <w:trHeight w:val="210"/>
        </w:trPr>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Intangibles subject to amortization</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left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left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tcBorders>
              <w:top w:val="single" w:sz="8" w:color="auto"/>
              <w:right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020" w:type="dxa"/>
            <w:vAlign w:val="bottom"/>
          </w:tcPr>
          <w:p>
            <w:pPr>
              <w:ind w:left="180"/>
              <w:spacing w:after="0"/>
              <w:rPr>
                <w:sz w:val="20"/>
                <w:szCs w:val="20"/>
                <w:color w:val="auto"/>
              </w:rPr>
            </w:pPr>
            <w:r>
              <w:rPr>
                <w:rFonts w:ascii="Arial" w:cs="Arial" w:eastAsia="Arial" w:hAnsi="Arial"/>
                <w:sz w:val="18"/>
                <w:szCs w:val="18"/>
                <w:color w:val="auto"/>
              </w:rPr>
              <w:t>Customer relationships</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3"/>
          </w:tcPr>
          <w:p>
            <w:pPr>
              <w:jc w:val="right"/>
              <w:ind w:right="190"/>
              <w:spacing w:after="0"/>
              <w:rPr>
                <w:sz w:val="20"/>
                <w:szCs w:val="20"/>
                <w:color w:val="auto"/>
              </w:rPr>
            </w:pPr>
            <w:r>
              <w:rPr>
                <w:rFonts w:ascii="Arial" w:cs="Arial" w:eastAsia="Arial" w:hAnsi="Arial"/>
                <w:sz w:val="18"/>
                <w:szCs w:val="18"/>
                <w:color w:val="auto"/>
              </w:rPr>
              <w:t>$</w:t>
            </w:r>
          </w:p>
        </w:tc>
        <w:tc>
          <w:tcPr>
            <w:tcW w:w="1140" w:type="dxa"/>
            <w:vAlign w:val="bottom"/>
            <w:gridSpan w:val="3"/>
          </w:tcPr>
          <w:p>
            <w:pPr>
              <w:jc w:val="right"/>
              <w:ind w:right="40"/>
              <w:spacing w:after="0"/>
              <w:rPr>
                <w:sz w:val="20"/>
                <w:szCs w:val="20"/>
                <w:color w:val="auto"/>
              </w:rPr>
            </w:pPr>
            <w:r>
              <w:rPr>
                <w:rFonts w:ascii="Arial" w:cs="Arial" w:eastAsia="Arial" w:hAnsi="Arial"/>
                <w:sz w:val="18"/>
                <w:szCs w:val="18"/>
                <w:color w:val="auto"/>
              </w:rPr>
              <w:t>512</w:t>
            </w:r>
          </w:p>
        </w:tc>
        <w:tc>
          <w:tcPr>
            <w:tcW w:w="10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40" w:type="dxa"/>
            <w:vAlign w:val="bottom"/>
            <w:gridSpan w:val="4"/>
          </w:tcPr>
          <w:p>
            <w:pPr>
              <w:jc w:val="right"/>
              <w:ind w:right="140"/>
              <w:spacing w:after="0"/>
              <w:rPr>
                <w:sz w:val="20"/>
                <w:szCs w:val="20"/>
                <w:color w:val="auto"/>
              </w:rPr>
            </w:pPr>
            <w:r>
              <w:rPr>
                <w:rFonts w:ascii="Arial" w:cs="Arial" w:eastAsia="Arial" w:hAnsi="Arial"/>
                <w:sz w:val="18"/>
                <w:szCs w:val="18"/>
                <w:color w:val="auto"/>
              </w:rPr>
              <w:t>(322)</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190</w:t>
            </w:r>
          </w:p>
        </w:tc>
      </w:tr>
      <w:tr>
        <w:trPr>
          <w:trHeight w:val="20"/>
        </w:trPr>
        <w:tc>
          <w:tcPr>
            <w:tcW w:w="50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50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20" w:type="dxa"/>
            <w:vAlign w:val="bottom"/>
            <w:tcBorders>
              <w:left w:val="single" w:sz="8" w:color="CCEEFF"/>
            </w:tcBorders>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tcBorders>
              <w:left w:val="single" w:sz="8" w:color="CCEEFF"/>
            </w:tcBorders>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5020" w:type="dxa"/>
            <w:vAlign w:val="bottom"/>
          </w:tcPr>
          <w:p>
            <w:pPr>
              <w:spacing w:after="0"/>
              <w:rPr>
                <w:sz w:val="20"/>
                <w:szCs w:val="20"/>
                <w:color w:val="auto"/>
              </w:rPr>
            </w:pPr>
            <w:r>
              <w:rPr>
                <w:rFonts w:ascii="Arial" w:cs="Arial" w:eastAsia="Arial" w:hAnsi="Arial"/>
                <w:sz w:val="18"/>
                <w:szCs w:val="18"/>
                <w:color w:val="auto"/>
              </w:rPr>
              <w:t>Intangibles not subject to amortization:</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Trade names</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tcBorders>
              <w:left w:val="single" w:sz="8" w:color="CCEEFF"/>
            </w:tcBorders>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tcBorders>
              <w:left w:val="single" w:sz="8" w:color="CCEEFF"/>
            </w:tcBorders>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8,688</w:t>
            </w:r>
          </w:p>
        </w:tc>
      </w:tr>
      <w:tr>
        <w:trPr>
          <w:trHeight w:val="216"/>
        </w:trPr>
        <w:tc>
          <w:tcPr>
            <w:tcW w:w="5020" w:type="dxa"/>
            <w:vAlign w:val="bottom"/>
          </w:tcPr>
          <w:p>
            <w:pPr>
              <w:ind w:left="180"/>
              <w:spacing w:after="0"/>
              <w:rPr>
                <w:sz w:val="20"/>
                <w:szCs w:val="20"/>
                <w:color w:val="auto"/>
              </w:rPr>
            </w:pPr>
            <w:r>
              <w:rPr>
                <w:rFonts w:ascii="Arial" w:cs="Arial" w:eastAsia="Arial" w:hAnsi="Arial"/>
                <w:sz w:val="18"/>
                <w:szCs w:val="18"/>
                <w:color w:val="auto"/>
              </w:rPr>
              <w:t>Goodwill</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12,669</w:t>
            </w:r>
          </w:p>
        </w:tc>
        <w:tc>
          <w:tcPr>
            <w:tcW w:w="100" w:type="dxa"/>
            <w:vAlign w:val="bottom"/>
          </w:tcPr>
          <w:p>
            <w:pPr>
              <w:spacing w:after="0"/>
              <w:rPr>
                <w:sz w:val="18"/>
                <w:szCs w:val="18"/>
                <w:color w:val="auto"/>
              </w:rPr>
            </w:pPr>
          </w:p>
        </w:tc>
      </w:tr>
      <w:tr>
        <w:trPr>
          <w:trHeight w:val="250"/>
        </w:trPr>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Total goodwill and other intangible assets</w:t>
            </w:r>
          </w:p>
        </w:tc>
        <w:tc>
          <w:tcPr>
            <w:tcW w:w="4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220" w:type="dxa"/>
            <w:vAlign w:val="bottom"/>
            <w:tcBorders>
              <w:left w:val="single" w:sz="8" w:color="CCEEFF"/>
            </w:tcBorders>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20" w:type="dxa"/>
            <w:vAlign w:val="bottom"/>
            <w:tcBorders>
              <w:left w:val="single" w:sz="8" w:color="CCEEFF"/>
            </w:tcBorders>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220" w:type="dxa"/>
            <w:vAlign w:val="bottom"/>
            <w:tcBorders>
              <w:right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21,547</w:t>
            </w:r>
          </w:p>
        </w:tc>
      </w:tr>
      <w:tr>
        <w:trPr>
          <w:trHeight w:val="413"/>
        </w:trPr>
        <w:tc>
          <w:tcPr>
            <w:tcW w:w="5020" w:type="dxa"/>
            <w:vAlign w:val="bottom"/>
            <w:tcBorders>
              <w:top w:val="single" w:sz="8" w:color="CCEEFF"/>
            </w:tcBorders>
          </w:tcPr>
          <w:p>
            <w:pPr>
              <w:spacing w:after="0"/>
              <w:rPr>
                <w:sz w:val="24"/>
                <w:szCs w:val="24"/>
                <w:color w:val="auto"/>
              </w:rPr>
            </w:pPr>
          </w:p>
        </w:tc>
        <w:tc>
          <w:tcPr>
            <w:tcW w:w="400" w:type="dxa"/>
            <w:vAlign w:val="bottom"/>
            <w:tcBorders>
              <w:top w:val="single" w:sz="8" w:color="CCEEFF"/>
            </w:tcBorders>
          </w:tcPr>
          <w:p>
            <w:pPr>
              <w:spacing w:after="0"/>
              <w:rPr>
                <w:sz w:val="24"/>
                <w:szCs w:val="24"/>
                <w:color w:val="auto"/>
              </w:rPr>
            </w:pPr>
          </w:p>
        </w:tc>
        <w:tc>
          <w:tcPr>
            <w:tcW w:w="180" w:type="dxa"/>
            <w:vAlign w:val="bottom"/>
            <w:tcBorders>
              <w:top w:val="single" w:sz="8" w:color="CCEEFF"/>
            </w:tcBorders>
          </w:tcPr>
          <w:p>
            <w:pPr>
              <w:spacing w:after="0"/>
              <w:rPr>
                <w:sz w:val="24"/>
                <w:szCs w:val="24"/>
                <w:color w:val="auto"/>
              </w:rPr>
            </w:pPr>
          </w:p>
        </w:tc>
        <w:tc>
          <w:tcPr>
            <w:tcW w:w="72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320" w:type="dxa"/>
            <w:vAlign w:val="bottom"/>
            <w:tcBorders>
              <w:top w:val="single" w:sz="8" w:color="CCEEFF"/>
              <w:bottom w:val="single" w:sz="8" w:color="auto"/>
            </w:tcBorders>
          </w:tcPr>
          <w:p>
            <w:pPr>
              <w:spacing w:after="0"/>
              <w:rPr>
                <w:sz w:val="24"/>
                <w:szCs w:val="24"/>
                <w:color w:val="auto"/>
              </w:rPr>
            </w:pPr>
          </w:p>
        </w:tc>
        <w:tc>
          <w:tcPr>
            <w:tcW w:w="220" w:type="dxa"/>
            <w:vAlign w:val="bottom"/>
            <w:tcBorders>
              <w:top w:val="single" w:sz="8" w:color="CCEEFF"/>
              <w:bottom w:val="single" w:sz="8" w:color="auto"/>
            </w:tcBorders>
          </w:tcPr>
          <w:p>
            <w:pPr>
              <w:spacing w:after="0"/>
              <w:rPr>
                <w:sz w:val="24"/>
                <w:szCs w:val="24"/>
                <w:color w:val="auto"/>
              </w:rPr>
            </w:pPr>
          </w:p>
        </w:tc>
        <w:tc>
          <w:tcPr>
            <w:tcW w:w="880" w:type="dxa"/>
            <w:vAlign w:val="bottom"/>
            <w:tcBorders>
              <w:top w:val="single" w:sz="8" w:color="CCEEFF"/>
              <w:bottom w:val="single" w:sz="8" w:color="auto"/>
            </w:tcBorders>
          </w:tcPr>
          <w:p>
            <w:pPr>
              <w:spacing w:after="0"/>
              <w:rPr>
                <w:sz w:val="24"/>
                <w:szCs w:val="24"/>
                <w:color w:val="auto"/>
              </w:rPr>
            </w:pPr>
          </w:p>
        </w:tc>
        <w:tc>
          <w:tcPr>
            <w:tcW w:w="40" w:type="dxa"/>
            <w:vAlign w:val="bottom"/>
            <w:tcBorders>
              <w:top w:val="single" w:sz="8" w:color="CCEEFF"/>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c>
          <w:tcPr>
            <w:tcW w:w="1760" w:type="dxa"/>
            <w:vAlign w:val="bottom"/>
            <w:tcBorders>
              <w:top w:val="single" w:sz="8" w:color="CCEEFF"/>
              <w:bottom w:val="single" w:sz="8" w:color="auto"/>
            </w:tcBorders>
            <w:gridSpan w:val="6"/>
          </w:tcPr>
          <w:p>
            <w:pPr>
              <w:jc w:val="center"/>
              <w:ind w:right="100"/>
              <w:spacing w:after="0"/>
              <w:rPr>
                <w:sz w:val="20"/>
                <w:szCs w:val="20"/>
                <w:color w:val="auto"/>
              </w:rPr>
            </w:pPr>
            <w:r>
              <w:rPr>
                <w:rFonts w:ascii="Arial" w:cs="Arial" w:eastAsia="Arial" w:hAnsi="Arial"/>
                <w:sz w:val="18"/>
                <w:szCs w:val="18"/>
                <w:b w:val="1"/>
                <w:bCs w:val="1"/>
                <w:color w:val="auto"/>
                <w:w w:val="89"/>
              </w:rPr>
              <w:t>November 26, 2022</w:t>
            </w:r>
          </w:p>
        </w:tc>
        <w:tc>
          <w:tcPr>
            <w:tcW w:w="22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114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r>
        <w:trPr>
          <w:trHeight w:val="421"/>
        </w:trPr>
        <w:tc>
          <w:tcPr>
            <w:tcW w:w="50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560" w:type="dxa"/>
            <w:vAlign w:val="bottom"/>
            <w:gridSpan w:val="5"/>
          </w:tcPr>
          <w:p>
            <w:pPr>
              <w:jc w:val="center"/>
              <w:ind w:right="120"/>
              <w:spacing w:after="0"/>
              <w:rPr>
                <w:sz w:val="20"/>
                <w:szCs w:val="20"/>
                <w:color w:val="auto"/>
              </w:rPr>
            </w:pPr>
            <w:r>
              <w:rPr>
                <w:rFonts w:ascii="Arial" w:cs="Arial" w:eastAsia="Arial" w:hAnsi="Arial"/>
                <w:sz w:val="18"/>
                <w:szCs w:val="18"/>
                <w:b w:val="1"/>
                <w:bCs w:val="1"/>
                <w:color w:val="auto"/>
                <w:w w:val="91"/>
              </w:rPr>
              <w:t>Gross Carrying</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Accumulated</w:t>
            </w: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1"/>
              </w:rPr>
              <w:t>Intangible</w:t>
            </w:r>
          </w:p>
        </w:tc>
      </w:tr>
      <w:tr>
        <w:trPr>
          <w:trHeight w:val="234"/>
        </w:trPr>
        <w:tc>
          <w:tcPr>
            <w:tcW w:w="50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40" w:type="dxa"/>
            <w:vAlign w:val="bottom"/>
            <w:gridSpan w:val="4"/>
          </w:tcPr>
          <w:p>
            <w:pPr>
              <w:jc w:val="center"/>
              <w:ind w:right="420"/>
              <w:spacing w:after="0"/>
              <w:rPr>
                <w:sz w:val="20"/>
                <w:szCs w:val="20"/>
                <w:color w:val="auto"/>
              </w:rPr>
            </w:pPr>
            <w:r>
              <w:rPr>
                <w:rFonts w:ascii="Arial" w:cs="Arial" w:eastAsia="Arial" w:hAnsi="Arial"/>
                <w:sz w:val="18"/>
                <w:szCs w:val="18"/>
                <w:b w:val="1"/>
                <w:bCs w:val="1"/>
                <w:color w:val="auto"/>
                <w:w w:val="91"/>
              </w:rPr>
              <w:t>Amount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gridSpan w:val="2"/>
          </w:tcPr>
          <w:p>
            <w:pPr>
              <w:jc w:val="center"/>
              <w:spacing w:after="0"/>
              <w:rPr>
                <w:sz w:val="20"/>
                <w:szCs w:val="20"/>
                <w:color w:val="auto"/>
              </w:rPr>
            </w:pPr>
            <w:r>
              <w:rPr>
                <w:rFonts w:ascii="Arial" w:cs="Arial" w:eastAsia="Arial" w:hAnsi="Arial"/>
                <w:sz w:val="18"/>
                <w:szCs w:val="18"/>
                <w:b w:val="1"/>
                <w:bCs w:val="1"/>
                <w:color w:val="auto"/>
                <w:w w:val="92"/>
              </w:rPr>
              <w:t>Amortization</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gridSpan w:val="3"/>
          </w:tcPr>
          <w:p>
            <w:pPr>
              <w:jc w:val="center"/>
              <w:ind w:right="320"/>
              <w:spacing w:after="0"/>
              <w:rPr>
                <w:sz w:val="20"/>
                <w:szCs w:val="20"/>
                <w:color w:val="auto"/>
              </w:rPr>
            </w:pPr>
            <w:r>
              <w:rPr>
                <w:rFonts w:ascii="Arial" w:cs="Arial" w:eastAsia="Arial" w:hAnsi="Arial"/>
                <w:sz w:val="18"/>
                <w:szCs w:val="18"/>
                <w:b w:val="1"/>
                <w:bCs w:val="1"/>
                <w:color w:val="auto"/>
                <w:w w:val="83"/>
              </w:rPr>
              <w:t>Assets, Net</w:t>
            </w:r>
          </w:p>
        </w:tc>
      </w:tr>
      <w:tr>
        <w:trPr>
          <w:trHeight w:val="209"/>
        </w:trPr>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Intangibles subject to amortization</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left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left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tcBorders>
              <w:top w:val="single" w:sz="8" w:color="auto"/>
              <w:right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020" w:type="dxa"/>
            <w:vAlign w:val="bottom"/>
          </w:tcPr>
          <w:p>
            <w:pPr>
              <w:ind w:left="180"/>
              <w:spacing w:after="0"/>
              <w:rPr>
                <w:sz w:val="20"/>
                <w:szCs w:val="20"/>
                <w:color w:val="auto"/>
              </w:rPr>
            </w:pPr>
            <w:r>
              <w:rPr>
                <w:rFonts w:ascii="Arial" w:cs="Arial" w:eastAsia="Arial" w:hAnsi="Arial"/>
                <w:sz w:val="18"/>
                <w:szCs w:val="18"/>
                <w:color w:val="auto"/>
              </w:rPr>
              <w:t>Customer relationships</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3"/>
          </w:tcPr>
          <w:p>
            <w:pPr>
              <w:jc w:val="right"/>
              <w:ind w:right="130"/>
              <w:spacing w:after="0"/>
              <w:rPr>
                <w:sz w:val="20"/>
                <w:szCs w:val="20"/>
                <w:color w:val="auto"/>
              </w:rPr>
            </w:pPr>
            <w:r>
              <w:rPr>
                <w:rFonts w:ascii="Arial" w:cs="Arial" w:eastAsia="Arial" w:hAnsi="Arial"/>
                <w:sz w:val="18"/>
                <w:szCs w:val="18"/>
                <w:color w:val="auto"/>
              </w:rPr>
              <w:t>$</w:t>
            </w:r>
          </w:p>
        </w:tc>
        <w:tc>
          <w:tcPr>
            <w:tcW w:w="1240" w:type="dxa"/>
            <w:vAlign w:val="bottom"/>
            <w:gridSpan w:val="4"/>
          </w:tcPr>
          <w:p>
            <w:pPr>
              <w:jc w:val="right"/>
              <w:ind w:right="100"/>
              <w:spacing w:after="0"/>
              <w:rPr>
                <w:sz w:val="20"/>
                <w:szCs w:val="20"/>
                <w:color w:val="auto"/>
              </w:rPr>
            </w:pPr>
            <w:r>
              <w:rPr>
                <w:rFonts w:ascii="Arial" w:cs="Arial" w:eastAsia="Arial" w:hAnsi="Arial"/>
                <w:sz w:val="18"/>
                <w:szCs w:val="18"/>
                <w:color w:val="auto"/>
              </w:rPr>
              <w:t>512</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40" w:type="dxa"/>
            <w:vAlign w:val="bottom"/>
            <w:gridSpan w:val="4"/>
          </w:tcPr>
          <w:p>
            <w:pPr>
              <w:jc w:val="right"/>
              <w:ind w:right="140"/>
              <w:spacing w:after="0"/>
              <w:rPr>
                <w:sz w:val="20"/>
                <w:szCs w:val="20"/>
                <w:color w:val="auto"/>
              </w:rPr>
            </w:pPr>
            <w:r>
              <w:rPr>
                <w:rFonts w:ascii="Arial" w:cs="Arial" w:eastAsia="Arial" w:hAnsi="Arial"/>
                <w:sz w:val="18"/>
                <w:szCs w:val="18"/>
                <w:color w:val="auto"/>
              </w:rPr>
              <w:t>(280)</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232</w:t>
            </w:r>
          </w:p>
        </w:tc>
      </w:tr>
      <w:tr>
        <w:trPr>
          <w:trHeight w:val="20"/>
        </w:trPr>
        <w:tc>
          <w:tcPr>
            <w:tcW w:w="50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50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20" w:type="dxa"/>
            <w:vAlign w:val="bottom"/>
            <w:tcBorders>
              <w:left w:val="single" w:sz="8" w:color="CCEEFF"/>
            </w:tcBorders>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tcBorders>
              <w:left w:val="single" w:sz="8" w:color="CCEEFF"/>
            </w:tcBorders>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5020" w:type="dxa"/>
            <w:vAlign w:val="bottom"/>
          </w:tcPr>
          <w:p>
            <w:pPr>
              <w:spacing w:after="0"/>
              <w:rPr>
                <w:sz w:val="20"/>
                <w:szCs w:val="20"/>
                <w:color w:val="auto"/>
              </w:rPr>
            </w:pPr>
            <w:r>
              <w:rPr>
                <w:rFonts w:ascii="Arial" w:cs="Arial" w:eastAsia="Arial" w:hAnsi="Arial"/>
                <w:sz w:val="18"/>
                <w:szCs w:val="18"/>
                <w:color w:val="auto"/>
              </w:rPr>
              <w:t>Intangibles not subject to amortization:</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Trade names</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tcBorders>
              <w:left w:val="single" w:sz="8" w:color="CCEEFF"/>
            </w:tcBorders>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tcBorders>
              <w:left w:val="single" w:sz="8" w:color="CCEEFF"/>
            </w:tcBorders>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8,723</w:t>
            </w:r>
          </w:p>
        </w:tc>
      </w:tr>
      <w:tr>
        <w:trPr>
          <w:trHeight w:val="216"/>
        </w:trPr>
        <w:tc>
          <w:tcPr>
            <w:tcW w:w="5020" w:type="dxa"/>
            <w:vAlign w:val="bottom"/>
          </w:tcPr>
          <w:p>
            <w:pPr>
              <w:ind w:left="180"/>
              <w:spacing w:after="0"/>
              <w:rPr>
                <w:sz w:val="20"/>
                <w:szCs w:val="20"/>
                <w:color w:val="auto"/>
              </w:rPr>
            </w:pPr>
            <w:r>
              <w:rPr>
                <w:rFonts w:ascii="Arial" w:cs="Arial" w:eastAsia="Arial" w:hAnsi="Arial"/>
                <w:sz w:val="18"/>
                <w:szCs w:val="18"/>
                <w:color w:val="auto"/>
              </w:rPr>
              <w:t>Goodwill</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12,772</w:t>
            </w:r>
          </w:p>
        </w:tc>
        <w:tc>
          <w:tcPr>
            <w:tcW w:w="100" w:type="dxa"/>
            <w:vAlign w:val="bottom"/>
          </w:tcPr>
          <w:p>
            <w:pPr>
              <w:spacing w:after="0"/>
              <w:rPr>
                <w:sz w:val="18"/>
                <w:szCs w:val="18"/>
                <w:color w:val="auto"/>
              </w:rPr>
            </w:pPr>
          </w:p>
        </w:tc>
      </w:tr>
      <w:tr>
        <w:trPr>
          <w:trHeight w:val="250"/>
        </w:trPr>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Total goodwill and other intangible assets</w:t>
            </w:r>
          </w:p>
        </w:tc>
        <w:tc>
          <w:tcPr>
            <w:tcW w:w="4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220" w:type="dxa"/>
            <w:vAlign w:val="bottom"/>
            <w:tcBorders>
              <w:left w:val="single" w:sz="8" w:color="CCEEFF"/>
            </w:tcBorders>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20" w:type="dxa"/>
            <w:vAlign w:val="bottom"/>
            <w:tcBorders>
              <w:left w:val="single" w:sz="8" w:color="CCEEFF"/>
            </w:tcBorders>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220" w:type="dxa"/>
            <w:vAlign w:val="bottom"/>
            <w:tcBorders>
              <w:right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21,727</w:t>
            </w:r>
          </w:p>
        </w:tc>
      </w:tr>
      <w:tr>
        <w:trPr>
          <w:trHeight w:val="413"/>
        </w:trPr>
        <w:tc>
          <w:tcPr>
            <w:tcW w:w="6680" w:type="dxa"/>
            <w:vAlign w:val="bottom"/>
            <w:tcBorders>
              <w:top w:val="single" w:sz="8" w:color="CCEEFF"/>
            </w:tcBorders>
            <w:gridSpan w:val="6"/>
          </w:tcPr>
          <w:p>
            <w:pPr>
              <w:spacing w:after="0"/>
              <w:rPr>
                <w:sz w:val="20"/>
                <w:szCs w:val="20"/>
                <w:color w:val="auto"/>
              </w:rPr>
            </w:pPr>
            <w:r>
              <w:rPr>
                <w:rFonts w:ascii="Arial" w:cs="Arial" w:eastAsia="Arial" w:hAnsi="Arial"/>
                <w:sz w:val="18"/>
                <w:szCs w:val="18"/>
                <w:color w:val="auto"/>
                <w:w w:val="98"/>
              </w:rPr>
              <w:t>Changes in the carrying amounts of goodwill by reportable segment were as follows:</w:t>
            </w:r>
          </w:p>
        </w:tc>
        <w:tc>
          <w:tcPr>
            <w:tcW w:w="220" w:type="dxa"/>
            <w:vAlign w:val="bottom"/>
            <w:tcBorders>
              <w:top w:val="single" w:sz="8" w:color="CCEEFF"/>
            </w:tcBorders>
          </w:tcPr>
          <w:p>
            <w:pPr>
              <w:spacing w:after="0"/>
              <w:rPr>
                <w:sz w:val="24"/>
                <w:szCs w:val="24"/>
                <w:color w:val="auto"/>
              </w:rPr>
            </w:pPr>
          </w:p>
        </w:tc>
        <w:tc>
          <w:tcPr>
            <w:tcW w:w="88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920" w:type="dxa"/>
            <w:vAlign w:val="bottom"/>
            <w:tcBorders>
              <w:top w:val="single" w:sz="8" w:color="CCEEFF"/>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r>
        <w:trPr>
          <w:trHeight w:val="418"/>
        </w:trPr>
        <w:tc>
          <w:tcPr>
            <w:tcW w:w="50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20" w:type="dxa"/>
            <w:vAlign w:val="bottom"/>
            <w:gridSpan w:val="3"/>
          </w:tcPr>
          <w:p>
            <w:pPr>
              <w:jc w:val="right"/>
              <w:ind w:right="200"/>
              <w:spacing w:after="0"/>
              <w:rPr>
                <w:sz w:val="20"/>
                <w:szCs w:val="20"/>
                <w:color w:val="auto"/>
              </w:rPr>
            </w:pPr>
            <w:r>
              <w:rPr>
                <w:rFonts w:ascii="Arial" w:cs="Arial" w:eastAsia="Arial" w:hAnsi="Arial"/>
                <w:sz w:val="18"/>
                <w:szCs w:val="18"/>
                <w:color w:val="auto"/>
              </w:rPr>
              <w:t>Corporate &amp;</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0"/>
        </w:trPr>
        <w:tc>
          <w:tcPr>
            <w:tcW w:w="50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gridSpan w:val="3"/>
          </w:tcPr>
          <w:p>
            <w:pPr>
              <w:jc w:val="right"/>
              <w:ind w:right="170"/>
              <w:spacing w:after="0"/>
              <w:rPr>
                <w:sz w:val="20"/>
                <w:szCs w:val="20"/>
                <w:color w:val="auto"/>
              </w:rPr>
            </w:pPr>
            <w:r>
              <w:rPr>
                <w:rFonts w:ascii="Arial" w:cs="Arial" w:eastAsia="Arial" w:hAnsi="Arial"/>
                <w:sz w:val="18"/>
                <w:szCs w:val="18"/>
                <w:color w:val="auto"/>
                <w:w w:val="95"/>
              </w:rPr>
              <w:t>Wholesale</w:t>
            </w:r>
          </w:p>
        </w:tc>
        <w:tc>
          <w:tcPr>
            <w:tcW w:w="220" w:type="dxa"/>
            <w:vAlign w:val="bottom"/>
          </w:tcPr>
          <w:p>
            <w:pPr>
              <w:spacing w:after="0"/>
              <w:rPr>
                <w:sz w:val="20"/>
                <w:szCs w:val="20"/>
                <w:color w:val="auto"/>
              </w:rPr>
            </w:pPr>
          </w:p>
        </w:tc>
        <w:tc>
          <w:tcPr>
            <w:tcW w:w="1020" w:type="dxa"/>
            <w:vAlign w:val="bottom"/>
            <w:gridSpan w:val="3"/>
          </w:tcPr>
          <w:p>
            <w:pPr>
              <w:ind w:left="400"/>
              <w:spacing w:after="0"/>
              <w:rPr>
                <w:sz w:val="20"/>
                <w:szCs w:val="20"/>
                <w:color w:val="auto"/>
              </w:rPr>
            </w:pPr>
            <w:r>
              <w:rPr>
                <w:rFonts w:ascii="Arial" w:cs="Arial" w:eastAsia="Arial" w:hAnsi="Arial"/>
                <w:sz w:val="18"/>
                <w:szCs w:val="18"/>
                <w:color w:val="auto"/>
              </w:rPr>
              <w:t>Retail</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Other</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jc w:val="right"/>
              <w:ind w:right="540"/>
              <w:spacing w:after="0"/>
              <w:rPr>
                <w:sz w:val="20"/>
                <w:szCs w:val="20"/>
                <w:color w:val="auto"/>
              </w:rPr>
            </w:pPr>
            <w:r>
              <w:rPr>
                <w:rFonts w:ascii="Arial" w:cs="Arial" w:eastAsia="Arial" w:hAnsi="Arial"/>
                <w:sz w:val="18"/>
                <w:szCs w:val="18"/>
                <w:color w:val="auto"/>
              </w:rPr>
              <w:t>Total</w:t>
            </w:r>
          </w:p>
        </w:tc>
      </w:tr>
      <w:tr>
        <w:trPr>
          <w:trHeight w:val="209"/>
        </w:trPr>
        <w:tc>
          <w:tcPr>
            <w:tcW w:w="50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Balance as of November 26, 2022</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7,217</w:t>
            </w:r>
          </w:p>
        </w:tc>
        <w:tc>
          <w:tcPr>
            <w:tcW w:w="1100" w:type="dxa"/>
            <w:vAlign w:val="bottom"/>
            <w:tcBorders>
              <w:left w:val="single" w:sz="8" w:color="CCEEFF"/>
            </w:tcBorders>
            <w:gridSpan w:val="2"/>
            <w:shd w:val="clear" w:color="auto" w:fill="CCEEFF"/>
          </w:tcPr>
          <w:p>
            <w:pPr>
              <w:jc w:val="right"/>
              <w:ind w:right="69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left w:val="single" w:sz="8" w:color="CCEEFF"/>
            </w:tcBorders>
            <w:gridSpan w:val="2"/>
            <w:shd w:val="clear" w:color="auto" w:fill="CCEEFF"/>
          </w:tcPr>
          <w:p>
            <w:pPr>
              <w:jc w:val="right"/>
              <w:ind w:right="750"/>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4"/>
              </w:rPr>
              <w:t>5,554</w:t>
            </w:r>
          </w:p>
        </w:tc>
        <w:tc>
          <w:tcPr>
            <w:tcW w:w="2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12,771</w:t>
            </w:r>
          </w:p>
        </w:tc>
      </w:tr>
      <w:tr>
        <w:trPr>
          <w:trHeight w:val="216"/>
        </w:trPr>
        <w:tc>
          <w:tcPr>
            <w:tcW w:w="5020" w:type="dxa"/>
            <w:vAlign w:val="bottom"/>
          </w:tcPr>
          <w:p>
            <w:pPr>
              <w:ind w:left="340"/>
              <w:spacing w:after="0"/>
              <w:rPr>
                <w:sz w:val="20"/>
                <w:szCs w:val="20"/>
                <w:color w:val="auto"/>
              </w:rPr>
            </w:pPr>
            <w:r>
              <w:rPr>
                <w:rFonts w:ascii="Arial" w:cs="Arial" w:eastAsia="Arial" w:hAnsi="Arial"/>
                <w:sz w:val="18"/>
                <w:szCs w:val="18"/>
                <w:color w:val="auto"/>
              </w:rPr>
              <w:t>Foreign currency translation adjustments</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20" w:type="dxa"/>
            <w:vAlign w:val="bottom"/>
            <w:gridSpan w:val="3"/>
          </w:tcPr>
          <w:p>
            <w:pPr>
              <w:jc w:val="right"/>
              <w:ind w:right="70"/>
              <w:spacing w:after="0"/>
              <w:rPr>
                <w:sz w:val="20"/>
                <w:szCs w:val="20"/>
                <w:color w:val="auto"/>
              </w:rPr>
            </w:pPr>
            <w:r>
              <w:rPr>
                <w:rFonts w:ascii="Arial" w:cs="Arial" w:eastAsia="Arial" w:hAnsi="Arial"/>
                <w:sz w:val="18"/>
                <w:szCs w:val="18"/>
                <w:color w:val="auto"/>
              </w:rPr>
              <w:t>(102)</w:t>
            </w:r>
          </w:p>
        </w:tc>
        <w:tc>
          <w:tcPr>
            <w:tcW w:w="10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(102)</w:t>
            </w:r>
          </w:p>
        </w:tc>
      </w:tr>
      <w:tr>
        <w:trPr>
          <w:trHeight w:val="20"/>
        </w:trPr>
        <w:tc>
          <w:tcPr>
            <w:tcW w:w="50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Balance as of August 26, 2023</w:t>
            </w:r>
          </w:p>
        </w:tc>
        <w:tc>
          <w:tcPr>
            <w:tcW w:w="4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7,217</w:t>
            </w:r>
          </w:p>
        </w:tc>
        <w:tc>
          <w:tcPr>
            <w:tcW w:w="220" w:type="dxa"/>
            <w:vAlign w:val="bottom"/>
            <w:tcBorders>
              <w:left w:val="single" w:sz="8" w:color="CCEEFF"/>
            </w:tcBorders>
            <w:shd w:val="clear" w:color="auto" w:fill="CCEEFF"/>
          </w:tcPr>
          <w:p>
            <w:pPr>
              <w:spacing w:after="0"/>
              <w:rPr>
                <w:sz w:val="19"/>
                <w:szCs w:val="19"/>
                <w:color w:val="auto"/>
              </w:rPr>
            </w:pPr>
          </w:p>
        </w:tc>
        <w:tc>
          <w:tcPr>
            <w:tcW w:w="880" w:type="dxa"/>
            <w:vAlign w:val="bottom"/>
            <w:shd w:val="clear" w:color="auto" w:fill="CCEEFF"/>
          </w:tcPr>
          <w:p>
            <w:pPr>
              <w:jc w:val="right"/>
              <w:ind w:right="690"/>
              <w:spacing w:after="0"/>
              <w:rPr>
                <w:sz w:val="20"/>
                <w:szCs w:val="20"/>
                <w:color w:val="auto"/>
              </w:rPr>
            </w:pPr>
            <w:r>
              <w:rPr>
                <w:rFonts w:ascii="Arial" w:cs="Arial" w:eastAsia="Arial" w:hAnsi="Arial"/>
                <w:sz w:val="18"/>
                <w:szCs w:val="18"/>
                <w:color w:val="auto"/>
                <w:w w:val="79"/>
              </w:rPr>
              <w:t>$</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left w:val="single" w:sz="8" w:color="CCEEFF"/>
            </w:tcBorders>
            <w:gridSpan w:val="2"/>
            <w:shd w:val="clear" w:color="auto" w:fill="CCEEFF"/>
          </w:tcPr>
          <w:p>
            <w:pPr>
              <w:jc w:val="right"/>
              <w:ind w:right="750"/>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4"/>
              </w:rPr>
              <w:t>5,452</w:t>
            </w:r>
          </w:p>
        </w:tc>
        <w:tc>
          <w:tcPr>
            <w:tcW w:w="22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12,669</w:t>
            </w:r>
          </w:p>
        </w:tc>
      </w:tr>
      <w:tr>
        <w:trPr>
          <w:trHeight w:val="20"/>
        </w:trPr>
        <w:tc>
          <w:tcPr>
            <w:tcW w:w="50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4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Accumulated impairment losses at both August 26, 2023 and November 26, 2022 were $3,897.</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Due to the decline in the share price of our common stock through the end of the third quarter of 2023, we performed a qualitative analysis of our goodwill as of August 26, 2023 and concluded that it was not more likely than not that the carrying value of our reporting units with goodwill exceeded their fair values.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 of 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u w:val="single" w:color="auto"/>
          <w:color w:val="auto"/>
        </w:rPr>
        <w:t>PART I-FINANCIAL INFORMATION-CONTINUED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BASSETT FURNITURE INDUSTRIES, INCORPORATED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CONDENSED CONSOLIDATED FINANCIAL STATEMENTS-UNAUDITED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AUGUST 26, 2023</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(Dollars in thousands except share and per share data)</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6"/>
          <w:szCs w:val="16"/>
          <w:color w:val="auto"/>
        </w:rPr>
        <w:t>Amortization expense associated with intangible assets during the three and nine months ended August 26, 2023 and August 27, 2022 was as follows: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20" w:type="dxa"/>
            <w:vAlign w:val="bottom"/>
          </w:tcPr>
          <w:p>
            <w:pPr>
              <w:spacing w:after="0"/>
              <w:rPr>
                <w:sz w:val="20"/>
                <w:szCs w:val="20"/>
                <w:color w:val="auto"/>
              </w:rPr>
            </w:pPr>
          </w:p>
        </w:tc>
        <w:tc>
          <w:tcPr>
            <w:tcW w:w="4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0" w:type="dxa"/>
            <w:vAlign w:val="bottom"/>
            <w:gridSpan w:val="4"/>
          </w:tcPr>
          <w:p>
            <w:pPr>
              <w:jc w:val="right"/>
              <w:ind w:right="590"/>
              <w:spacing w:after="0"/>
              <w:rPr>
                <w:sz w:val="20"/>
                <w:szCs w:val="20"/>
                <w:color w:val="auto"/>
              </w:rPr>
            </w:pPr>
            <w:r>
              <w:rPr>
                <w:rFonts w:ascii="Arial" w:cs="Arial" w:eastAsia="Arial" w:hAnsi="Arial"/>
                <w:sz w:val="18"/>
                <w:szCs w:val="18"/>
                <w:b w:val="1"/>
                <w:bCs w:val="1"/>
                <w:color w:val="auto"/>
              </w:rPr>
              <w:t>Quarter Ended</w:t>
            </w:r>
          </w:p>
        </w:tc>
        <w:tc>
          <w:tcPr>
            <w:tcW w:w="200" w:type="dxa"/>
            <w:vAlign w:val="bottom"/>
          </w:tcPr>
          <w:p>
            <w:pPr>
              <w:spacing w:after="0"/>
              <w:rPr>
                <w:sz w:val="20"/>
                <w:szCs w:val="20"/>
                <w:color w:val="auto"/>
              </w:rPr>
            </w:pPr>
          </w:p>
        </w:tc>
        <w:tc>
          <w:tcPr>
            <w:tcW w:w="2540" w:type="dxa"/>
            <w:vAlign w:val="bottom"/>
            <w:gridSpan w:val="7"/>
          </w:tcPr>
          <w:p>
            <w:pPr>
              <w:ind w:left="440"/>
              <w:spacing w:after="0"/>
              <w:rPr>
                <w:sz w:val="20"/>
                <w:szCs w:val="20"/>
                <w:color w:val="auto"/>
              </w:rPr>
            </w:pPr>
            <w:r>
              <w:rPr>
                <w:rFonts w:ascii="Arial" w:cs="Arial" w:eastAsia="Arial" w:hAnsi="Arial"/>
                <w:sz w:val="18"/>
                <w:szCs w:val="18"/>
                <w:b w:val="1"/>
                <w:bCs w:val="1"/>
                <w:color w:val="auto"/>
              </w:rPr>
              <w:t>Nine Months Ended</w:t>
            </w:r>
          </w:p>
        </w:tc>
      </w:tr>
      <w:tr>
        <w:trPr>
          <w:trHeight w:val="191"/>
        </w:trPr>
        <w:tc>
          <w:tcPr>
            <w:tcW w:w="1120" w:type="dxa"/>
            <w:vAlign w:val="bottom"/>
          </w:tcPr>
          <w:p>
            <w:pPr>
              <w:spacing w:after="0"/>
              <w:rPr>
                <w:sz w:val="16"/>
                <w:szCs w:val="16"/>
                <w:color w:val="auto"/>
              </w:rPr>
            </w:pPr>
          </w:p>
        </w:tc>
        <w:tc>
          <w:tcPr>
            <w:tcW w:w="486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gridSpan w:val="2"/>
          </w:tcPr>
          <w:p>
            <w:pPr>
              <w:jc w:val="center"/>
              <w:ind w:right="360"/>
              <w:spacing w:after="0" w:line="191" w:lineRule="exact"/>
              <w:rPr>
                <w:sz w:val="20"/>
                <w:szCs w:val="20"/>
                <w:color w:val="auto"/>
              </w:rPr>
            </w:pPr>
            <w:r>
              <w:rPr>
                <w:rFonts w:ascii="Arial" w:cs="Arial" w:eastAsia="Arial" w:hAnsi="Arial"/>
                <w:sz w:val="18"/>
                <w:szCs w:val="18"/>
                <w:b w:val="1"/>
                <w:bCs w:val="1"/>
                <w:color w:val="auto"/>
                <w:w w:val="89"/>
              </w:rPr>
              <w:t>August 26,</w:t>
            </w:r>
          </w:p>
        </w:tc>
        <w:tc>
          <w:tcPr>
            <w:tcW w:w="12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center"/>
              <w:ind w:right="70"/>
              <w:spacing w:after="0" w:line="191" w:lineRule="exact"/>
              <w:rPr>
                <w:sz w:val="20"/>
                <w:szCs w:val="20"/>
                <w:color w:val="auto"/>
              </w:rPr>
            </w:pPr>
            <w:r>
              <w:rPr>
                <w:rFonts w:ascii="Arial" w:cs="Arial" w:eastAsia="Arial" w:hAnsi="Arial"/>
                <w:sz w:val="18"/>
                <w:szCs w:val="18"/>
                <w:b w:val="1"/>
                <w:bCs w:val="1"/>
                <w:color w:val="auto"/>
                <w:w w:val="89"/>
              </w:rPr>
              <w:t>August 27,</w:t>
            </w:r>
          </w:p>
        </w:tc>
        <w:tc>
          <w:tcPr>
            <w:tcW w:w="200" w:type="dxa"/>
            <w:vAlign w:val="bottom"/>
          </w:tcPr>
          <w:p>
            <w:pPr>
              <w:spacing w:after="0"/>
              <w:rPr>
                <w:sz w:val="16"/>
                <w:szCs w:val="16"/>
                <w:color w:val="auto"/>
              </w:rPr>
            </w:pPr>
          </w:p>
        </w:tc>
        <w:tc>
          <w:tcPr>
            <w:tcW w:w="1120" w:type="dxa"/>
            <w:vAlign w:val="bottom"/>
            <w:tcBorders>
              <w:top w:val="single" w:sz="8" w:color="auto"/>
            </w:tcBorders>
            <w:gridSpan w:val="2"/>
          </w:tcPr>
          <w:p>
            <w:pPr>
              <w:jc w:val="center"/>
              <w:spacing w:after="0" w:line="191" w:lineRule="exact"/>
              <w:rPr>
                <w:sz w:val="20"/>
                <w:szCs w:val="20"/>
                <w:color w:val="auto"/>
              </w:rPr>
            </w:pPr>
            <w:r>
              <w:rPr>
                <w:rFonts w:ascii="Arial" w:cs="Arial" w:eastAsia="Arial" w:hAnsi="Arial"/>
                <w:sz w:val="18"/>
                <w:szCs w:val="18"/>
                <w:b w:val="1"/>
                <w:bCs w:val="1"/>
                <w:color w:val="auto"/>
                <w:w w:val="89"/>
              </w:rPr>
              <w:t>August 26,</w:t>
            </w:r>
          </w:p>
        </w:tc>
        <w:tc>
          <w:tcPr>
            <w:tcW w:w="20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center"/>
              <w:ind w:right="50"/>
              <w:spacing w:after="0" w:line="191" w:lineRule="exact"/>
              <w:rPr>
                <w:sz w:val="20"/>
                <w:szCs w:val="20"/>
                <w:color w:val="auto"/>
              </w:rPr>
            </w:pPr>
            <w:r>
              <w:rPr>
                <w:rFonts w:ascii="Arial" w:cs="Arial" w:eastAsia="Arial" w:hAnsi="Arial"/>
                <w:sz w:val="18"/>
                <w:szCs w:val="18"/>
                <w:b w:val="1"/>
                <w:bCs w:val="1"/>
                <w:color w:val="auto"/>
                <w:w w:val="89"/>
              </w:rPr>
              <w:t>August 27,</w:t>
            </w:r>
          </w:p>
        </w:tc>
        <w:tc>
          <w:tcPr>
            <w:tcW w:w="100" w:type="dxa"/>
            <w:vAlign w:val="bottom"/>
          </w:tcPr>
          <w:p>
            <w:pPr>
              <w:spacing w:after="0"/>
              <w:rPr>
                <w:sz w:val="16"/>
                <w:szCs w:val="16"/>
                <w:color w:val="auto"/>
              </w:rPr>
            </w:pPr>
          </w:p>
        </w:tc>
      </w:tr>
      <w:tr>
        <w:trPr>
          <w:trHeight w:val="234"/>
        </w:trPr>
        <w:tc>
          <w:tcPr>
            <w:tcW w:w="1120" w:type="dxa"/>
            <w:vAlign w:val="bottom"/>
          </w:tcPr>
          <w:p>
            <w:pPr>
              <w:spacing w:after="0"/>
              <w:rPr>
                <w:sz w:val="20"/>
                <w:szCs w:val="20"/>
                <w:color w:val="auto"/>
              </w:rPr>
            </w:pPr>
          </w:p>
        </w:tc>
        <w:tc>
          <w:tcPr>
            <w:tcW w:w="4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ind w:right="290"/>
              <w:spacing w:after="0"/>
              <w:rPr>
                <w:sz w:val="20"/>
                <w:szCs w:val="20"/>
                <w:color w:val="auto"/>
              </w:rPr>
            </w:pPr>
            <w:r>
              <w:rPr>
                <w:rFonts w:ascii="Arial" w:cs="Arial" w:eastAsia="Arial" w:hAnsi="Arial"/>
                <w:sz w:val="18"/>
                <w:szCs w:val="18"/>
                <w:b w:val="1"/>
                <w:bCs w:val="1"/>
                <w:color w:val="auto"/>
              </w:rPr>
              <w:t>2023</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ind w:right="310"/>
              <w:spacing w:after="0"/>
              <w:rPr>
                <w:sz w:val="20"/>
                <w:szCs w:val="20"/>
                <w:color w:val="auto"/>
              </w:rPr>
            </w:pPr>
            <w:r>
              <w:rPr>
                <w:rFonts w:ascii="Arial" w:cs="Arial" w:eastAsia="Arial" w:hAnsi="Arial"/>
                <w:sz w:val="18"/>
                <w:szCs w:val="18"/>
                <w:b w:val="1"/>
                <w:bCs w:val="1"/>
                <w:color w:val="auto"/>
              </w:rPr>
              <w:t>2022</w:t>
            </w:r>
          </w:p>
        </w:tc>
        <w:tc>
          <w:tcPr>
            <w:tcW w:w="104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rPr>
              <w:t>2023</w:t>
            </w: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0" w:type="dxa"/>
            <w:vAlign w:val="bottom"/>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0"/>
                <w:szCs w:val="20"/>
                <w:color w:val="auto"/>
              </w:rPr>
            </w:pPr>
          </w:p>
        </w:tc>
      </w:tr>
      <w:tr>
        <w:trPr>
          <w:trHeight w:val="210"/>
        </w:trPr>
        <w:tc>
          <w:tcPr>
            <w:tcW w:w="1120" w:type="dxa"/>
            <w:vAlign w:val="bottom"/>
          </w:tcPr>
          <w:p>
            <w:pPr>
              <w:spacing w:after="0"/>
              <w:rPr>
                <w:sz w:val="18"/>
                <w:szCs w:val="18"/>
                <w:color w:val="auto"/>
              </w:rPr>
            </w:pPr>
          </w:p>
        </w:tc>
        <w:tc>
          <w:tcPr>
            <w:tcW w:w="48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36"/>
        </w:trPr>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Intangible asset amortization expense</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14</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40" w:type="dxa"/>
            <w:vAlign w:val="bottom"/>
            <w:gridSpan w:val="2"/>
            <w:shd w:val="clear" w:color="auto" w:fill="CCEEFF"/>
          </w:tcPr>
          <w:p>
            <w:pPr>
              <w:jc w:val="right"/>
              <w:ind w:right="650"/>
              <w:spacing w:after="0"/>
              <w:rPr>
                <w:sz w:val="20"/>
                <w:szCs w:val="20"/>
                <w:color w:val="auto"/>
              </w:rPr>
            </w:pPr>
            <w:r>
              <w:rPr>
                <w:rFonts w:ascii="Arial" w:cs="Arial" w:eastAsia="Arial" w:hAnsi="Arial"/>
                <w:sz w:val="18"/>
                <w:szCs w:val="18"/>
                <w:color w:val="auto"/>
              </w:rPr>
              <w:t>$</w:t>
            </w:r>
          </w:p>
        </w:tc>
        <w:tc>
          <w:tcPr>
            <w:tcW w:w="2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3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w:t>
            </w:r>
          </w:p>
        </w:tc>
      </w:tr>
      <w:tr>
        <w:trPr>
          <w:trHeight w:val="20"/>
        </w:trPr>
        <w:tc>
          <w:tcPr>
            <w:tcW w:w="1120" w:type="dxa"/>
            <w:vAlign w:val="bottom"/>
            <w:tcBorders>
              <w:top w:val="single" w:sz="8" w:color="CCEEFF"/>
            </w:tcBorders>
            <w:shd w:val="clear" w:color="auto" w:fill="CCEEFF"/>
          </w:tcPr>
          <w:p>
            <w:pPr>
              <w:spacing w:after="0" w:line="20" w:lineRule="exact"/>
              <w:rPr>
                <w:sz w:val="1"/>
                <w:szCs w:val="1"/>
                <w:color w:val="auto"/>
              </w:rPr>
            </w:pPr>
          </w:p>
        </w:tc>
        <w:tc>
          <w:tcPr>
            <w:tcW w:w="48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4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413"/>
        </w:trPr>
        <w:tc>
          <w:tcPr>
            <w:tcW w:w="7480" w:type="dxa"/>
            <w:vAlign w:val="bottom"/>
            <w:gridSpan w:val="6"/>
          </w:tcPr>
          <w:p>
            <w:pPr>
              <w:spacing w:after="0"/>
              <w:rPr>
                <w:sz w:val="20"/>
                <w:szCs w:val="20"/>
                <w:color w:val="auto"/>
              </w:rPr>
            </w:pPr>
            <w:r>
              <w:rPr>
                <w:rFonts w:ascii="Arial" w:cs="Arial" w:eastAsia="Arial" w:hAnsi="Arial"/>
                <w:sz w:val="18"/>
                <w:szCs w:val="18"/>
                <w:color w:val="auto"/>
                <w:w w:val="91"/>
              </w:rPr>
              <w:t>Estimated future amortization expense for intangible assets that exist at August 26, 2023 is as follows:</w:t>
            </w: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1120" w:type="dxa"/>
            <w:vAlign w:val="bottom"/>
          </w:tcPr>
          <w:p>
            <w:pPr>
              <w:spacing w:after="0"/>
              <w:rPr>
                <w:sz w:val="18"/>
                <w:szCs w:val="18"/>
                <w:color w:val="auto"/>
              </w:rPr>
            </w:pPr>
          </w:p>
        </w:tc>
        <w:tc>
          <w:tcPr>
            <w:tcW w:w="4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gridSpan w:val="2"/>
          </w:tcPr>
          <w:p>
            <w:pPr>
              <w:spacing w:after="0"/>
              <w:rPr>
                <w:sz w:val="18"/>
                <w:szCs w:val="18"/>
                <w:color w:val="auto"/>
              </w:rPr>
            </w:pPr>
          </w:p>
        </w:tc>
        <w:tc>
          <w:tcPr>
            <w:tcW w:w="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4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Remainder of fiscal 2023</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9"/>
              </w:rPr>
              <w:t>14</w:t>
            </w:r>
          </w:p>
        </w:tc>
        <w:tc>
          <w:tcPr>
            <w:tcW w:w="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4860" w:type="dxa"/>
            <w:vAlign w:val="bottom"/>
          </w:tcPr>
          <w:p>
            <w:pPr>
              <w:ind w:left="20"/>
              <w:spacing w:after="0"/>
              <w:rPr>
                <w:sz w:val="20"/>
                <w:szCs w:val="20"/>
                <w:color w:val="auto"/>
              </w:rPr>
            </w:pPr>
            <w:r>
              <w:rPr>
                <w:rFonts w:ascii="Arial" w:cs="Arial" w:eastAsia="Arial" w:hAnsi="Arial"/>
                <w:sz w:val="18"/>
                <w:szCs w:val="18"/>
                <w:color w:val="auto"/>
              </w:rPr>
              <w:t>Fiscal 2024</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w w:val="89"/>
              </w:rPr>
              <w:t>57</w:t>
            </w:r>
          </w:p>
        </w:tc>
        <w:tc>
          <w:tcPr>
            <w:tcW w:w="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4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Fiscal 2025</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9"/>
              </w:rPr>
              <w:t>57</w:t>
            </w:r>
          </w:p>
        </w:tc>
        <w:tc>
          <w:tcPr>
            <w:tcW w:w="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4860" w:type="dxa"/>
            <w:vAlign w:val="bottom"/>
          </w:tcPr>
          <w:p>
            <w:pPr>
              <w:ind w:left="20"/>
              <w:spacing w:after="0"/>
              <w:rPr>
                <w:sz w:val="20"/>
                <w:szCs w:val="20"/>
                <w:color w:val="auto"/>
              </w:rPr>
            </w:pPr>
            <w:r>
              <w:rPr>
                <w:rFonts w:ascii="Arial" w:cs="Arial" w:eastAsia="Arial" w:hAnsi="Arial"/>
                <w:sz w:val="18"/>
                <w:szCs w:val="18"/>
                <w:color w:val="auto"/>
              </w:rPr>
              <w:t>Fiscal 2026</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w w:val="89"/>
              </w:rPr>
              <w:t>57</w:t>
            </w:r>
          </w:p>
        </w:tc>
        <w:tc>
          <w:tcPr>
            <w:tcW w:w="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4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Fiscal 2027</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w:t>
            </w:r>
          </w:p>
        </w:tc>
        <w:tc>
          <w:tcPr>
            <w:tcW w:w="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4860" w:type="dxa"/>
            <w:vAlign w:val="bottom"/>
          </w:tcPr>
          <w:p>
            <w:pPr>
              <w:ind w:left="20"/>
              <w:spacing w:after="0"/>
              <w:rPr>
                <w:sz w:val="20"/>
                <w:szCs w:val="20"/>
                <w:color w:val="auto"/>
              </w:rPr>
            </w:pPr>
            <w:r>
              <w:rPr>
                <w:rFonts w:ascii="Arial" w:cs="Arial" w:eastAsia="Arial" w:hAnsi="Arial"/>
                <w:sz w:val="18"/>
                <w:szCs w:val="18"/>
                <w:color w:val="auto"/>
              </w:rPr>
              <w:t>Fiscal 2028</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
        </w:trPr>
        <w:tc>
          <w:tcPr>
            <w:tcW w:w="112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8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9"/>
        </w:trPr>
        <w:tc>
          <w:tcPr>
            <w:tcW w:w="1120" w:type="dxa"/>
            <w:vAlign w:val="bottom"/>
          </w:tcPr>
          <w:p>
            <w:pPr>
              <w:spacing w:after="0"/>
              <w:rPr>
                <w:sz w:val="19"/>
                <w:szCs w:val="19"/>
                <w:color w:val="auto"/>
              </w:rPr>
            </w:pPr>
          </w:p>
        </w:tc>
        <w:tc>
          <w:tcPr>
            <w:tcW w:w="4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tcBorders>
              <w:right w:val="single" w:sz="8" w:color="CCEEFF"/>
            </w:tcBorders>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spacing w:after="0"/>
              <w:rPr>
                <w:sz w:val="19"/>
                <w:szCs w:val="19"/>
                <w:color w:val="auto"/>
              </w:rPr>
            </w:pPr>
          </w:p>
        </w:tc>
        <w:tc>
          <w:tcPr>
            <w:tcW w:w="5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190</w:t>
            </w:r>
          </w:p>
        </w:tc>
        <w:tc>
          <w:tcPr>
            <w:tcW w:w="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0"/>
        </w:trPr>
        <w:tc>
          <w:tcPr>
            <w:tcW w:w="1120" w:type="dxa"/>
            <w:vAlign w:val="bottom"/>
          </w:tcPr>
          <w:p>
            <w:pPr>
              <w:spacing w:after="0" w:line="20" w:lineRule="exact"/>
              <w:rPr>
                <w:sz w:val="1"/>
                <w:szCs w:val="1"/>
                <w:color w:val="auto"/>
              </w:rPr>
            </w:pPr>
          </w:p>
        </w:tc>
        <w:tc>
          <w:tcPr>
            <w:tcW w:w="48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Bank Credit Facility</w:t>
      </w:r>
    </w:p>
    <w:p>
      <w:pPr>
        <w:spacing w:after="0" w:line="229"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Our bank credit facility provides for a line of credit of up to $25,000. At August 26, 2023, we had $3,731 outstanding under standby letters of credit against our line, leaving availability under our credit line of $21,269. The line bears interest at the One-Month Term Secured Overnight Financing Rate (“One-Month Term SOFR”) plus 1.5% and is unsecured. Our bank charges a fee of 0.25% on the daily unused balance of the line, payable quarterly. Under the terms of the bank credit facility, we must maintain the following financial covenants, measured quarterly on a rolling twelve-month basis:</w:t>
      </w:r>
    </w:p>
    <w:p>
      <w:pPr>
        <w:spacing w:after="0" w:line="157"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Consolidated fixed charge coverage ratio of not less than 1.4 times,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Consolidated lease-adjusted leverage ratio not to exceed 3.0 times,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Minimum tangible net worth of $140,000.</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were in compliance with these covenants at August 26, 2023. The credit facility will mature on January 27, 2025, at which time any amounts outstanding under the facility will be due.</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Post Employment Benefit Obligations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Defined Benefit Plans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have an unfunded Supplemental Retirement Income Plan (the “Supplemental Plan”) that covers one current and certain former executives. The liability for the Supplemental Plan was $6,049 and $5,987 as of August 26, 2023 and November 26, 2022, respectively.</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also have the Bassett Furniture Industries, Incorporated Management Savings Plan (the “Management Savings Plan”) which was established in the second quarter of fiscal 2017. The Management Savings Plan is an unfunded, nonqualified deferred compensation plan maintained for the benefit of certain highly compensated or management level employees. As part of the Management Savings Plan, we have made Long Term Cash Awards (“LTC Awards”) totaling $2,000 to certain management employees in the amount of $400 each. The liability for the LTC Awards was $1,350 and $1,275 as of August 26, 2023 and November 26, 2022, respectively.</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 of 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 w:name="page14"/>
    <w:bookmarkEnd w:id="13"/>
    <w:p>
      <w:pPr>
        <w:jc w:val="center"/>
        <w:ind w:right="20"/>
        <w:spacing w:after="0"/>
        <w:rPr>
          <w:sz w:val="20"/>
          <w:szCs w:val="20"/>
          <w:color w:val="auto"/>
        </w:rPr>
      </w:pPr>
      <w:r>
        <w:rPr>
          <w:rFonts w:ascii="Arial" w:cs="Arial" w:eastAsia="Arial" w:hAnsi="Arial"/>
          <w:sz w:val="18"/>
          <w:szCs w:val="18"/>
          <w:u w:val="single" w:color="auto"/>
          <w:color w:val="auto"/>
        </w:rPr>
        <w:t>PART I-FINANCIAL INFORMATION-CONTINUED</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8"/>
          <w:szCs w:val="18"/>
          <w:u w:val="single" w:color="auto"/>
          <w:color w:val="auto"/>
        </w:rPr>
        <w:t>BASSETT FURNITURE INDUSTRIES, INCORPORATED AND SUBSIDIARIES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u w:val="single" w:color="auto"/>
          <w:color w:val="auto"/>
        </w:rPr>
        <w:t>NOTES TO CONDENSED CONSOLIDATED FINANCIAL STATEMENTS-UNAUDITED</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u w:val="single" w:color="auto"/>
          <w:color w:val="auto"/>
        </w:rPr>
        <w:t>AUGUST 26, 2023</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u w:val="single" w:color="auto"/>
          <w:color w:val="auto"/>
        </w:rPr>
        <w:t>(Dollars in thousands except share and per share data)</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7"/>
          <w:szCs w:val="17"/>
          <w:color w:val="auto"/>
        </w:rPr>
        <w:t>The combined pension liability for the Supplemental Plan and LTC Awards is recorded as follows in the condensed consolidated balance sheets:</w:t>
      </w:r>
    </w:p>
    <w:p>
      <w:pPr>
        <w:spacing w:after="0" w:line="233" w:lineRule="exact"/>
        <w:rPr>
          <w:sz w:val="20"/>
          <w:szCs w:val="20"/>
          <w:color w:val="auto"/>
        </w:rPr>
      </w:pPr>
    </w:p>
    <w:tbl>
      <w:tblPr>
        <w:tblLayout w:type="fixed"/>
        <w:tblInd w:w="660" w:type="dxa"/>
        <w:tblCellMar>
          <w:top w:w="0" w:type="dxa"/>
          <w:left w:w="0" w:type="dxa"/>
          <w:bottom w:w="0" w:type="dxa"/>
          <w:right w:w="0" w:type="dxa"/>
        </w:tblCellMar>
      </w:tblPr>
      <w:tr>
        <w:trPr>
          <w:trHeight w:val="234"/>
        </w:trPr>
        <w:tc>
          <w:tcPr>
            <w:tcW w:w="56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0"/>
              </w:rPr>
              <w:t>August 26, 2023</w:t>
            </w:r>
          </w:p>
        </w:tc>
        <w:tc>
          <w:tcPr>
            <w:tcW w:w="16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5"/>
              </w:rPr>
              <w:t>November 26, 2022</w:t>
            </w:r>
          </w:p>
        </w:tc>
        <w:tc>
          <w:tcPr>
            <w:tcW w:w="80" w:type="dxa"/>
            <w:vAlign w:val="bottom"/>
          </w:tcPr>
          <w:p>
            <w:pPr>
              <w:spacing w:after="0"/>
              <w:rPr>
                <w:sz w:val="20"/>
                <w:szCs w:val="20"/>
                <w:color w:val="auto"/>
              </w:rPr>
            </w:pPr>
          </w:p>
        </w:tc>
      </w:tr>
      <w:tr>
        <w:trPr>
          <w:trHeight w:val="209"/>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Accrued compensation and benefits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698</w:t>
            </w:r>
          </w:p>
        </w:tc>
        <w:tc>
          <w:tcPr>
            <w:tcW w:w="70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698</w:t>
            </w:r>
          </w:p>
        </w:tc>
      </w:tr>
      <w:tr>
        <w:trPr>
          <w:trHeight w:val="216"/>
        </w:trPr>
        <w:tc>
          <w:tcPr>
            <w:tcW w:w="5660" w:type="dxa"/>
            <w:vAlign w:val="bottom"/>
          </w:tcPr>
          <w:p>
            <w:pPr>
              <w:spacing w:after="0"/>
              <w:rPr>
                <w:sz w:val="20"/>
                <w:szCs w:val="20"/>
                <w:color w:val="auto"/>
              </w:rPr>
            </w:pPr>
            <w:r>
              <w:rPr>
                <w:rFonts w:ascii="Arial" w:cs="Arial" w:eastAsia="Arial" w:hAnsi="Arial"/>
                <w:sz w:val="18"/>
                <w:szCs w:val="18"/>
                <w:color w:val="auto"/>
              </w:rPr>
              <w:t>Post employment benefit obligations</w:t>
            </w:r>
          </w:p>
        </w:tc>
        <w:tc>
          <w:tcPr>
            <w:tcW w:w="12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6,701</w:t>
            </w:r>
          </w:p>
        </w:tc>
        <w:tc>
          <w:tcPr>
            <w:tcW w:w="7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6,564</w:t>
            </w:r>
          </w:p>
        </w:tc>
        <w:tc>
          <w:tcPr>
            <w:tcW w:w="80" w:type="dxa"/>
            <w:vAlign w:val="bottom"/>
          </w:tcPr>
          <w:p>
            <w:pPr>
              <w:spacing w:after="0"/>
              <w:rPr>
                <w:sz w:val="18"/>
                <w:szCs w:val="18"/>
                <w:color w:val="auto"/>
              </w:rPr>
            </w:pPr>
          </w:p>
        </w:tc>
      </w:tr>
      <w:tr>
        <w:trPr>
          <w:trHeight w:val="250"/>
        </w:trPr>
        <w:tc>
          <w:tcPr>
            <w:tcW w:w="56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pension liability</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7,399</w:t>
            </w:r>
          </w:p>
        </w:tc>
        <w:tc>
          <w:tcPr>
            <w:tcW w:w="700" w:type="dxa"/>
            <w:vAlign w:val="bottom"/>
            <w:tcBorders>
              <w:bottom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7,262</w:t>
            </w:r>
          </w:p>
        </w:tc>
        <w:tc>
          <w:tcPr>
            <w:tcW w:w="80" w:type="dxa"/>
            <w:vAlign w:val="bottom"/>
            <w:tcBorders>
              <w:bottom w:val="single" w:sz="8" w:color="CCEEFF"/>
            </w:tcBorders>
            <w:shd w:val="clear" w:color="auto" w:fill="CCEEFF"/>
          </w:tcPr>
          <w:p>
            <w:pPr>
              <w:spacing w:after="0"/>
              <w:rPr>
                <w:sz w:val="21"/>
                <w:szCs w:val="21"/>
                <w:color w:val="auto"/>
              </w:rPr>
            </w:pPr>
          </w:p>
        </w:tc>
      </w:tr>
    </w:tbl>
    <w:p>
      <w:pPr>
        <w:spacing w:after="0" w:line="20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Components of net periodic pension costs for our defined benefit plans for the three and nine months ended August 26, 2023 and August 27, 2022 are as follows:</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Service cost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Interest cost</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Amortization of prior service costs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Amortization of loss</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color w:val="auto"/>
        </w:rPr>
        <w:t>Net periodic pension cost</w:t>
      </w:r>
    </w:p>
    <w:p>
      <w:pPr>
        <w:spacing w:after="0" w:line="20" w:lineRule="exact"/>
        <w:rPr>
          <w:sz w:val="20"/>
          <w:szCs w:val="20"/>
          <w:color w:val="auto"/>
        </w:rPr>
      </w:pPr>
      <w:r>
        <w:rPr>
          <w:sz w:val="20"/>
          <w:szCs w:val="20"/>
          <w:color w:val="auto"/>
        </w:rPr>
        <w:br w:type="column"/>
      </w:r>
    </w:p>
    <w:p>
      <w:pPr>
        <w:spacing w:after="0" w:line="14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120" w:type="dxa"/>
            <w:vAlign w:val="bottom"/>
          </w:tcPr>
          <w:p>
            <w:pPr>
              <w:spacing w:after="0"/>
              <w:rPr>
                <w:sz w:val="20"/>
                <w:szCs w:val="20"/>
                <w:color w:val="auto"/>
              </w:rPr>
            </w:pPr>
          </w:p>
        </w:tc>
        <w:tc>
          <w:tcPr>
            <w:tcW w:w="2600" w:type="dxa"/>
            <w:vAlign w:val="bottom"/>
            <w:gridSpan w:val="6"/>
          </w:tcPr>
          <w:p>
            <w:pPr>
              <w:ind w:left="540"/>
              <w:spacing w:after="0"/>
              <w:rPr>
                <w:sz w:val="20"/>
                <w:szCs w:val="20"/>
                <w:color w:val="auto"/>
              </w:rPr>
            </w:pPr>
            <w:r>
              <w:rPr>
                <w:rFonts w:ascii="Arial" w:cs="Arial" w:eastAsia="Arial" w:hAnsi="Arial"/>
                <w:sz w:val="18"/>
                <w:szCs w:val="18"/>
                <w:b w:val="1"/>
                <w:bCs w:val="1"/>
                <w:color w:val="auto"/>
              </w:rPr>
              <w:t>Quarter Ended</w:t>
            </w:r>
          </w:p>
        </w:tc>
        <w:tc>
          <w:tcPr>
            <w:tcW w:w="120" w:type="dxa"/>
            <w:vAlign w:val="bottom"/>
          </w:tcPr>
          <w:p>
            <w:pPr>
              <w:spacing w:after="0"/>
              <w:rPr>
                <w:sz w:val="20"/>
                <w:szCs w:val="20"/>
                <w:color w:val="auto"/>
              </w:rPr>
            </w:pPr>
          </w:p>
        </w:tc>
        <w:tc>
          <w:tcPr>
            <w:tcW w:w="2340" w:type="dxa"/>
            <w:vAlign w:val="bottom"/>
            <w:gridSpan w:val="4"/>
          </w:tcPr>
          <w:p>
            <w:pPr>
              <w:ind w:left="320"/>
              <w:spacing w:after="0"/>
              <w:rPr>
                <w:sz w:val="20"/>
                <w:szCs w:val="20"/>
                <w:color w:val="auto"/>
              </w:rPr>
            </w:pPr>
            <w:r>
              <w:rPr>
                <w:rFonts w:ascii="Arial" w:cs="Arial" w:eastAsia="Arial" w:hAnsi="Arial"/>
                <w:sz w:val="18"/>
                <w:szCs w:val="18"/>
                <w:b w:val="1"/>
                <w:bCs w:val="1"/>
                <w:color w:val="auto"/>
              </w:rPr>
              <w:t>Nine Months Ended</w:t>
            </w:r>
          </w:p>
        </w:tc>
      </w:tr>
      <w:tr>
        <w:trPr>
          <w:trHeight w:val="191"/>
        </w:trPr>
        <w:tc>
          <w:tcPr>
            <w:tcW w:w="12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jc w:val="right"/>
              <w:ind w:right="190"/>
              <w:spacing w:after="0" w:line="191" w:lineRule="exact"/>
              <w:rPr>
                <w:sz w:val="20"/>
                <w:szCs w:val="20"/>
                <w:color w:val="auto"/>
              </w:rPr>
            </w:pPr>
            <w:r>
              <w:rPr>
                <w:rFonts w:ascii="Arial" w:cs="Arial" w:eastAsia="Arial" w:hAnsi="Arial"/>
                <w:sz w:val="18"/>
                <w:szCs w:val="18"/>
                <w:b w:val="1"/>
                <w:bCs w:val="1"/>
                <w:color w:val="auto"/>
                <w:w w:val="91"/>
              </w:rPr>
              <w:t>August 26,</w:t>
            </w:r>
          </w:p>
        </w:tc>
        <w:tc>
          <w:tcPr>
            <w:tcW w:w="24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right"/>
              <w:ind w:right="70"/>
              <w:spacing w:after="0" w:line="191" w:lineRule="exact"/>
              <w:rPr>
                <w:sz w:val="20"/>
                <w:szCs w:val="20"/>
                <w:color w:val="auto"/>
              </w:rPr>
            </w:pPr>
            <w:r>
              <w:rPr>
                <w:rFonts w:ascii="Arial" w:cs="Arial" w:eastAsia="Arial" w:hAnsi="Arial"/>
                <w:sz w:val="18"/>
                <w:szCs w:val="18"/>
                <w:b w:val="1"/>
                <w:bCs w:val="1"/>
                <w:color w:val="auto"/>
                <w:w w:val="89"/>
              </w:rPr>
              <w:t>August 27,</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jc w:val="right"/>
              <w:ind w:right="170"/>
              <w:spacing w:after="0" w:line="191" w:lineRule="exact"/>
              <w:rPr>
                <w:sz w:val="20"/>
                <w:szCs w:val="20"/>
                <w:color w:val="auto"/>
              </w:rPr>
            </w:pPr>
            <w:r>
              <w:rPr>
                <w:rFonts w:ascii="Arial" w:cs="Arial" w:eastAsia="Arial" w:hAnsi="Arial"/>
                <w:sz w:val="18"/>
                <w:szCs w:val="18"/>
                <w:b w:val="1"/>
                <w:bCs w:val="1"/>
                <w:color w:val="auto"/>
                <w:w w:val="89"/>
              </w:rPr>
              <w:t>August 26,</w:t>
            </w:r>
          </w:p>
        </w:tc>
        <w:tc>
          <w:tcPr>
            <w:tcW w:w="2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right"/>
              <w:ind w:right="70"/>
              <w:spacing w:after="0" w:line="191" w:lineRule="exact"/>
              <w:rPr>
                <w:sz w:val="20"/>
                <w:szCs w:val="20"/>
                <w:color w:val="auto"/>
              </w:rPr>
            </w:pPr>
            <w:r>
              <w:rPr>
                <w:rFonts w:ascii="Arial" w:cs="Arial" w:eastAsia="Arial" w:hAnsi="Arial"/>
                <w:sz w:val="18"/>
                <w:szCs w:val="18"/>
                <w:b w:val="1"/>
                <w:bCs w:val="1"/>
                <w:color w:val="auto"/>
                <w:w w:val="89"/>
              </w:rPr>
              <w:t>August 27,</w:t>
            </w:r>
          </w:p>
        </w:tc>
        <w:tc>
          <w:tcPr>
            <w:tcW w:w="20" w:type="dxa"/>
            <w:vAlign w:val="bottom"/>
          </w:tcPr>
          <w:p>
            <w:pPr>
              <w:spacing w:after="0"/>
              <w:rPr>
                <w:sz w:val="16"/>
                <w:szCs w:val="16"/>
                <w:color w:val="auto"/>
              </w:rPr>
            </w:pPr>
          </w:p>
        </w:tc>
      </w:tr>
      <w:tr>
        <w:trPr>
          <w:trHeight w:val="234"/>
        </w:trPr>
        <w:tc>
          <w:tcPr>
            <w:tcW w:w="1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2023</w:t>
            </w:r>
          </w:p>
        </w:tc>
        <w:tc>
          <w:tcPr>
            <w:tcW w:w="2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2023</w:t>
            </w:r>
          </w:p>
        </w:tc>
        <w:tc>
          <w:tcPr>
            <w:tcW w:w="2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0" w:type="dxa"/>
            <w:vAlign w:val="bottom"/>
          </w:tcPr>
          <w:p>
            <w:pPr>
              <w:spacing w:after="0"/>
              <w:rPr>
                <w:sz w:val="20"/>
                <w:szCs w:val="20"/>
                <w:color w:val="auto"/>
              </w:rPr>
            </w:pPr>
          </w:p>
        </w:tc>
      </w:tr>
      <w:tr>
        <w:trPr>
          <w:trHeight w:val="195"/>
        </w:trPr>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ind w:right="50"/>
              <w:spacing w:after="0" w:line="195" w:lineRule="exact"/>
              <w:rPr>
                <w:sz w:val="20"/>
                <w:szCs w:val="20"/>
                <w:color w:val="auto"/>
              </w:rPr>
            </w:pPr>
            <w:r>
              <w:rPr>
                <w:rFonts w:ascii="Arial" w:cs="Arial" w:eastAsia="Arial" w:hAnsi="Arial"/>
                <w:sz w:val="18"/>
                <w:szCs w:val="18"/>
                <w:color w:val="auto"/>
              </w:rPr>
              <w:t>7</w:t>
            </w:r>
          </w:p>
        </w:tc>
        <w:tc>
          <w:tcPr>
            <w:tcW w:w="240" w:type="dxa"/>
            <w:vAlign w:val="bottom"/>
          </w:tcPr>
          <w:p>
            <w:pPr>
              <w:jc w:val="right"/>
              <w:spacing w:after="0" w:line="195" w:lineRule="exact"/>
              <w:rPr>
                <w:sz w:val="20"/>
                <w:szCs w:val="20"/>
                <w:color w:val="auto"/>
              </w:rPr>
            </w:pPr>
            <w:r>
              <w:rPr>
                <w:rFonts w:ascii="Arial" w:cs="Arial" w:eastAsia="Arial" w:hAnsi="Arial"/>
                <w:sz w:val="18"/>
                <w:szCs w:val="18"/>
                <w:color w:val="auto"/>
              </w:rPr>
              <w:t>$</w:t>
            </w:r>
          </w:p>
        </w:tc>
        <w:tc>
          <w:tcPr>
            <w:tcW w:w="1000" w:type="dxa"/>
            <w:vAlign w:val="bottom"/>
          </w:tcPr>
          <w:p>
            <w:pPr>
              <w:jc w:val="right"/>
              <w:spacing w:after="0" w:line="195" w:lineRule="exact"/>
              <w:rPr>
                <w:sz w:val="20"/>
                <w:szCs w:val="20"/>
                <w:color w:val="auto"/>
              </w:rPr>
            </w:pPr>
            <w:r>
              <w:rPr>
                <w:rFonts w:ascii="Arial" w:cs="Arial" w:eastAsia="Arial" w:hAnsi="Arial"/>
                <w:sz w:val="18"/>
                <w:szCs w:val="18"/>
                <w:color w:val="auto"/>
              </w:rPr>
              <w:t>9</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jc w:val="right"/>
              <w:spacing w:after="0" w:line="195" w:lineRule="exact"/>
              <w:rPr>
                <w:sz w:val="20"/>
                <w:szCs w:val="20"/>
                <w:color w:val="auto"/>
              </w:rPr>
            </w:pPr>
            <w:r>
              <w:rPr>
                <w:rFonts w:ascii="Arial" w:cs="Arial" w:eastAsia="Arial" w:hAnsi="Arial"/>
                <w:sz w:val="18"/>
                <w:szCs w:val="18"/>
                <w:color w:val="auto"/>
                <w:w w:val="79"/>
              </w:rPr>
              <w:t>$</w:t>
            </w:r>
          </w:p>
        </w:tc>
        <w:tc>
          <w:tcPr>
            <w:tcW w:w="1100" w:type="dxa"/>
            <w:vAlign w:val="bottom"/>
          </w:tcPr>
          <w:p>
            <w:pPr>
              <w:jc w:val="right"/>
              <w:ind w:right="30"/>
              <w:spacing w:after="0" w:line="195" w:lineRule="exact"/>
              <w:rPr>
                <w:sz w:val="20"/>
                <w:szCs w:val="20"/>
                <w:color w:val="auto"/>
              </w:rPr>
            </w:pPr>
            <w:r>
              <w:rPr>
                <w:rFonts w:ascii="Arial" w:cs="Arial" w:eastAsia="Arial" w:hAnsi="Arial"/>
                <w:sz w:val="18"/>
                <w:szCs w:val="18"/>
                <w:color w:val="auto"/>
              </w:rPr>
              <w:t>20</w:t>
            </w:r>
          </w:p>
        </w:tc>
        <w:tc>
          <w:tcPr>
            <w:tcW w:w="220" w:type="dxa"/>
            <w:vAlign w:val="bottom"/>
          </w:tcPr>
          <w:p>
            <w:pPr>
              <w:jc w:val="right"/>
              <w:spacing w:after="0" w:line="195" w:lineRule="exact"/>
              <w:rPr>
                <w:sz w:val="20"/>
                <w:szCs w:val="20"/>
                <w:color w:val="auto"/>
              </w:rPr>
            </w:pPr>
            <w:r>
              <w:rPr>
                <w:rFonts w:ascii="Arial" w:cs="Arial" w:eastAsia="Arial" w:hAnsi="Arial"/>
                <w:sz w:val="18"/>
                <w:szCs w:val="18"/>
                <w:color w:val="auto"/>
              </w:rPr>
              <w:t>$</w:t>
            </w:r>
          </w:p>
        </w:tc>
        <w:tc>
          <w:tcPr>
            <w:tcW w:w="1000" w:type="dxa"/>
            <w:vAlign w:val="bottom"/>
          </w:tcPr>
          <w:p>
            <w:pPr>
              <w:jc w:val="right"/>
              <w:spacing w:after="0" w:line="195" w:lineRule="exact"/>
              <w:rPr>
                <w:sz w:val="20"/>
                <w:szCs w:val="20"/>
                <w:color w:val="auto"/>
              </w:rPr>
            </w:pPr>
            <w:r>
              <w:rPr>
                <w:rFonts w:ascii="Arial" w:cs="Arial" w:eastAsia="Arial" w:hAnsi="Arial"/>
                <w:sz w:val="18"/>
                <w:szCs w:val="18"/>
                <w:color w:val="auto"/>
              </w:rPr>
              <w:t>27</w:t>
            </w:r>
          </w:p>
        </w:tc>
        <w:tc>
          <w:tcPr>
            <w:tcW w:w="20" w:type="dxa"/>
            <w:vAlign w:val="bottom"/>
          </w:tcPr>
          <w:p>
            <w:pPr>
              <w:spacing w:after="0"/>
              <w:rPr>
                <w:sz w:val="16"/>
                <w:szCs w:val="16"/>
                <w:color w:val="auto"/>
              </w:rPr>
            </w:pPr>
          </w:p>
        </w:tc>
      </w:tr>
      <w:tr>
        <w:trPr>
          <w:trHeight w:val="216"/>
        </w:trPr>
        <w:tc>
          <w:tcPr>
            <w:tcW w:w="120" w:type="dxa"/>
            <w:vAlign w:val="bottom"/>
          </w:tcPr>
          <w:p>
            <w:pPr>
              <w:spacing w:after="0"/>
              <w:rPr>
                <w:sz w:val="18"/>
                <w:szCs w:val="18"/>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93</w:t>
            </w:r>
          </w:p>
        </w:tc>
        <w:tc>
          <w:tcPr>
            <w:tcW w:w="24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58</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278</w:t>
            </w:r>
          </w:p>
        </w:tc>
        <w:tc>
          <w:tcPr>
            <w:tcW w:w="22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173</w:t>
            </w:r>
          </w:p>
        </w:tc>
      </w:tr>
      <w:tr>
        <w:trPr>
          <w:trHeight w:val="216"/>
        </w:trPr>
        <w:tc>
          <w:tcPr>
            <w:tcW w:w="120" w:type="dxa"/>
            <w:vAlign w:val="bottom"/>
          </w:tcPr>
          <w:p>
            <w:pPr>
              <w:spacing w:after="0"/>
              <w:rPr>
                <w:sz w:val="18"/>
                <w:szCs w:val="18"/>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31</w:t>
            </w:r>
          </w:p>
        </w:tc>
        <w:tc>
          <w:tcPr>
            <w:tcW w:w="24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31</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94</w:t>
            </w:r>
          </w:p>
        </w:tc>
        <w:tc>
          <w:tcPr>
            <w:tcW w:w="22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94</w:t>
            </w:r>
          </w:p>
        </w:tc>
      </w:tr>
      <w:tr>
        <w:trPr>
          <w:trHeight w:val="230"/>
        </w:trPr>
        <w:tc>
          <w:tcPr>
            <w:tcW w:w="120" w:type="dxa"/>
            <w:vAlign w:val="bottom"/>
          </w:tcPr>
          <w:p>
            <w:pPr>
              <w:spacing w:after="0"/>
              <w:rPr>
                <w:sz w:val="20"/>
                <w:szCs w:val="20"/>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33</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100</w:t>
            </w:r>
          </w:p>
        </w:tc>
      </w:tr>
      <w:tr>
        <w:trPr>
          <w:trHeight w:val="209"/>
        </w:trPr>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131</w:t>
            </w:r>
          </w:p>
        </w:tc>
        <w:tc>
          <w:tcPr>
            <w:tcW w:w="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131</w:t>
            </w:r>
          </w:p>
        </w:tc>
        <w:tc>
          <w:tcPr>
            <w:tcW w:w="2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392</w:t>
            </w:r>
          </w:p>
        </w:tc>
        <w:tc>
          <w:tcPr>
            <w:tcW w:w="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394</w:t>
            </w:r>
          </w:p>
        </w:tc>
        <w:tc>
          <w:tcPr>
            <w:tcW w:w="20" w:type="dxa"/>
            <w:vAlign w:val="bottom"/>
          </w:tcPr>
          <w:p>
            <w:pPr>
              <w:spacing w:after="0"/>
              <w:rPr>
                <w:sz w:val="18"/>
                <w:szCs w:val="18"/>
                <w:color w:val="auto"/>
              </w:rPr>
            </w:pPr>
          </w:p>
        </w:tc>
      </w:tr>
      <w:tr>
        <w:trPr>
          <w:trHeight w:val="20"/>
        </w:trPr>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-3791585</wp:posOffset>
            </wp:positionH>
            <wp:positionV relativeFrom="paragraph">
              <wp:posOffset>-719455</wp:posOffset>
            </wp:positionV>
            <wp:extent cx="7132320" cy="1371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-3791585</wp:posOffset>
            </wp:positionH>
            <wp:positionV relativeFrom="paragraph">
              <wp:posOffset>-445135</wp:posOffset>
            </wp:positionV>
            <wp:extent cx="7132320" cy="1371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-3791585</wp:posOffset>
            </wp:positionH>
            <wp:positionV relativeFrom="paragraph">
              <wp:posOffset>-162560</wp:posOffset>
            </wp:positionV>
            <wp:extent cx="7132320" cy="16319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260" w:space="720"/>
            <w:col w:w="5260"/>
          </w:cols>
          <w:pgMar w:left="320" w:top="125" w:right="339" w:bottom="1440" w:gutter="0" w:footer="0" w:header="0"/>
          <w:type w:val="continuous"/>
        </w:sectPr>
      </w:pPr>
    </w:p>
    <w:p>
      <w:pPr>
        <w:spacing w:after="0" w:line="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components of net periodic pension cost other than the service cost component, which is included in selling, general and administrative expenses, are included in other loss, net in our condensed consolidated statements of operations.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Deferred Compensation Plans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have an unfunded deferred compensation plan that covers one current executive and certain former executives and provides for voluntary deferral of compensation. This plan has been frozen with no additional participants or deferrals permitted. Our liability under this plan was $1,645 and $1,616 as of August 26, 2023 and November 26, 2022, respectively.</w:t>
      </w:r>
    </w:p>
    <w:p>
      <w:pPr>
        <w:spacing w:after="0" w:line="18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also have an unfunded, nonqualified deferred compensation plan maintained for the benefit of certain highly compensated or management level employees which was established under the Management Savings Plan. Our liability under this plan, including both accrued Company contributions and participant salary deferrals, was $2,618 and $2,070 as of August 26, 2023 and November 26, 2022, respectively.</w:t>
      </w:r>
    </w:p>
    <w:p>
      <w:pPr>
        <w:spacing w:after="0" w:line="16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Our combined liability for all deferred compensation arrangements, including Company contributions and participant deferrals under the Management Savings Plan, is recorded as follows in the condensed consolidated balance sheets: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60" w:type="dxa"/>
            <w:vAlign w:val="bottom"/>
          </w:tcPr>
          <w:p>
            <w:pPr>
              <w:spacing w:after="0"/>
              <w:rPr>
                <w:sz w:val="20"/>
                <w:szCs w:val="20"/>
                <w:color w:val="auto"/>
              </w:rPr>
            </w:pPr>
          </w:p>
        </w:tc>
        <w:tc>
          <w:tcPr>
            <w:tcW w:w="366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0"/>
              </w:rPr>
              <w:t>August 26, 2023</w:t>
            </w:r>
          </w:p>
        </w:tc>
        <w:tc>
          <w:tcPr>
            <w:tcW w:w="16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5"/>
              </w:rPr>
              <w:t>November 26, 2022</w:t>
            </w:r>
          </w:p>
        </w:tc>
        <w:tc>
          <w:tcPr>
            <w:tcW w:w="80" w:type="dxa"/>
            <w:vAlign w:val="bottom"/>
          </w:tcPr>
          <w:p>
            <w:pPr>
              <w:spacing w:after="0"/>
              <w:rPr>
                <w:sz w:val="20"/>
                <w:szCs w:val="20"/>
                <w:color w:val="auto"/>
              </w:rPr>
            </w:pPr>
          </w:p>
        </w:tc>
        <w:tc>
          <w:tcPr>
            <w:tcW w:w="1600" w:type="dxa"/>
            <w:vAlign w:val="bottom"/>
          </w:tcPr>
          <w:p>
            <w:pPr>
              <w:spacing w:after="0"/>
              <w:rPr>
                <w:sz w:val="20"/>
                <w:szCs w:val="20"/>
                <w:color w:val="auto"/>
              </w:rPr>
            </w:pPr>
          </w:p>
        </w:tc>
      </w:tr>
      <w:tr>
        <w:trPr>
          <w:trHeight w:val="209"/>
        </w:trPr>
        <w:tc>
          <w:tcPr>
            <w:tcW w:w="660" w:type="dxa"/>
            <w:vAlign w:val="bottom"/>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Accrued compensation and benefits</w:t>
            </w:r>
          </w:p>
        </w:tc>
        <w:tc>
          <w:tcPr>
            <w:tcW w:w="2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w:t>
            </w:r>
          </w:p>
        </w:tc>
        <w:tc>
          <w:tcPr>
            <w:tcW w:w="70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296</w:t>
            </w:r>
          </w:p>
        </w:tc>
        <w:tc>
          <w:tcPr>
            <w:tcW w:w="160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Post employment benefit obligations</w:t>
            </w:r>
          </w:p>
        </w:tc>
        <w:tc>
          <w:tcPr>
            <w:tcW w:w="20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3,967</w:t>
            </w:r>
          </w:p>
        </w:tc>
        <w:tc>
          <w:tcPr>
            <w:tcW w:w="7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3,390</w:t>
            </w:r>
          </w:p>
        </w:tc>
        <w:tc>
          <w:tcPr>
            <w:tcW w:w="8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249"/>
        </w:trPr>
        <w:tc>
          <w:tcPr>
            <w:tcW w:w="660" w:type="dxa"/>
            <w:vAlign w:val="bottom"/>
          </w:tcPr>
          <w:p>
            <w:pPr>
              <w:spacing w:after="0"/>
              <w:rPr>
                <w:sz w:val="21"/>
                <w:szCs w:val="21"/>
                <w:color w:val="auto"/>
              </w:rPr>
            </w:pPr>
          </w:p>
        </w:tc>
        <w:tc>
          <w:tcPr>
            <w:tcW w:w="36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deferred compensation liability</w:t>
            </w:r>
          </w:p>
        </w:tc>
        <w:tc>
          <w:tcPr>
            <w:tcW w:w="2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4,263</w:t>
            </w:r>
          </w:p>
        </w:tc>
        <w:tc>
          <w:tcPr>
            <w:tcW w:w="700" w:type="dxa"/>
            <w:vAlign w:val="bottom"/>
            <w:tcBorders>
              <w:bottom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3,686</w:t>
            </w:r>
          </w:p>
        </w:tc>
        <w:tc>
          <w:tcPr>
            <w:tcW w:w="80" w:type="dxa"/>
            <w:vAlign w:val="bottom"/>
            <w:tcBorders>
              <w:bottom w:val="single" w:sz="8" w:color="CCEEFF"/>
            </w:tcBorders>
            <w:shd w:val="clear" w:color="auto" w:fill="CCEEFF"/>
          </w:tcPr>
          <w:p>
            <w:pPr>
              <w:spacing w:after="0"/>
              <w:rPr>
                <w:sz w:val="21"/>
                <w:szCs w:val="21"/>
                <w:color w:val="auto"/>
              </w:rPr>
            </w:pPr>
          </w:p>
        </w:tc>
        <w:tc>
          <w:tcPr>
            <w:tcW w:w="1600" w:type="dxa"/>
            <w:vAlign w:val="bottom"/>
          </w:tcPr>
          <w:p>
            <w:pPr>
              <w:spacing w:after="0"/>
              <w:rPr>
                <w:sz w:val="21"/>
                <w:szCs w:val="21"/>
                <w:color w:val="auto"/>
              </w:rPr>
            </w:pPr>
          </w:p>
        </w:tc>
      </w:tr>
      <w:tr>
        <w:trPr>
          <w:trHeight w:val="413"/>
        </w:trPr>
        <w:tc>
          <w:tcPr>
            <w:tcW w:w="66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2120" w:type="dxa"/>
            <w:vAlign w:val="bottom"/>
            <w:gridSpan w:val="2"/>
          </w:tcPr>
          <w:p>
            <w:pPr>
              <w:jc w:val="right"/>
              <w:ind w:right="430"/>
              <w:spacing w:after="0"/>
              <w:rPr>
                <w:sz w:val="20"/>
                <w:szCs w:val="20"/>
                <w:color w:val="auto"/>
              </w:rPr>
            </w:pPr>
            <w:r>
              <w:rPr>
                <w:rFonts w:ascii="Arial" w:cs="Arial" w:eastAsia="Arial" w:hAnsi="Arial"/>
                <w:sz w:val="18"/>
                <w:szCs w:val="18"/>
                <w:color w:val="auto"/>
              </w:rPr>
              <w:t>14 of 38</w:t>
            </w:r>
          </w:p>
        </w:tc>
        <w:tc>
          <w:tcPr>
            <w:tcW w:w="15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115"/>
        </w:trPr>
        <w:tc>
          <w:tcPr>
            <w:tcW w:w="660" w:type="dxa"/>
            <w:vAlign w:val="bottom"/>
            <w:tcBorders>
              <w:bottom w:val="single" w:sz="8" w:color="auto"/>
            </w:tcBorders>
          </w:tcPr>
          <w:p>
            <w:pPr>
              <w:spacing w:after="0"/>
              <w:rPr>
                <w:sz w:val="10"/>
                <w:szCs w:val="10"/>
                <w:color w:val="auto"/>
              </w:rPr>
            </w:pPr>
          </w:p>
        </w:tc>
        <w:tc>
          <w:tcPr>
            <w:tcW w:w="3660" w:type="dxa"/>
            <w:vAlign w:val="bottom"/>
            <w:tcBorders>
              <w:bottom w:val="single" w:sz="8" w:color="auto"/>
            </w:tcBorders>
          </w:tcPr>
          <w:p>
            <w:pPr>
              <w:spacing w:after="0"/>
              <w:rPr>
                <w:sz w:val="10"/>
                <w:szCs w:val="10"/>
                <w:color w:val="auto"/>
              </w:rPr>
            </w:pPr>
          </w:p>
        </w:tc>
        <w:tc>
          <w:tcPr>
            <w:tcW w:w="20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50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60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25" w:right="339" w:bottom="1440" w:gutter="0" w:footer="0" w:header="0"/>
          <w:type w:val="continuous"/>
        </w:sectPr>
      </w:pPr>
    </w:p>
    <w:bookmarkStart w:id="14" w:name="page15"/>
    <w:bookmarkEnd w:id="14"/>
    <w:p>
      <w:pPr>
        <w:jc w:val="center"/>
        <w:spacing w:after="0"/>
        <w:rPr>
          <w:sz w:val="20"/>
          <w:szCs w:val="20"/>
          <w:color w:val="auto"/>
        </w:rPr>
      </w:pPr>
      <w:r>
        <w:rPr>
          <w:rFonts w:ascii="Arial" w:cs="Arial" w:eastAsia="Arial" w:hAnsi="Arial"/>
          <w:sz w:val="18"/>
          <w:szCs w:val="18"/>
          <w:u w:val="single" w:color="auto"/>
          <w:color w:val="auto"/>
        </w:rPr>
        <w:t>PART I-FINANCIAL INFORMATION-CONTINUED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BASSETT FURNITURE INDUSTRIES, INCORPORATED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CONDENSED CONSOLIDATED FINANCIAL STATEMENTS-UNAUDITED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AUGUST 26, 2023</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(Dollars in thousands except share and per share data)</w:t>
      </w:r>
    </w:p>
    <w:p>
      <w:pPr>
        <w:spacing w:after="0" w:line="200" w:lineRule="exact"/>
        <w:rPr>
          <w:sz w:val="20"/>
          <w:szCs w:val="20"/>
          <w:color w:val="auto"/>
        </w:rPr>
      </w:pPr>
    </w:p>
    <w:p>
      <w:pPr>
        <w:spacing w:after="0" w:line="254"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We recognized expense under our deferred compensation arrangements during the three and nine months ended August 26, 2023 and August 27, 2022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8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940" w:type="dxa"/>
            <w:vAlign w:val="bottom"/>
            <w:tcBorders>
              <w:bottom w:val="single" w:sz="8" w:color="auto"/>
            </w:tcBorders>
            <w:gridSpan w:val="4"/>
          </w:tcPr>
          <w:p>
            <w:pPr>
              <w:jc w:val="right"/>
              <w:ind w:right="290"/>
              <w:spacing w:after="0"/>
              <w:rPr>
                <w:sz w:val="20"/>
                <w:szCs w:val="20"/>
                <w:color w:val="auto"/>
              </w:rPr>
            </w:pPr>
            <w:r>
              <w:rPr>
                <w:rFonts w:ascii="Arial" w:cs="Arial" w:eastAsia="Arial" w:hAnsi="Arial"/>
                <w:sz w:val="18"/>
                <w:szCs w:val="18"/>
                <w:b w:val="1"/>
                <w:bCs w:val="1"/>
                <w:color w:val="auto"/>
              </w:rPr>
              <w:t>Quarter Ended</w:t>
            </w:r>
          </w:p>
        </w:tc>
        <w:tc>
          <w:tcPr>
            <w:tcW w:w="5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2080" w:type="dxa"/>
            <w:vAlign w:val="bottom"/>
            <w:tcBorders>
              <w:bottom w:val="single" w:sz="8" w:color="auto"/>
            </w:tcBorders>
            <w:gridSpan w:val="4"/>
          </w:tcPr>
          <w:p>
            <w:pPr>
              <w:jc w:val="right"/>
              <w:ind w:right="150"/>
              <w:spacing w:after="0"/>
              <w:rPr>
                <w:sz w:val="20"/>
                <w:szCs w:val="20"/>
                <w:color w:val="auto"/>
              </w:rPr>
            </w:pPr>
            <w:r>
              <w:rPr>
                <w:rFonts w:ascii="Arial" w:cs="Arial" w:eastAsia="Arial" w:hAnsi="Arial"/>
                <w:sz w:val="18"/>
                <w:szCs w:val="18"/>
                <w:b w:val="1"/>
                <w:bCs w:val="1"/>
                <w:color w:val="auto"/>
              </w:rPr>
              <w:t>Nine Months Ended</w:t>
            </w:r>
          </w:p>
        </w:tc>
        <w:tc>
          <w:tcPr>
            <w:tcW w:w="4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5080" w:type="dxa"/>
            <w:vAlign w:val="bottom"/>
          </w:tcPr>
          <w:p>
            <w:pPr>
              <w:spacing w:after="0"/>
              <w:rPr>
                <w:sz w:val="18"/>
                <w:szCs w:val="18"/>
                <w:color w:val="auto"/>
              </w:rPr>
            </w:pPr>
          </w:p>
        </w:tc>
        <w:tc>
          <w:tcPr>
            <w:tcW w:w="136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b w:val="1"/>
                <w:bCs w:val="1"/>
                <w:color w:val="auto"/>
                <w:w w:val="91"/>
              </w:rPr>
              <w:t>August 26, 2023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Borders>
              <w:bottom w:val="single" w:sz="8" w:color="auto"/>
            </w:tcBorders>
            <w:gridSpan w:val="2"/>
          </w:tcPr>
          <w:p>
            <w:pPr>
              <w:ind w:left="40"/>
              <w:spacing w:after="0"/>
              <w:rPr>
                <w:sz w:val="20"/>
                <w:szCs w:val="20"/>
                <w:color w:val="auto"/>
              </w:rPr>
            </w:pPr>
            <w:r>
              <w:rPr>
                <w:rFonts w:ascii="Arial" w:cs="Arial" w:eastAsia="Arial" w:hAnsi="Arial"/>
                <w:sz w:val="18"/>
                <w:szCs w:val="18"/>
                <w:b w:val="1"/>
                <w:bCs w:val="1"/>
                <w:color w:val="auto"/>
                <w:w w:val="91"/>
              </w:rPr>
              <w:t>August 27, 2022</w:t>
            </w:r>
          </w:p>
        </w:tc>
        <w:tc>
          <w:tcPr>
            <w:tcW w:w="220" w:type="dxa"/>
            <w:vAlign w:val="bottom"/>
          </w:tcPr>
          <w:p>
            <w:pPr>
              <w:spacing w:after="0"/>
              <w:rPr>
                <w:sz w:val="18"/>
                <w:szCs w:val="18"/>
                <w:color w:val="auto"/>
              </w:rPr>
            </w:pPr>
          </w:p>
        </w:tc>
        <w:tc>
          <w:tcPr>
            <w:tcW w:w="13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1"/>
              </w:rPr>
              <w:t>August 26, 2023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1"/>
              </w:rPr>
              <w:t>August 27, 2022</w:t>
            </w:r>
          </w:p>
        </w:tc>
        <w:tc>
          <w:tcPr>
            <w:tcW w:w="100" w:type="dxa"/>
            <w:vAlign w:val="bottom"/>
          </w:tcPr>
          <w:p>
            <w:pPr>
              <w:spacing w:after="0"/>
              <w:rPr>
                <w:sz w:val="18"/>
                <w:szCs w:val="18"/>
                <w:color w:val="auto"/>
              </w:rPr>
            </w:pPr>
          </w:p>
        </w:tc>
      </w:tr>
      <w:tr>
        <w:trPr>
          <w:trHeight w:val="230"/>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Deferred compensation expense (benefit)</w:t>
            </w:r>
          </w:p>
        </w:tc>
        <w:tc>
          <w:tcPr>
            <w:tcW w:w="5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166</w:t>
            </w:r>
          </w:p>
        </w:tc>
        <w:tc>
          <w:tcPr>
            <w:tcW w:w="960" w:type="dxa"/>
            <w:vAlign w:val="bottom"/>
            <w:gridSpan w:val="2"/>
            <w:shd w:val="clear" w:color="auto" w:fill="CCEEFF"/>
          </w:tcPr>
          <w:p>
            <w:pPr>
              <w:jc w:val="right"/>
              <w:ind w:right="65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w:t>
            </w: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363</w:t>
            </w:r>
          </w:p>
        </w:tc>
        <w:tc>
          <w:tcPr>
            <w:tcW w:w="1020" w:type="dxa"/>
            <w:vAlign w:val="bottom"/>
            <w:gridSpan w:val="2"/>
            <w:shd w:val="clear" w:color="auto" w:fill="CCEEFF"/>
          </w:tcPr>
          <w:p>
            <w:pPr>
              <w:jc w:val="right"/>
              <w:ind w:right="73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w:t>
            </w:r>
          </w:p>
        </w:tc>
      </w:tr>
      <w:tr>
        <w:trPr>
          <w:trHeight w:val="20"/>
        </w:trPr>
        <w:tc>
          <w:tcPr>
            <w:tcW w:w="508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Commitments and Contingencies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are involved in various legal and environmental matters which arise in the normal course of business. Although the final outcome of these matters cannot be determined, based on the facts presently known, we believe that the final resolution of these matters will not have a material adverse effect on our financial position or future results of operations.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Lease Guarantees</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were contingently liable under a licensee lease obligation guarantee in the amounts of $1,906 and $1,880 at August 26, 2023 and November 26, 2022, respectively. The remaining term under this lease guarantee extends for five years.</w:t>
      </w:r>
    </w:p>
    <w:p>
      <w:pPr>
        <w:spacing w:after="0" w:line="170"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In the event of default by an independent dealer under the guaranteed lease, we believe that the risk of loss is mitigated through a combination of options that include, but are not limited to, arranging for a replacement dealer or liquidating the collateral (primarily inventory). The proceeds of the above options are expected to cover the estimated amount of our future payments under the guarantee obligation, net of recorded reserves. The fair value of this lease guarantee (an estimate of the cost to the Company to perform on the guarantee) at August 26, 2023 and November 26, 2022 was not material.</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 of 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5" w:name="page16"/>
    <w:bookmarkEnd w:id="15"/>
    <w:p>
      <w:pPr>
        <w:jc w:val="center"/>
        <w:ind w:right="-559"/>
        <w:spacing w:after="0"/>
        <w:rPr>
          <w:sz w:val="20"/>
          <w:szCs w:val="20"/>
          <w:color w:val="auto"/>
        </w:rPr>
      </w:pPr>
      <w:r>
        <w:rPr>
          <w:rFonts w:ascii="Arial" w:cs="Arial" w:eastAsia="Arial" w:hAnsi="Arial"/>
          <w:sz w:val="18"/>
          <w:szCs w:val="18"/>
          <w:u w:val="single" w:color="auto"/>
          <w:color w:val="auto"/>
        </w:rPr>
        <w:t>PART I-FINANCIAL INFORMATION-CONTINUED</w:t>
      </w:r>
    </w:p>
    <w:p>
      <w:pPr>
        <w:spacing w:after="0" w:line="23" w:lineRule="exact"/>
        <w:rPr>
          <w:sz w:val="20"/>
          <w:szCs w:val="20"/>
          <w:color w:val="auto"/>
        </w:rPr>
      </w:pPr>
    </w:p>
    <w:p>
      <w:pPr>
        <w:jc w:val="center"/>
        <w:ind w:right="-559"/>
        <w:spacing w:after="0"/>
        <w:rPr>
          <w:sz w:val="20"/>
          <w:szCs w:val="20"/>
          <w:color w:val="auto"/>
        </w:rPr>
      </w:pPr>
      <w:r>
        <w:rPr>
          <w:rFonts w:ascii="Arial" w:cs="Arial" w:eastAsia="Arial" w:hAnsi="Arial"/>
          <w:sz w:val="18"/>
          <w:szCs w:val="18"/>
          <w:u w:val="single" w:color="auto"/>
          <w:color w:val="auto"/>
        </w:rPr>
        <w:t>BASSETT FURNITURE INDUSTRIES, INCORPORATED AND SUBSIDIARIES</w:t>
      </w:r>
    </w:p>
    <w:p>
      <w:pPr>
        <w:spacing w:after="0" w:line="9" w:lineRule="exact"/>
        <w:rPr>
          <w:sz w:val="20"/>
          <w:szCs w:val="20"/>
          <w:color w:val="auto"/>
        </w:rPr>
      </w:pPr>
    </w:p>
    <w:p>
      <w:pPr>
        <w:jc w:val="center"/>
        <w:ind w:right="-559"/>
        <w:spacing w:after="0"/>
        <w:rPr>
          <w:sz w:val="20"/>
          <w:szCs w:val="20"/>
          <w:color w:val="auto"/>
        </w:rPr>
      </w:pPr>
      <w:r>
        <w:rPr>
          <w:rFonts w:ascii="Arial" w:cs="Arial" w:eastAsia="Arial" w:hAnsi="Arial"/>
          <w:sz w:val="18"/>
          <w:szCs w:val="18"/>
          <w:u w:val="single" w:color="auto"/>
          <w:color w:val="auto"/>
        </w:rPr>
        <w:t>NOTES TO CONDENSED CONSOLIDATED FINANCIAL STATEMENTS-UNAUDITED</w:t>
      </w:r>
    </w:p>
    <w:p>
      <w:pPr>
        <w:spacing w:after="0" w:line="9" w:lineRule="exact"/>
        <w:rPr>
          <w:sz w:val="20"/>
          <w:szCs w:val="20"/>
          <w:color w:val="auto"/>
        </w:rPr>
      </w:pPr>
    </w:p>
    <w:p>
      <w:pPr>
        <w:jc w:val="center"/>
        <w:ind w:right="-559"/>
        <w:spacing w:after="0"/>
        <w:rPr>
          <w:sz w:val="20"/>
          <w:szCs w:val="20"/>
          <w:color w:val="auto"/>
        </w:rPr>
      </w:pPr>
      <w:r>
        <w:rPr>
          <w:rFonts w:ascii="Arial" w:cs="Arial" w:eastAsia="Arial" w:hAnsi="Arial"/>
          <w:sz w:val="18"/>
          <w:szCs w:val="18"/>
          <w:u w:val="single" w:color="auto"/>
          <w:color w:val="auto"/>
        </w:rPr>
        <w:t>AUGUST 26, 2023</w:t>
      </w:r>
    </w:p>
    <w:p>
      <w:pPr>
        <w:spacing w:after="0" w:line="9" w:lineRule="exact"/>
        <w:rPr>
          <w:sz w:val="20"/>
          <w:szCs w:val="20"/>
          <w:color w:val="auto"/>
        </w:rPr>
      </w:pPr>
    </w:p>
    <w:p>
      <w:pPr>
        <w:jc w:val="center"/>
        <w:ind w:right="-559"/>
        <w:spacing w:after="0"/>
        <w:rPr>
          <w:sz w:val="20"/>
          <w:szCs w:val="20"/>
          <w:color w:val="auto"/>
        </w:rPr>
      </w:pPr>
      <w:r>
        <w:rPr>
          <w:rFonts w:ascii="Arial" w:cs="Arial" w:eastAsia="Arial" w:hAnsi="Arial"/>
          <w:sz w:val="18"/>
          <w:szCs w:val="18"/>
          <w:u w:val="single" w:color="auto"/>
          <w:color w:val="auto"/>
        </w:rPr>
        <w:t>(Dollars 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60" w:type="dxa"/>
            <w:vAlign w:val="bottom"/>
            <w:gridSpan w:val="3"/>
          </w:tcPr>
          <w:p>
            <w:pPr>
              <w:spacing w:after="0"/>
              <w:rPr>
                <w:sz w:val="20"/>
                <w:szCs w:val="20"/>
                <w:color w:val="auto"/>
              </w:rPr>
            </w:pPr>
            <w:r>
              <w:rPr>
                <w:rFonts w:ascii="Arial" w:cs="Arial" w:eastAsia="Arial" w:hAnsi="Arial"/>
                <w:sz w:val="18"/>
                <w:szCs w:val="18"/>
                <w:b w:val="1"/>
                <w:bCs w:val="1"/>
                <w:color w:val="auto"/>
              </w:rPr>
              <w:t>11. Earnings (Loss) Per Share</w:t>
            </w:r>
          </w:p>
        </w:tc>
        <w:tc>
          <w:tcPr>
            <w:tcW w:w="2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5660" w:type="dxa"/>
            <w:vAlign w:val="bottom"/>
            <w:gridSpan w:val="3"/>
          </w:tcPr>
          <w:p>
            <w:pPr>
              <w:spacing w:after="0"/>
              <w:rPr>
                <w:sz w:val="20"/>
                <w:szCs w:val="20"/>
                <w:color w:val="auto"/>
              </w:rPr>
            </w:pPr>
            <w:r>
              <w:rPr>
                <w:rFonts w:ascii="Arial" w:cs="Arial" w:eastAsia="Arial" w:hAnsi="Arial"/>
                <w:sz w:val="18"/>
                <w:szCs w:val="18"/>
                <w:color w:val="auto"/>
              </w:rPr>
              <w:t>The following reconciles basic and diluted earnings (loss) per share:</w:t>
            </w:r>
          </w:p>
        </w:tc>
        <w:tc>
          <w:tcPr>
            <w:tcW w:w="2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8"/>
        </w:trPr>
        <w:tc>
          <w:tcPr>
            <w:tcW w:w="28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8"/>
                <w:szCs w:val="18"/>
                <w:color w:val="auto"/>
                <w:w w:val="91"/>
              </w:rPr>
              <w:t>Net Income</w:t>
            </w:r>
          </w:p>
        </w:tc>
      </w:tr>
      <w:tr>
        <w:trPr>
          <w:trHeight w:val="216"/>
        </w:trPr>
        <w:tc>
          <w:tcPr>
            <w:tcW w:w="28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jc w:val="right"/>
              <w:ind w:right="410"/>
              <w:spacing w:after="0"/>
              <w:rPr>
                <w:sz w:val="20"/>
                <w:szCs w:val="20"/>
                <w:color w:val="auto"/>
              </w:rPr>
            </w:pPr>
            <w:r>
              <w:rPr>
                <w:rFonts w:ascii="Arial" w:cs="Arial" w:eastAsia="Arial" w:hAnsi="Arial"/>
                <w:sz w:val="18"/>
                <w:szCs w:val="18"/>
                <w:color w:val="auto"/>
              </w:rPr>
              <w:t>Net Income</w:t>
            </w:r>
          </w:p>
        </w:tc>
        <w:tc>
          <w:tcPr>
            <w:tcW w:w="1640" w:type="dxa"/>
            <w:vAlign w:val="bottom"/>
          </w:tcPr>
          <w:p>
            <w:pPr>
              <w:jc w:val="right"/>
              <w:ind w:right="90"/>
              <w:spacing w:after="0"/>
              <w:rPr>
                <w:sz w:val="20"/>
                <w:szCs w:val="20"/>
                <w:color w:val="auto"/>
              </w:rPr>
            </w:pPr>
            <w:r>
              <w:rPr>
                <w:rFonts w:ascii="Arial" w:cs="Arial" w:eastAsia="Arial" w:hAnsi="Arial"/>
                <w:sz w:val="18"/>
                <w:szCs w:val="18"/>
                <w:color w:val="auto"/>
                <w:w w:val="97"/>
              </w:rPr>
              <w:t>Weighted Average</w:t>
            </w:r>
          </w:p>
        </w:tc>
        <w:tc>
          <w:tcPr>
            <w:tcW w:w="320" w:type="dxa"/>
            <w:vAlign w:val="bottom"/>
          </w:tcPr>
          <w:p>
            <w:pPr>
              <w:spacing w:after="0"/>
              <w:rPr>
                <w:sz w:val="18"/>
                <w:szCs w:val="18"/>
                <w:color w:val="auto"/>
              </w:rPr>
            </w:pPr>
          </w:p>
        </w:tc>
        <w:tc>
          <w:tcPr>
            <w:tcW w:w="1380" w:type="dxa"/>
            <w:vAlign w:val="bottom"/>
            <w:gridSpan w:val="2"/>
          </w:tcPr>
          <w:p>
            <w:pPr>
              <w:jc w:val="center"/>
              <w:ind w:right="320"/>
              <w:spacing w:after="0"/>
              <w:rPr>
                <w:sz w:val="20"/>
                <w:szCs w:val="20"/>
                <w:color w:val="auto"/>
              </w:rPr>
            </w:pPr>
            <w:r>
              <w:rPr>
                <w:rFonts w:ascii="Arial" w:cs="Arial" w:eastAsia="Arial" w:hAnsi="Arial"/>
                <w:sz w:val="18"/>
                <w:szCs w:val="18"/>
                <w:color w:val="auto"/>
                <w:w w:val="89"/>
              </w:rPr>
              <w:t>(Loss) Per</w:t>
            </w:r>
          </w:p>
        </w:tc>
      </w:tr>
      <w:tr>
        <w:trPr>
          <w:trHeight w:val="230"/>
        </w:trPr>
        <w:tc>
          <w:tcPr>
            <w:tcW w:w="28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60" w:type="dxa"/>
            <w:vAlign w:val="bottom"/>
          </w:tcPr>
          <w:p>
            <w:pPr>
              <w:jc w:val="right"/>
              <w:ind w:right="610"/>
              <w:spacing w:after="0"/>
              <w:rPr>
                <w:sz w:val="20"/>
                <w:szCs w:val="20"/>
                <w:color w:val="auto"/>
              </w:rPr>
            </w:pPr>
            <w:r>
              <w:rPr>
                <w:rFonts w:ascii="Arial" w:cs="Arial" w:eastAsia="Arial" w:hAnsi="Arial"/>
                <w:sz w:val="18"/>
                <w:szCs w:val="18"/>
                <w:color w:val="auto"/>
              </w:rPr>
              <w:t>(Loss)</w:t>
            </w:r>
          </w:p>
        </w:tc>
        <w:tc>
          <w:tcPr>
            <w:tcW w:w="1640" w:type="dxa"/>
            <w:vAlign w:val="bottom"/>
          </w:tcPr>
          <w:p>
            <w:pPr>
              <w:jc w:val="right"/>
              <w:ind w:right="530"/>
              <w:spacing w:after="0"/>
              <w:rPr>
                <w:sz w:val="20"/>
                <w:szCs w:val="20"/>
                <w:color w:val="auto"/>
              </w:rPr>
            </w:pPr>
            <w:r>
              <w:rPr>
                <w:rFonts w:ascii="Arial" w:cs="Arial" w:eastAsia="Arial" w:hAnsi="Arial"/>
                <w:sz w:val="18"/>
                <w:szCs w:val="18"/>
                <w:color w:val="auto"/>
              </w:rPr>
              <w:t>Shares</w:t>
            </w:r>
          </w:p>
        </w:tc>
        <w:tc>
          <w:tcPr>
            <w:tcW w:w="320" w:type="dxa"/>
            <w:vAlign w:val="bottom"/>
          </w:tcPr>
          <w:p>
            <w:pPr>
              <w:spacing w:after="0"/>
              <w:rPr>
                <w:sz w:val="20"/>
                <w:szCs w:val="20"/>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8"/>
                <w:szCs w:val="18"/>
                <w:color w:val="auto"/>
                <w:w w:val="83"/>
              </w:rPr>
              <w:t>Share</w:t>
            </w:r>
          </w:p>
        </w:tc>
      </w:tr>
      <w:tr>
        <w:trPr>
          <w:trHeight w:val="189"/>
        </w:trPr>
        <w:tc>
          <w:tcPr>
            <w:tcW w:w="5660" w:type="dxa"/>
            <w:vAlign w:val="bottom"/>
            <w:gridSpan w:val="3"/>
            <w:shd w:val="clear" w:color="auto" w:fill="CCEEFF"/>
          </w:tcPr>
          <w:p>
            <w:pPr>
              <w:spacing w:after="0" w:line="169" w:lineRule="exact"/>
              <w:rPr>
                <w:sz w:val="20"/>
                <w:szCs w:val="20"/>
                <w:color w:val="auto"/>
              </w:rPr>
            </w:pPr>
            <w:r>
              <w:rPr>
                <w:rFonts w:ascii="Arial" w:cs="Arial" w:eastAsia="Arial" w:hAnsi="Arial"/>
                <w:sz w:val="18"/>
                <w:szCs w:val="18"/>
                <w:color w:val="auto"/>
              </w:rPr>
              <w:t>For the quarter ended August 26, 2023:</w:t>
            </w:r>
          </w:p>
        </w:tc>
        <w:tc>
          <w:tcPr>
            <w:tcW w:w="220" w:type="dxa"/>
            <w:vAlign w:val="bottom"/>
            <w:tcBorders>
              <w:top w:val="single" w:sz="8" w:color="auto"/>
            </w:tcBorders>
            <w:shd w:val="clear" w:color="auto" w:fill="CCEEFF"/>
          </w:tcPr>
          <w:p>
            <w:pPr>
              <w:spacing w:after="0"/>
              <w:rPr>
                <w:sz w:val="16"/>
                <w:szCs w:val="16"/>
                <w:color w:val="auto"/>
              </w:rPr>
            </w:pPr>
          </w:p>
        </w:tc>
        <w:tc>
          <w:tcPr>
            <w:tcW w:w="1460" w:type="dxa"/>
            <w:vAlign w:val="bottom"/>
            <w:tcBorders>
              <w:top w:val="single" w:sz="8" w:color="auto"/>
            </w:tcBorders>
            <w:shd w:val="clear" w:color="auto" w:fill="CCEEFF"/>
          </w:tcPr>
          <w:p>
            <w:pPr>
              <w:spacing w:after="0"/>
              <w:rPr>
                <w:sz w:val="16"/>
                <w:szCs w:val="16"/>
                <w:color w:val="auto"/>
              </w:rPr>
            </w:pPr>
          </w:p>
        </w:tc>
        <w:tc>
          <w:tcPr>
            <w:tcW w:w="164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auto"/>
            </w:tcBorders>
            <w:shd w:val="clear" w:color="auto" w:fill="CCEEFF"/>
          </w:tcPr>
          <w:p>
            <w:pPr>
              <w:spacing w:after="0"/>
              <w:rPr>
                <w:sz w:val="16"/>
                <w:szCs w:val="16"/>
                <w:color w:val="auto"/>
              </w:rPr>
            </w:pPr>
          </w:p>
        </w:tc>
        <w:tc>
          <w:tcPr>
            <w:tcW w:w="128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16"/>
        </w:trPr>
        <w:tc>
          <w:tcPr>
            <w:tcW w:w="2840" w:type="dxa"/>
            <w:vAlign w:val="bottom"/>
            <w:tcBorders>
              <w:top w:val="single" w:sz="8" w:color="auto"/>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24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460" w:type="dxa"/>
            <w:vAlign w:val="bottom"/>
            <w:tcBorders>
              <w:top w:val="single" w:sz="8" w:color="CCEEFF"/>
            </w:tcBorders>
          </w:tcPr>
          <w:p>
            <w:pPr>
              <w:spacing w:after="0"/>
              <w:rPr>
                <w:sz w:val="18"/>
                <w:szCs w:val="18"/>
                <w:color w:val="auto"/>
              </w:rPr>
            </w:pPr>
          </w:p>
        </w:tc>
        <w:tc>
          <w:tcPr>
            <w:tcW w:w="164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2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56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Basic loss per share - continuing operations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(2,591)</w:t>
            </w:r>
          </w:p>
        </w:tc>
        <w:tc>
          <w:tcPr>
            <w:tcW w:w="16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8,736,096</w:t>
            </w:r>
          </w:p>
        </w:tc>
        <w:tc>
          <w:tcPr>
            <w:tcW w:w="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(0.30)</w:t>
            </w:r>
          </w:p>
        </w:tc>
      </w:tr>
      <w:tr>
        <w:trPr>
          <w:trHeight w:val="216"/>
        </w:trPr>
        <w:tc>
          <w:tcPr>
            <w:tcW w:w="5660" w:type="dxa"/>
            <w:vAlign w:val="bottom"/>
            <w:gridSpan w:val="3"/>
          </w:tcPr>
          <w:p>
            <w:pPr>
              <w:spacing w:after="0"/>
              <w:rPr>
                <w:sz w:val="20"/>
                <w:szCs w:val="20"/>
                <w:color w:val="auto"/>
              </w:rPr>
            </w:pPr>
            <w:r>
              <w:rPr>
                <w:rFonts w:ascii="Arial" w:cs="Arial" w:eastAsia="Arial" w:hAnsi="Arial"/>
                <w:sz w:val="18"/>
                <w:szCs w:val="18"/>
                <w:color w:val="auto"/>
              </w:rPr>
              <w:t>Add effect of dilutive securities:</w:t>
            </w:r>
          </w:p>
        </w:tc>
        <w:tc>
          <w:tcPr>
            <w:tcW w:w="2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660" w:type="dxa"/>
            <w:vAlign w:val="bottom"/>
            <w:tcBorders>
              <w:bottom w:val="single" w:sz="8" w:color="CCEEFF"/>
            </w:tcBorders>
            <w:gridSpan w:val="3"/>
            <w:shd w:val="clear" w:color="auto" w:fill="CCEEFF"/>
          </w:tcPr>
          <w:p>
            <w:pPr>
              <w:ind w:left="180"/>
              <w:spacing w:after="0"/>
              <w:rPr>
                <w:sz w:val="20"/>
                <w:szCs w:val="20"/>
                <w:color w:val="auto"/>
              </w:rPr>
            </w:pPr>
            <w:r>
              <w:rPr>
                <w:rFonts w:ascii="Arial" w:cs="Arial" w:eastAsia="Arial" w:hAnsi="Arial"/>
                <w:sz w:val="18"/>
                <w:szCs w:val="18"/>
                <w:color w:val="auto"/>
              </w:rPr>
              <w:t>Restricted shares*</w:t>
            </w:r>
          </w:p>
        </w:tc>
        <w:tc>
          <w:tcPr>
            <w:tcW w:w="22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5660" w:type="dxa"/>
            <w:vAlign w:val="bottom"/>
            <w:gridSpan w:val="3"/>
          </w:tcPr>
          <w:p>
            <w:pPr>
              <w:spacing w:after="0"/>
              <w:rPr>
                <w:sz w:val="20"/>
                <w:szCs w:val="20"/>
                <w:color w:val="auto"/>
              </w:rPr>
            </w:pPr>
            <w:r>
              <w:rPr>
                <w:rFonts w:ascii="Arial" w:cs="Arial" w:eastAsia="Arial" w:hAnsi="Arial"/>
                <w:sz w:val="18"/>
                <w:szCs w:val="18"/>
                <w:color w:val="auto"/>
              </w:rPr>
              <w:t>Diluted loss per share - continuing operations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(2,591)</w:t>
            </w: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8,736,096</w:t>
            </w:r>
          </w:p>
        </w:tc>
        <w:tc>
          <w:tcPr>
            <w:tcW w:w="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40"/>
              <w:spacing w:after="0"/>
              <w:rPr>
                <w:sz w:val="20"/>
                <w:szCs w:val="20"/>
                <w:color w:val="auto"/>
              </w:rPr>
            </w:pPr>
            <w:r>
              <w:rPr>
                <w:rFonts w:ascii="Arial" w:cs="Arial" w:eastAsia="Arial" w:hAnsi="Arial"/>
                <w:sz w:val="18"/>
                <w:szCs w:val="18"/>
                <w:color w:val="auto"/>
              </w:rPr>
              <w:t>(0.30)</w:t>
            </w:r>
          </w:p>
        </w:tc>
      </w:tr>
      <w:tr>
        <w:trPr>
          <w:trHeight w:val="20"/>
        </w:trPr>
        <w:tc>
          <w:tcPr>
            <w:tcW w:w="28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28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4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28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6"/>
        </w:trPr>
        <w:tc>
          <w:tcPr>
            <w:tcW w:w="5660" w:type="dxa"/>
            <w:vAlign w:val="bottom"/>
            <w:gridSpan w:val="3"/>
            <w:shd w:val="clear" w:color="auto" w:fill="CCEEFF"/>
          </w:tcPr>
          <w:p>
            <w:pPr>
              <w:spacing w:after="0" w:line="176" w:lineRule="exact"/>
              <w:rPr>
                <w:sz w:val="20"/>
                <w:szCs w:val="20"/>
                <w:color w:val="auto"/>
              </w:rPr>
            </w:pPr>
            <w:r>
              <w:rPr>
                <w:rFonts w:ascii="Arial" w:cs="Arial" w:eastAsia="Arial" w:hAnsi="Arial"/>
                <w:sz w:val="18"/>
                <w:szCs w:val="18"/>
                <w:color w:val="auto"/>
              </w:rPr>
              <w:t>For the quarter ended August 27, 2022:</w:t>
            </w:r>
          </w:p>
        </w:tc>
        <w:tc>
          <w:tcPr>
            <w:tcW w:w="22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2840" w:type="dxa"/>
            <w:vAlign w:val="bottom"/>
            <w:tcBorders>
              <w:top w:val="single" w:sz="8" w:color="auto"/>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24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460" w:type="dxa"/>
            <w:vAlign w:val="bottom"/>
            <w:tcBorders>
              <w:top w:val="single" w:sz="8" w:color="CCEEFF"/>
            </w:tcBorders>
          </w:tcPr>
          <w:p>
            <w:pPr>
              <w:spacing w:after="0"/>
              <w:rPr>
                <w:sz w:val="18"/>
                <w:szCs w:val="18"/>
                <w:color w:val="auto"/>
              </w:rPr>
            </w:pPr>
          </w:p>
        </w:tc>
        <w:tc>
          <w:tcPr>
            <w:tcW w:w="164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2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56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Basic earnings per share - continuing operations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7,773</w:t>
            </w:r>
          </w:p>
        </w:tc>
        <w:tc>
          <w:tcPr>
            <w:tcW w:w="16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9,238,185</w:t>
            </w:r>
          </w:p>
        </w:tc>
        <w:tc>
          <w:tcPr>
            <w:tcW w:w="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0.84</w:t>
            </w:r>
          </w:p>
        </w:tc>
        <w:tc>
          <w:tcPr>
            <w:tcW w:w="100" w:type="dxa"/>
            <w:vAlign w:val="bottom"/>
            <w:shd w:val="clear" w:color="auto" w:fill="CCEEFF"/>
          </w:tcPr>
          <w:p>
            <w:pPr>
              <w:spacing w:after="0"/>
              <w:rPr>
                <w:sz w:val="18"/>
                <w:szCs w:val="18"/>
                <w:color w:val="auto"/>
              </w:rPr>
            </w:pPr>
          </w:p>
        </w:tc>
      </w:tr>
      <w:tr>
        <w:trPr>
          <w:trHeight w:val="216"/>
        </w:trPr>
        <w:tc>
          <w:tcPr>
            <w:tcW w:w="5660" w:type="dxa"/>
            <w:vAlign w:val="bottom"/>
            <w:gridSpan w:val="3"/>
          </w:tcPr>
          <w:p>
            <w:pPr>
              <w:spacing w:after="0"/>
              <w:rPr>
                <w:sz w:val="20"/>
                <w:szCs w:val="20"/>
                <w:color w:val="auto"/>
              </w:rPr>
            </w:pPr>
            <w:r>
              <w:rPr>
                <w:rFonts w:ascii="Arial" w:cs="Arial" w:eastAsia="Arial" w:hAnsi="Arial"/>
                <w:sz w:val="18"/>
                <w:szCs w:val="18"/>
                <w:color w:val="auto"/>
              </w:rPr>
              <w:t>Add effect of dilutive securities:</w:t>
            </w:r>
          </w:p>
        </w:tc>
        <w:tc>
          <w:tcPr>
            <w:tcW w:w="2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660" w:type="dxa"/>
            <w:vAlign w:val="bottom"/>
            <w:tcBorders>
              <w:bottom w:val="single" w:sz="8" w:color="CCEEFF"/>
            </w:tcBorders>
            <w:gridSpan w:val="3"/>
            <w:shd w:val="clear" w:color="auto" w:fill="CCEEFF"/>
          </w:tcPr>
          <w:p>
            <w:pPr>
              <w:ind w:left="180"/>
              <w:spacing w:after="0"/>
              <w:rPr>
                <w:sz w:val="20"/>
                <w:szCs w:val="20"/>
                <w:color w:val="auto"/>
              </w:rPr>
            </w:pPr>
            <w:r>
              <w:rPr>
                <w:rFonts w:ascii="Arial" w:cs="Arial" w:eastAsia="Arial" w:hAnsi="Arial"/>
                <w:sz w:val="18"/>
                <w:szCs w:val="18"/>
                <w:color w:val="auto"/>
              </w:rPr>
              <w:t>Options and restricted shares</w:t>
            </w:r>
          </w:p>
        </w:tc>
        <w:tc>
          <w:tcPr>
            <w:tcW w:w="22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28,927</w:t>
            </w:r>
          </w:p>
        </w:tc>
        <w:tc>
          <w:tcPr>
            <w:tcW w:w="32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5660" w:type="dxa"/>
            <w:vAlign w:val="bottom"/>
            <w:gridSpan w:val="3"/>
          </w:tcPr>
          <w:p>
            <w:pPr>
              <w:spacing w:after="0"/>
              <w:rPr>
                <w:sz w:val="20"/>
                <w:szCs w:val="20"/>
                <w:color w:val="auto"/>
              </w:rPr>
            </w:pPr>
            <w:r>
              <w:rPr>
                <w:rFonts w:ascii="Arial" w:cs="Arial" w:eastAsia="Arial" w:hAnsi="Arial"/>
                <w:sz w:val="18"/>
                <w:szCs w:val="18"/>
                <w:color w:val="auto"/>
              </w:rPr>
              <w:t>Diluted earnings per share - continuing operations</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7,773</w:t>
            </w:r>
          </w:p>
        </w:tc>
        <w:tc>
          <w:tcPr>
            <w:tcW w:w="16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9,267,112</w:t>
            </w:r>
          </w:p>
        </w:tc>
        <w:tc>
          <w:tcPr>
            <w:tcW w:w="3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0.84</w:t>
            </w:r>
          </w:p>
        </w:tc>
        <w:tc>
          <w:tcPr>
            <w:tcW w:w="100" w:type="dxa"/>
            <w:vAlign w:val="bottom"/>
          </w:tcPr>
          <w:p>
            <w:pPr>
              <w:spacing w:after="0"/>
              <w:rPr>
                <w:sz w:val="18"/>
                <w:szCs w:val="18"/>
                <w:color w:val="auto"/>
              </w:rPr>
            </w:pPr>
          </w:p>
        </w:tc>
      </w:tr>
      <w:tr>
        <w:trPr>
          <w:trHeight w:val="20"/>
        </w:trPr>
        <w:tc>
          <w:tcPr>
            <w:tcW w:w="28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28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4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5660" w:type="dxa"/>
            <w:vAlign w:val="bottom"/>
            <w:gridSpan w:val="3"/>
          </w:tcPr>
          <w:p>
            <w:pPr>
              <w:spacing w:after="0"/>
              <w:rPr>
                <w:sz w:val="20"/>
                <w:szCs w:val="20"/>
                <w:color w:val="auto"/>
              </w:rPr>
            </w:pPr>
            <w:r>
              <w:rPr>
                <w:rFonts w:ascii="Arial" w:cs="Arial" w:eastAsia="Arial" w:hAnsi="Arial"/>
                <w:sz w:val="18"/>
                <w:szCs w:val="18"/>
                <w:color w:val="auto"/>
              </w:rPr>
              <w:t>Basic loss per share - discontinued operations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(145)</w:t>
            </w: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9,238,185</w:t>
            </w:r>
          </w:p>
        </w:tc>
        <w:tc>
          <w:tcPr>
            <w:tcW w:w="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40"/>
              <w:spacing w:after="0"/>
              <w:rPr>
                <w:sz w:val="20"/>
                <w:szCs w:val="20"/>
                <w:color w:val="auto"/>
              </w:rPr>
            </w:pPr>
            <w:r>
              <w:rPr>
                <w:rFonts w:ascii="Arial" w:cs="Arial" w:eastAsia="Arial" w:hAnsi="Arial"/>
                <w:sz w:val="18"/>
                <w:szCs w:val="18"/>
                <w:color w:val="auto"/>
              </w:rPr>
              <w:t>(0.02)</w:t>
            </w:r>
          </w:p>
        </w:tc>
      </w:tr>
      <w:tr>
        <w:trPr>
          <w:trHeight w:val="216"/>
        </w:trPr>
        <w:tc>
          <w:tcPr>
            <w:tcW w:w="56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Add effect of dilutive securities:</w:t>
            </w:r>
          </w:p>
        </w:tc>
        <w:tc>
          <w:tcPr>
            <w:tcW w:w="2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660" w:type="dxa"/>
            <w:vAlign w:val="bottom"/>
            <w:gridSpan w:val="3"/>
          </w:tcPr>
          <w:p>
            <w:pPr>
              <w:ind w:left="180"/>
              <w:spacing w:after="0"/>
              <w:rPr>
                <w:sz w:val="20"/>
                <w:szCs w:val="20"/>
                <w:color w:val="auto"/>
              </w:rPr>
            </w:pPr>
            <w:r>
              <w:rPr>
                <w:rFonts w:ascii="Arial" w:cs="Arial" w:eastAsia="Arial" w:hAnsi="Arial"/>
                <w:sz w:val="18"/>
                <w:szCs w:val="18"/>
                <w:color w:val="auto"/>
              </w:rPr>
              <w:t>Options and restricted shares*</w:t>
            </w:r>
          </w:p>
        </w:tc>
        <w:tc>
          <w:tcPr>
            <w:tcW w:w="2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50"/>
        </w:trPr>
        <w:tc>
          <w:tcPr>
            <w:tcW w:w="56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Diluted loss per share - discontinued operations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(145)</w:t>
            </w:r>
          </w:p>
        </w:tc>
        <w:tc>
          <w:tcPr>
            <w:tcW w:w="16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9,238,185</w:t>
            </w:r>
          </w:p>
        </w:tc>
        <w:tc>
          <w:tcPr>
            <w:tcW w:w="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(0.02)</w:t>
            </w:r>
          </w:p>
        </w:tc>
      </w:tr>
      <w:tr>
        <w:trPr>
          <w:trHeight w:val="196"/>
        </w:trPr>
        <w:tc>
          <w:tcPr>
            <w:tcW w:w="2840" w:type="dxa"/>
            <w:vAlign w:val="bottom"/>
            <w:tcBorders>
              <w:top w:val="single" w:sz="8" w:color="CCEEFF"/>
            </w:tcBorders>
          </w:tcPr>
          <w:p>
            <w:pPr>
              <w:spacing w:after="0"/>
              <w:rPr>
                <w:sz w:val="17"/>
                <w:szCs w:val="17"/>
                <w:color w:val="auto"/>
              </w:rPr>
            </w:pPr>
          </w:p>
        </w:tc>
        <w:tc>
          <w:tcPr>
            <w:tcW w:w="380" w:type="dxa"/>
            <w:vAlign w:val="bottom"/>
            <w:tcBorders>
              <w:top w:val="single" w:sz="8" w:color="CCEEFF"/>
            </w:tcBorders>
          </w:tcPr>
          <w:p>
            <w:pPr>
              <w:spacing w:after="0"/>
              <w:rPr>
                <w:sz w:val="17"/>
                <w:szCs w:val="17"/>
                <w:color w:val="auto"/>
              </w:rPr>
            </w:pPr>
          </w:p>
        </w:tc>
        <w:tc>
          <w:tcPr>
            <w:tcW w:w="244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460" w:type="dxa"/>
            <w:vAlign w:val="bottom"/>
            <w:tcBorders>
              <w:top w:val="single" w:sz="8" w:color="auto"/>
            </w:tcBorders>
          </w:tcPr>
          <w:p>
            <w:pPr>
              <w:spacing w:after="0"/>
              <w:rPr>
                <w:sz w:val="17"/>
                <w:szCs w:val="17"/>
                <w:color w:val="auto"/>
              </w:rPr>
            </w:pPr>
          </w:p>
        </w:tc>
        <w:tc>
          <w:tcPr>
            <w:tcW w:w="164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16"/>
        </w:trPr>
        <w:tc>
          <w:tcPr>
            <w:tcW w:w="28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175"/>
        </w:trPr>
        <w:tc>
          <w:tcPr>
            <w:tcW w:w="5660" w:type="dxa"/>
            <w:vAlign w:val="bottom"/>
            <w:gridSpan w:val="3"/>
          </w:tcPr>
          <w:p>
            <w:pPr>
              <w:spacing w:after="0" w:line="176" w:lineRule="exact"/>
              <w:rPr>
                <w:sz w:val="20"/>
                <w:szCs w:val="20"/>
                <w:color w:val="auto"/>
              </w:rPr>
            </w:pPr>
            <w:r>
              <w:rPr>
                <w:rFonts w:ascii="Arial" w:cs="Arial" w:eastAsia="Arial" w:hAnsi="Arial"/>
                <w:sz w:val="18"/>
                <w:szCs w:val="18"/>
                <w:color w:val="auto"/>
              </w:rPr>
              <w:t>For the nine months ended August 26, 2023:</w:t>
            </w:r>
          </w:p>
        </w:tc>
        <w:tc>
          <w:tcPr>
            <w:tcW w:w="2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0"/>
        </w:trPr>
        <w:tc>
          <w:tcPr>
            <w:tcW w:w="2840" w:type="dxa"/>
            <w:vAlign w:val="bottom"/>
            <w:tcBorders>
              <w:top w:val="single" w:sz="8" w:color="auto"/>
            </w:tcBorders>
          </w:tcPr>
          <w:p>
            <w:pPr>
              <w:spacing w:after="0" w:line="20" w:lineRule="exact"/>
              <w:rPr>
                <w:sz w:val="1"/>
                <w:szCs w:val="1"/>
                <w:color w:val="auto"/>
              </w:rPr>
            </w:pPr>
          </w:p>
        </w:tc>
        <w:tc>
          <w:tcPr>
            <w:tcW w:w="380" w:type="dxa"/>
            <w:vAlign w:val="bottom"/>
            <w:tcBorders>
              <w:top w:val="single" w:sz="8" w:color="auto"/>
            </w:tcBorders>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28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660" w:type="dxa"/>
            <w:vAlign w:val="bottom"/>
            <w:gridSpan w:val="3"/>
          </w:tcPr>
          <w:p>
            <w:pPr>
              <w:spacing w:after="0"/>
              <w:rPr>
                <w:sz w:val="20"/>
                <w:szCs w:val="20"/>
                <w:color w:val="auto"/>
              </w:rPr>
            </w:pPr>
            <w:r>
              <w:rPr>
                <w:rFonts w:ascii="Arial" w:cs="Arial" w:eastAsia="Arial" w:hAnsi="Arial"/>
                <w:sz w:val="18"/>
                <w:szCs w:val="18"/>
                <w:color w:val="auto"/>
              </w:rPr>
              <w:t>Basic earnings per share - continuing operations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460" w:type="dxa"/>
            <w:vAlign w:val="bottom"/>
          </w:tcPr>
          <w:p>
            <w:pPr>
              <w:jc w:val="right"/>
              <w:ind w:right="90"/>
              <w:spacing w:after="0"/>
              <w:rPr>
                <w:sz w:val="20"/>
                <w:szCs w:val="20"/>
                <w:color w:val="auto"/>
              </w:rPr>
            </w:pPr>
            <w:r>
              <w:rPr>
                <w:rFonts w:ascii="Arial" w:cs="Arial" w:eastAsia="Arial" w:hAnsi="Arial"/>
                <w:sz w:val="18"/>
                <w:szCs w:val="18"/>
                <w:color w:val="auto"/>
              </w:rPr>
              <w:t>930</w:t>
            </w: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8,804,718</w:t>
            </w:r>
          </w:p>
        </w:tc>
        <w:tc>
          <w:tcPr>
            <w:tcW w:w="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0.11</w:t>
            </w:r>
          </w:p>
        </w:tc>
        <w:tc>
          <w:tcPr>
            <w:tcW w:w="100" w:type="dxa"/>
            <w:vAlign w:val="bottom"/>
          </w:tcPr>
          <w:p>
            <w:pPr>
              <w:spacing w:after="0"/>
              <w:rPr>
                <w:sz w:val="18"/>
                <w:szCs w:val="18"/>
                <w:color w:val="auto"/>
              </w:rPr>
            </w:pPr>
          </w:p>
        </w:tc>
      </w:tr>
      <w:tr>
        <w:trPr>
          <w:trHeight w:val="216"/>
        </w:trPr>
        <w:tc>
          <w:tcPr>
            <w:tcW w:w="56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Add effect of dilutive securities:</w:t>
            </w:r>
          </w:p>
        </w:tc>
        <w:tc>
          <w:tcPr>
            <w:tcW w:w="2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660" w:type="dxa"/>
            <w:vAlign w:val="bottom"/>
            <w:gridSpan w:val="3"/>
          </w:tcPr>
          <w:p>
            <w:pPr>
              <w:ind w:left="180"/>
              <w:spacing w:after="0"/>
              <w:rPr>
                <w:sz w:val="20"/>
                <w:szCs w:val="20"/>
                <w:color w:val="auto"/>
              </w:rPr>
            </w:pPr>
            <w:r>
              <w:rPr>
                <w:rFonts w:ascii="Arial" w:cs="Arial" w:eastAsia="Arial" w:hAnsi="Arial"/>
                <w:sz w:val="18"/>
                <w:szCs w:val="18"/>
                <w:color w:val="auto"/>
              </w:rPr>
              <w:t>Restricted shares</w:t>
            </w:r>
          </w:p>
        </w:tc>
        <w:tc>
          <w:tcPr>
            <w:tcW w:w="2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15,934</w:t>
            </w:r>
          </w:p>
        </w:tc>
        <w:tc>
          <w:tcPr>
            <w:tcW w:w="3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49"/>
        </w:trPr>
        <w:tc>
          <w:tcPr>
            <w:tcW w:w="56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Diluted earnings per share - continuing operations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930</w:t>
            </w:r>
          </w:p>
        </w:tc>
        <w:tc>
          <w:tcPr>
            <w:tcW w:w="16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8,820,652</w:t>
            </w:r>
          </w:p>
        </w:tc>
        <w:tc>
          <w:tcPr>
            <w:tcW w:w="3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0.11</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197"/>
        </w:trPr>
        <w:tc>
          <w:tcPr>
            <w:tcW w:w="28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28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175"/>
        </w:trPr>
        <w:tc>
          <w:tcPr>
            <w:tcW w:w="5660" w:type="dxa"/>
            <w:vAlign w:val="bottom"/>
            <w:gridSpan w:val="3"/>
          </w:tcPr>
          <w:p>
            <w:pPr>
              <w:spacing w:after="0" w:line="176" w:lineRule="exact"/>
              <w:rPr>
                <w:sz w:val="20"/>
                <w:szCs w:val="20"/>
                <w:color w:val="auto"/>
              </w:rPr>
            </w:pPr>
            <w:r>
              <w:rPr>
                <w:rFonts w:ascii="Arial" w:cs="Arial" w:eastAsia="Arial" w:hAnsi="Arial"/>
                <w:sz w:val="18"/>
                <w:szCs w:val="18"/>
                <w:color w:val="auto"/>
              </w:rPr>
              <w:t>For the nine months ended August 27, 2022:</w:t>
            </w:r>
          </w:p>
        </w:tc>
        <w:tc>
          <w:tcPr>
            <w:tcW w:w="2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1"/>
        </w:trPr>
        <w:tc>
          <w:tcPr>
            <w:tcW w:w="2840" w:type="dxa"/>
            <w:vAlign w:val="bottom"/>
            <w:tcBorders>
              <w:top w:val="single" w:sz="8" w:color="auto"/>
            </w:tcBorders>
          </w:tcPr>
          <w:p>
            <w:pPr>
              <w:spacing w:after="0" w:line="20" w:lineRule="exact"/>
              <w:rPr>
                <w:sz w:val="1"/>
                <w:szCs w:val="1"/>
                <w:color w:val="auto"/>
              </w:rPr>
            </w:pPr>
          </w:p>
        </w:tc>
        <w:tc>
          <w:tcPr>
            <w:tcW w:w="380" w:type="dxa"/>
            <w:vAlign w:val="bottom"/>
            <w:tcBorders>
              <w:top w:val="single" w:sz="8" w:color="auto"/>
            </w:tcBorders>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28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660" w:type="dxa"/>
            <w:vAlign w:val="bottom"/>
            <w:gridSpan w:val="3"/>
          </w:tcPr>
          <w:p>
            <w:pPr>
              <w:spacing w:after="0"/>
              <w:rPr>
                <w:sz w:val="20"/>
                <w:szCs w:val="20"/>
                <w:color w:val="auto"/>
              </w:rPr>
            </w:pPr>
            <w:r>
              <w:rPr>
                <w:rFonts w:ascii="Arial" w:cs="Arial" w:eastAsia="Arial" w:hAnsi="Arial"/>
                <w:sz w:val="18"/>
                <w:szCs w:val="18"/>
                <w:color w:val="auto"/>
              </w:rPr>
              <w:t>Basic earnings per share - continuing operations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460" w:type="dxa"/>
            <w:vAlign w:val="bottom"/>
          </w:tcPr>
          <w:p>
            <w:pPr>
              <w:jc w:val="right"/>
              <w:ind w:right="90"/>
              <w:spacing w:after="0"/>
              <w:rPr>
                <w:sz w:val="20"/>
                <w:szCs w:val="20"/>
                <w:color w:val="auto"/>
              </w:rPr>
            </w:pPr>
            <w:r>
              <w:rPr>
                <w:rFonts w:ascii="Arial" w:cs="Arial" w:eastAsia="Arial" w:hAnsi="Arial"/>
                <w:sz w:val="18"/>
                <w:szCs w:val="18"/>
                <w:color w:val="auto"/>
              </w:rPr>
              <w:t>19,807</w:t>
            </w: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9,503,937</w:t>
            </w:r>
          </w:p>
        </w:tc>
        <w:tc>
          <w:tcPr>
            <w:tcW w:w="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2.08</w:t>
            </w:r>
          </w:p>
        </w:tc>
        <w:tc>
          <w:tcPr>
            <w:tcW w:w="100" w:type="dxa"/>
            <w:vAlign w:val="bottom"/>
          </w:tcPr>
          <w:p>
            <w:pPr>
              <w:spacing w:after="0"/>
              <w:rPr>
                <w:sz w:val="18"/>
                <w:szCs w:val="18"/>
                <w:color w:val="auto"/>
              </w:rPr>
            </w:pPr>
          </w:p>
        </w:tc>
      </w:tr>
      <w:tr>
        <w:trPr>
          <w:trHeight w:val="216"/>
        </w:trPr>
        <w:tc>
          <w:tcPr>
            <w:tcW w:w="56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Add effect of dilutive securities:</w:t>
            </w:r>
          </w:p>
        </w:tc>
        <w:tc>
          <w:tcPr>
            <w:tcW w:w="2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660" w:type="dxa"/>
            <w:vAlign w:val="bottom"/>
            <w:gridSpan w:val="3"/>
          </w:tcPr>
          <w:p>
            <w:pPr>
              <w:ind w:left="180"/>
              <w:spacing w:after="0"/>
              <w:rPr>
                <w:sz w:val="20"/>
                <w:szCs w:val="20"/>
                <w:color w:val="auto"/>
              </w:rPr>
            </w:pPr>
            <w:r>
              <w:rPr>
                <w:rFonts w:ascii="Arial" w:cs="Arial" w:eastAsia="Arial" w:hAnsi="Arial"/>
                <w:sz w:val="18"/>
                <w:szCs w:val="18"/>
                <w:color w:val="auto"/>
              </w:rPr>
              <w:t>Options and restricted shares</w:t>
            </w:r>
          </w:p>
        </w:tc>
        <w:tc>
          <w:tcPr>
            <w:tcW w:w="2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5,688</w:t>
            </w:r>
          </w:p>
        </w:tc>
        <w:tc>
          <w:tcPr>
            <w:tcW w:w="3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50"/>
        </w:trPr>
        <w:tc>
          <w:tcPr>
            <w:tcW w:w="56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Diluted earnings per share - continuing operations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19,807</w:t>
            </w:r>
          </w:p>
        </w:tc>
        <w:tc>
          <w:tcPr>
            <w:tcW w:w="16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9,509,625</w:t>
            </w:r>
          </w:p>
        </w:tc>
        <w:tc>
          <w:tcPr>
            <w:tcW w:w="3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196"/>
        </w:trPr>
        <w:tc>
          <w:tcPr>
            <w:tcW w:w="28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56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Basic earnings per share - discontinued operations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40,512</w:t>
            </w:r>
          </w:p>
        </w:tc>
        <w:tc>
          <w:tcPr>
            <w:tcW w:w="16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9,503,937</w:t>
            </w:r>
          </w:p>
        </w:tc>
        <w:tc>
          <w:tcPr>
            <w:tcW w:w="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w:t>
            </w:r>
          </w:p>
        </w:tc>
        <w:tc>
          <w:tcPr>
            <w:tcW w:w="100" w:type="dxa"/>
            <w:vAlign w:val="bottom"/>
            <w:shd w:val="clear" w:color="auto" w:fill="CCEEFF"/>
          </w:tcPr>
          <w:p>
            <w:pPr>
              <w:spacing w:after="0"/>
              <w:rPr>
                <w:sz w:val="18"/>
                <w:szCs w:val="18"/>
                <w:color w:val="auto"/>
              </w:rPr>
            </w:pPr>
          </w:p>
        </w:tc>
      </w:tr>
      <w:tr>
        <w:trPr>
          <w:trHeight w:val="216"/>
        </w:trPr>
        <w:tc>
          <w:tcPr>
            <w:tcW w:w="5660" w:type="dxa"/>
            <w:vAlign w:val="bottom"/>
            <w:gridSpan w:val="3"/>
          </w:tcPr>
          <w:p>
            <w:pPr>
              <w:spacing w:after="0"/>
              <w:rPr>
                <w:sz w:val="20"/>
                <w:szCs w:val="20"/>
                <w:color w:val="auto"/>
              </w:rPr>
            </w:pPr>
            <w:r>
              <w:rPr>
                <w:rFonts w:ascii="Arial" w:cs="Arial" w:eastAsia="Arial" w:hAnsi="Arial"/>
                <w:sz w:val="18"/>
                <w:szCs w:val="18"/>
                <w:color w:val="auto"/>
              </w:rPr>
              <w:t>Add effect of dilutive securities:</w:t>
            </w:r>
          </w:p>
        </w:tc>
        <w:tc>
          <w:tcPr>
            <w:tcW w:w="2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660" w:type="dxa"/>
            <w:vAlign w:val="bottom"/>
            <w:tcBorders>
              <w:bottom w:val="single" w:sz="8" w:color="CCEEFF"/>
            </w:tcBorders>
            <w:gridSpan w:val="3"/>
            <w:shd w:val="clear" w:color="auto" w:fill="CCEEFF"/>
          </w:tcPr>
          <w:p>
            <w:pPr>
              <w:ind w:left="180"/>
              <w:spacing w:after="0"/>
              <w:rPr>
                <w:sz w:val="20"/>
                <w:szCs w:val="20"/>
                <w:color w:val="auto"/>
              </w:rPr>
            </w:pPr>
            <w:r>
              <w:rPr>
                <w:rFonts w:ascii="Arial" w:cs="Arial" w:eastAsia="Arial" w:hAnsi="Arial"/>
                <w:sz w:val="18"/>
                <w:szCs w:val="18"/>
                <w:color w:val="auto"/>
              </w:rPr>
              <w:t>Options and restricted shares</w:t>
            </w:r>
          </w:p>
        </w:tc>
        <w:tc>
          <w:tcPr>
            <w:tcW w:w="22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5,688</w:t>
            </w:r>
          </w:p>
        </w:tc>
        <w:tc>
          <w:tcPr>
            <w:tcW w:w="32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5660" w:type="dxa"/>
            <w:vAlign w:val="bottom"/>
            <w:gridSpan w:val="3"/>
          </w:tcPr>
          <w:p>
            <w:pPr>
              <w:spacing w:after="0"/>
              <w:rPr>
                <w:sz w:val="20"/>
                <w:szCs w:val="20"/>
                <w:color w:val="auto"/>
              </w:rPr>
            </w:pPr>
            <w:r>
              <w:rPr>
                <w:rFonts w:ascii="Arial" w:cs="Arial" w:eastAsia="Arial" w:hAnsi="Arial"/>
                <w:sz w:val="18"/>
                <w:szCs w:val="18"/>
                <w:color w:val="auto"/>
              </w:rPr>
              <w:t>Diluted earnings per share - discontinued operations</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40,512</w:t>
            </w:r>
          </w:p>
        </w:tc>
        <w:tc>
          <w:tcPr>
            <w:tcW w:w="16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9,509,625</w:t>
            </w:r>
          </w:p>
        </w:tc>
        <w:tc>
          <w:tcPr>
            <w:tcW w:w="3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4.26</w:t>
            </w:r>
          </w:p>
        </w:tc>
        <w:tc>
          <w:tcPr>
            <w:tcW w:w="100" w:type="dxa"/>
            <w:vAlign w:val="bottom"/>
          </w:tcPr>
          <w:p>
            <w:pPr>
              <w:spacing w:after="0"/>
              <w:rPr>
                <w:sz w:val="18"/>
                <w:szCs w:val="18"/>
                <w:color w:val="auto"/>
              </w:rPr>
            </w:pPr>
          </w:p>
        </w:tc>
      </w:tr>
      <w:tr>
        <w:trPr>
          <w:trHeight w:val="20"/>
        </w:trPr>
        <w:tc>
          <w:tcPr>
            <w:tcW w:w="28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left="5320" w:right="1840" w:hanging="5315"/>
        <w:spacing w:after="0" w:line="527" w:lineRule="auto"/>
        <w:rPr>
          <w:sz w:val="20"/>
          <w:szCs w:val="20"/>
          <w:color w:val="auto"/>
        </w:rPr>
      </w:pPr>
      <w:r>
        <w:rPr>
          <w:rFonts w:ascii="Arial" w:cs="Arial" w:eastAsia="Arial" w:hAnsi="Arial"/>
          <w:sz w:val="18"/>
          <w:szCs w:val="18"/>
          <w:color w:val="auto"/>
        </w:rPr>
        <w:t>*Due to the net loss for the period, potentially dilutive securities would have been anti-dilutive and are therefore excluded. 16 of 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-87630</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680"/>
          </w:cols>
          <w:pgMar w:left="320" w:top="125" w:right="899" w:bottom="1440" w:gutter="0" w:footer="0" w:header="0"/>
        </w:sectPr>
      </w:pPr>
    </w:p>
    <w:bookmarkStart w:id="16" w:name="page17"/>
    <w:bookmarkEnd w:id="16"/>
    <w:p>
      <w:pPr>
        <w:jc w:val="center"/>
        <w:ind w:right="80"/>
        <w:spacing w:after="0"/>
        <w:rPr>
          <w:sz w:val="20"/>
          <w:szCs w:val="20"/>
          <w:color w:val="auto"/>
        </w:rPr>
      </w:pPr>
      <w:r>
        <w:rPr>
          <w:rFonts w:ascii="Arial" w:cs="Arial" w:eastAsia="Arial" w:hAnsi="Arial"/>
          <w:sz w:val="18"/>
          <w:szCs w:val="18"/>
          <w:u w:val="single" w:color="auto"/>
          <w:color w:val="auto"/>
        </w:rPr>
        <w:t>PART I-FINANCIAL INFORMATION-CONTINUED</w:t>
      </w:r>
    </w:p>
    <w:p>
      <w:pPr>
        <w:spacing w:after="0" w:line="23" w:lineRule="exact"/>
        <w:rPr>
          <w:sz w:val="20"/>
          <w:szCs w:val="20"/>
          <w:color w:val="auto"/>
        </w:rPr>
      </w:pPr>
    </w:p>
    <w:p>
      <w:pPr>
        <w:jc w:val="center"/>
        <w:ind w:right="80"/>
        <w:spacing w:after="0"/>
        <w:rPr>
          <w:sz w:val="20"/>
          <w:szCs w:val="20"/>
          <w:color w:val="auto"/>
        </w:rPr>
      </w:pPr>
      <w:r>
        <w:rPr>
          <w:rFonts w:ascii="Arial" w:cs="Arial" w:eastAsia="Arial" w:hAnsi="Arial"/>
          <w:sz w:val="18"/>
          <w:szCs w:val="18"/>
          <w:u w:val="single" w:color="auto"/>
          <w:color w:val="auto"/>
        </w:rPr>
        <w:t>BASSETT FURNITURE INDUSTRIES, INCORPORATED AND SUBSIDIARIES</w:t>
      </w:r>
    </w:p>
    <w:p>
      <w:pPr>
        <w:spacing w:after="0" w:line="9" w:lineRule="exact"/>
        <w:rPr>
          <w:sz w:val="20"/>
          <w:szCs w:val="20"/>
          <w:color w:val="auto"/>
        </w:rPr>
      </w:pPr>
    </w:p>
    <w:p>
      <w:pPr>
        <w:jc w:val="center"/>
        <w:ind w:right="80"/>
        <w:spacing w:after="0"/>
        <w:rPr>
          <w:sz w:val="20"/>
          <w:szCs w:val="20"/>
          <w:color w:val="auto"/>
        </w:rPr>
      </w:pPr>
      <w:r>
        <w:rPr>
          <w:rFonts w:ascii="Arial" w:cs="Arial" w:eastAsia="Arial" w:hAnsi="Arial"/>
          <w:sz w:val="18"/>
          <w:szCs w:val="18"/>
          <w:u w:val="single" w:color="auto"/>
          <w:color w:val="auto"/>
        </w:rPr>
        <w:t>NOTES TO CONDENSED CONSOLIDATED FINANCIAL STATEMENTS-UNAUDITED</w:t>
      </w:r>
    </w:p>
    <w:p>
      <w:pPr>
        <w:spacing w:after="0" w:line="9" w:lineRule="exact"/>
        <w:rPr>
          <w:sz w:val="20"/>
          <w:szCs w:val="20"/>
          <w:color w:val="auto"/>
        </w:rPr>
      </w:pPr>
    </w:p>
    <w:p>
      <w:pPr>
        <w:jc w:val="center"/>
        <w:ind w:right="80"/>
        <w:spacing w:after="0"/>
        <w:rPr>
          <w:sz w:val="20"/>
          <w:szCs w:val="20"/>
          <w:color w:val="auto"/>
        </w:rPr>
      </w:pPr>
      <w:r>
        <w:rPr>
          <w:rFonts w:ascii="Arial" w:cs="Arial" w:eastAsia="Arial" w:hAnsi="Arial"/>
          <w:sz w:val="18"/>
          <w:szCs w:val="18"/>
          <w:u w:val="single" w:color="auto"/>
          <w:color w:val="auto"/>
        </w:rPr>
        <w:t>AUGUST 26, 2023</w:t>
      </w:r>
    </w:p>
    <w:p>
      <w:pPr>
        <w:spacing w:after="0" w:line="9" w:lineRule="exact"/>
        <w:rPr>
          <w:sz w:val="20"/>
          <w:szCs w:val="20"/>
          <w:color w:val="auto"/>
        </w:rPr>
      </w:pPr>
    </w:p>
    <w:p>
      <w:pPr>
        <w:jc w:val="center"/>
        <w:ind w:right="80"/>
        <w:spacing w:after="0"/>
        <w:rPr>
          <w:sz w:val="20"/>
          <w:szCs w:val="20"/>
          <w:color w:val="auto"/>
        </w:rPr>
      </w:pPr>
      <w:r>
        <w:rPr>
          <w:rFonts w:ascii="Arial" w:cs="Arial" w:eastAsia="Arial" w:hAnsi="Arial"/>
          <w:sz w:val="18"/>
          <w:szCs w:val="18"/>
          <w:u w:val="single" w:color="auto"/>
          <w:color w:val="auto"/>
        </w:rPr>
        <w:t>(Dollars in thousands except share and per share data)</w:t>
      </w:r>
    </w:p>
    <w:p>
      <w:pPr>
        <w:spacing w:after="0" w:line="200" w:lineRule="exact"/>
        <w:rPr>
          <w:sz w:val="20"/>
          <w:szCs w:val="20"/>
          <w:color w:val="auto"/>
        </w:rPr>
      </w:pPr>
    </w:p>
    <w:p>
      <w:pPr>
        <w:spacing w:after="0" w:line="254"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For the three and nine months ended August 26, 2023 and August 27, 2022, the following potentially dilutive shares were excluded from the computations as their effect was anti-dilutive:</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80" w:type="dxa"/>
            <w:vAlign w:val="bottom"/>
          </w:tcPr>
          <w:p>
            <w:pPr>
              <w:spacing w:after="0"/>
              <w:rPr>
                <w:sz w:val="20"/>
                <w:szCs w:val="20"/>
                <w:color w:val="auto"/>
              </w:rPr>
            </w:pPr>
          </w:p>
        </w:tc>
        <w:tc>
          <w:tcPr>
            <w:tcW w:w="2720" w:type="dxa"/>
            <w:vAlign w:val="bottom"/>
            <w:gridSpan w:val="3"/>
          </w:tcPr>
          <w:p>
            <w:pPr>
              <w:jc w:val="right"/>
              <w:ind w:right="880"/>
              <w:spacing w:after="0"/>
              <w:rPr>
                <w:sz w:val="20"/>
                <w:szCs w:val="20"/>
                <w:color w:val="auto"/>
              </w:rPr>
            </w:pPr>
            <w:r>
              <w:rPr>
                <w:rFonts w:ascii="Arial" w:cs="Arial" w:eastAsia="Arial" w:hAnsi="Arial"/>
                <w:sz w:val="18"/>
                <w:szCs w:val="18"/>
                <w:b w:val="1"/>
                <w:bCs w:val="1"/>
                <w:color w:val="auto"/>
              </w:rPr>
              <w:t>Quarter Ended</w:t>
            </w:r>
          </w:p>
        </w:tc>
        <w:tc>
          <w:tcPr>
            <w:tcW w:w="2540" w:type="dxa"/>
            <w:vAlign w:val="bottom"/>
            <w:gridSpan w:val="3"/>
          </w:tcPr>
          <w:p>
            <w:pPr>
              <w:ind w:left="440"/>
              <w:spacing w:after="0"/>
              <w:rPr>
                <w:sz w:val="20"/>
                <w:szCs w:val="20"/>
                <w:color w:val="auto"/>
              </w:rPr>
            </w:pPr>
            <w:r>
              <w:rPr>
                <w:rFonts w:ascii="Arial" w:cs="Arial" w:eastAsia="Arial" w:hAnsi="Arial"/>
                <w:sz w:val="18"/>
                <w:szCs w:val="18"/>
                <w:b w:val="1"/>
                <w:bCs w:val="1"/>
                <w:color w:val="auto"/>
              </w:rPr>
              <w:t>Nine Months Ended</w:t>
            </w:r>
          </w:p>
        </w:tc>
      </w:tr>
      <w:tr>
        <w:trPr>
          <w:trHeight w:val="191"/>
        </w:trPr>
        <w:tc>
          <w:tcPr>
            <w:tcW w:w="5980" w:type="dxa"/>
            <w:vAlign w:val="bottom"/>
          </w:tcPr>
          <w:p>
            <w:pPr>
              <w:spacing w:after="0"/>
              <w:rPr>
                <w:sz w:val="16"/>
                <w:szCs w:val="16"/>
                <w:color w:val="auto"/>
              </w:rPr>
            </w:pPr>
          </w:p>
        </w:tc>
        <w:tc>
          <w:tcPr>
            <w:tcW w:w="1320" w:type="dxa"/>
            <w:vAlign w:val="bottom"/>
            <w:tcBorders>
              <w:top w:val="single" w:sz="8" w:color="auto"/>
            </w:tcBorders>
          </w:tcPr>
          <w:p>
            <w:pPr>
              <w:jc w:val="center"/>
              <w:ind w:right="90"/>
              <w:spacing w:after="0" w:line="191" w:lineRule="exact"/>
              <w:rPr>
                <w:sz w:val="20"/>
                <w:szCs w:val="20"/>
                <w:color w:val="auto"/>
              </w:rPr>
            </w:pPr>
            <w:r>
              <w:rPr>
                <w:rFonts w:ascii="Arial" w:cs="Arial" w:eastAsia="Arial" w:hAnsi="Arial"/>
                <w:sz w:val="18"/>
                <w:szCs w:val="18"/>
                <w:b w:val="1"/>
                <w:bCs w:val="1"/>
                <w:color w:val="auto"/>
                <w:w w:val="89"/>
              </w:rPr>
              <w:t>August 26,</w:t>
            </w:r>
          </w:p>
        </w:tc>
        <w:tc>
          <w:tcPr>
            <w:tcW w:w="118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89"/>
              </w:rPr>
              <w:t>August 27,</w:t>
            </w:r>
          </w:p>
        </w:tc>
        <w:tc>
          <w:tcPr>
            <w:tcW w:w="220" w:type="dxa"/>
            <w:vAlign w:val="bottom"/>
          </w:tcPr>
          <w:p>
            <w:pPr>
              <w:spacing w:after="0"/>
              <w:rPr>
                <w:sz w:val="16"/>
                <w:szCs w:val="16"/>
                <w:color w:val="auto"/>
              </w:rPr>
            </w:pPr>
          </w:p>
        </w:tc>
        <w:tc>
          <w:tcPr>
            <w:tcW w:w="1280" w:type="dxa"/>
            <w:vAlign w:val="bottom"/>
            <w:tcBorders>
              <w:top w:val="single" w:sz="8" w:color="auto"/>
            </w:tcBorders>
          </w:tcPr>
          <w:p>
            <w:pPr>
              <w:jc w:val="center"/>
              <w:ind w:right="90"/>
              <w:spacing w:after="0" w:line="191" w:lineRule="exact"/>
              <w:rPr>
                <w:sz w:val="20"/>
                <w:szCs w:val="20"/>
                <w:color w:val="auto"/>
              </w:rPr>
            </w:pPr>
            <w:r>
              <w:rPr>
                <w:rFonts w:ascii="Arial" w:cs="Arial" w:eastAsia="Arial" w:hAnsi="Arial"/>
                <w:sz w:val="18"/>
                <w:szCs w:val="18"/>
                <w:b w:val="1"/>
                <w:bCs w:val="1"/>
                <w:color w:val="auto"/>
                <w:w w:val="89"/>
              </w:rPr>
              <w:t>August 26,</w:t>
            </w:r>
          </w:p>
        </w:tc>
        <w:tc>
          <w:tcPr>
            <w:tcW w:w="116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89"/>
              </w:rPr>
              <w:t>August 27,</w:t>
            </w:r>
          </w:p>
        </w:tc>
        <w:tc>
          <w:tcPr>
            <w:tcW w:w="100" w:type="dxa"/>
            <w:vAlign w:val="bottom"/>
          </w:tcPr>
          <w:p>
            <w:pPr>
              <w:spacing w:after="0"/>
              <w:rPr>
                <w:sz w:val="16"/>
                <w:szCs w:val="16"/>
                <w:color w:val="auto"/>
              </w:rPr>
            </w:pPr>
          </w:p>
        </w:tc>
      </w:tr>
      <w:tr>
        <w:trPr>
          <w:trHeight w:val="234"/>
        </w:trPr>
        <w:tc>
          <w:tcPr>
            <w:tcW w:w="5980" w:type="dxa"/>
            <w:vAlign w:val="bottom"/>
          </w:tcPr>
          <w:p>
            <w:pPr>
              <w:spacing w:after="0"/>
              <w:rPr>
                <w:sz w:val="20"/>
                <w:szCs w:val="20"/>
                <w:color w:val="auto"/>
              </w:rPr>
            </w:pPr>
          </w:p>
        </w:tc>
        <w:tc>
          <w:tcPr>
            <w:tcW w:w="132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2023</w:t>
            </w:r>
          </w:p>
        </w:tc>
        <w:tc>
          <w:tcPr>
            <w:tcW w:w="11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20" w:type="dxa"/>
            <w:vAlign w:val="bottom"/>
          </w:tcPr>
          <w:p>
            <w:pPr>
              <w:spacing w:after="0"/>
              <w:rPr>
                <w:sz w:val="20"/>
                <w:szCs w:val="20"/>
                <w:color w:val="auto"/>
              </w:rPr>
            </w:pPr>
          </w:p>
        </w:tc>
        <w:tc>
          <w:tcPr>
            <w:tcW w:w="128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2023</w:t>
            </w:r>
          </w:p>
        </w:tc>
        <w:tc>
          <w:tcPr>
            <w:tcW w:w="11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0"/>
                <w:szCs w:val="20"/>
                <w:color w:val="auto"/>
              </w:rPr>
            </w:pPr>
          </w:p>
        </w:tc>
      </w:tr>
      <w:tr>
        <w:trPr>
          <w:trHeight w:val="210"/>
        </w:trPr>
        <w:tc>
          <w:tcPr>
            <w:tcW w:w="59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Unvested shares</w:t>
            </w:r>
          </w:p>
        </w:tc>
        <w:tc>
          <w:tcPr>
            <w:tcW w:w="1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100,313</w:t>
            </w: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15,799</w:t>
            </w:r>
          </w:p>
        </w:tc>
        <w:tc>
          <w:tcPr>
            <w:tcW w:w="1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66,113</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67,099</w:t>
            </w:r>
          </w:p>
        </w:tc>
      </w:tr>
      <w:tr>
        <w:trPr>
          <w:trHeight w:val="20"/>
        </w:trPr>
        <w:tc>
          <w:tcPr>
            <w:tcW w:w="5980" w:type="dxa"/>
            <w:vAlign w:val="bottom"/>
            <w:tcBorders>
              <w:top w:val="single" w:sz="8" w:color="CCEEFF"/>
            </w:tcBorders>
            <w:shd w:val="clear" w:color="auto" w:fill="CCEEFF"/>
          </w:tcPr>
          <w:p>
            <w:pPr>
              <w:spacing w:after="0" w:line="20" w:lineRule="exact"/>
              <w:rPr>
                <w:sz w:val="1"/>
                <w:szCs w:val="1"/>
                <w:color w:val="auto"/>
              </w:rPr>
            </w:pPr>
          </w:p>
        </w:tc>
        <w:tc>
          <w:tcPr>
            <w:tcW w:w="132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Discontinued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On January 31, 2022, we entered into a definitive agreement to sell substantially all of the assets of Zenith to J.B. Hunt. The sale was completed on</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February 28, 2022. During the second quarter of fiscal 2022, we received the following net proceeds:</w:t>
      </w:r>
    </w:p>
    <w:p>
      <w:pPr>
        <w:spacing w:after="0" w:line="225"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Sales price prior to post-closing working capital adjustment</w:t>
            </w:r>
          </w:p>
        </w:tc>
        <w:tc>
          <w:tcPr>
            <w:tcW w:w="1360" w:type="dxa"/>
            <w:vAlign w:val="bottom"/>
            <w:gridSpan w:val="2"/>
            <w:shd w:val="clear" w:color="auto" w:fill="CCEEFF"/>
          </w:tcPr>
          <w:p>
            <w:pPr>
              <w:jc w:val="right"/>
              <w:ind w:right="37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86,939</w:t>
            </w:r>
          </w:p>
        </w:tc>
      </w:tr>
      <w:tr>
        <w:trPr>
          <w:trHeight w:val="216"/>
        </w:trPr>
        <w:tc>
          <w:tcPr>
            <w:tcW w:w="7120" w:type="dxa"/>
            <w:vAlign w:val="bottom"/>
          </w:tcPr>
          <w:p>
            <w:pPr>
              <w:spacing w:after="0"/>
              <w:rPr>
                <w:sz w:val="20"/>
                <w:szCs w:val="20"/>
                <w:color w:val="auto"/>
              </w:rPr>
            </w:pPr>
            <w:r>
              <w:rPr>
                <w:rFonts w:ascii="Arial" w:cs="Arial" w:eastAsia="Arial" w:hAnsi="Arial"/>
                <w:sz w:val="18"/>
                <w:szCs w:val="18"/>
                <w:color w:val="auto"/>
              </w:rPr>
              <w:t>Less:</w:t>
            </w:r>
          </w:p>
        </w:tc>
        <w:tc>
          <w:tcPr>
            <w:tcW w:w="8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1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Amount held in escrow for contingencies related to representations and warranties (1)</w:t>
            </w:r>
          </w:p>
        </w:tc>
        <w:tc>
          <w:tcPr>
            <w:tcW w:w="8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w:t>
            </w:r>
          </w:p>
        </w:tc>
      </w:tr>
      <w:tr>
        <w:trPr>
          <w:trHeight w:val="216"/>
        </w:trPr>
        <w:tc>
          <w:tcPr>
            <w:tcW w:w="7120" w:type="dxa"/>
            <w:vAlign w:val="bottom"/>
          </w:tcPr>
          <w:p>
            <w:pPr>
              <w:ind w:left="160"/>
              <w:spacing w:after="0"/>
              <w:rPr>
                <w:sz w:val="20"/>
                <w:szCs w:val="20"/>
                <w:color w:val="auto"/>
              </w:rPr>
            </w:pPr>
            <w:r>
              <w:rPr>
                <w:rFonts w:ascii="Arial" w:cs="Arial" w:eastAsia="Arial" w:hAnsi="Arial"/>
                <w:sz w:val="18"/>
                <w:szCs w:val="18"/>
                <w:color w:val="auto"/>
              </w:rPr>
              <w:t>Seller expenses paid at closing</w:t>
            </w:r>
          </w:p>
        </w:tc>
        <w:tc>
          <w:tcPr>
            <w:tcW w:w="8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418</w:t>
            </w:r>
          </w:p>
        </w:tc>
      </w:tr>
      <w:tr>
        <w:trPr>
          <w:trHeight w:val="216"/>
        </w:trPr>
        <w:tc>
          <w:tcPr>
            <w:tcW w:w="71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Working capital adjustment paid to buyer</w:t>
            </w:r>
          </w:p>
        </w:tc>
        <w:tc>
          <w:tcPr>
            <w:tcW w:w="8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987</w:t>
            </w:r>
          </w:p>
        </w:tc>
      </w:tr>
      <w:tr>
        <w:trPr>
          <w:trHeight w:val="210"/>
        </w:trPr>
        <w:tc>
          <w:tcPr>
            <w:tcW w:w="712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36"/>
        </w:trPr>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Net proceeds from the sale</w:t>
            </w:r>
          </w:p>
        </w:tc>
        <w:tc>
          <w:tcPr>
            <w:tcW w:w="800" w:type="dxa"/>
            <w:vAlign w:val="bottom"/>
            <w:shd w:val="clear" w:color="auto" w:fill="CCEEFF"/>
          </w:tcPr>
          <w:p>
            <w:pPr>
              <w:spacing w:after="0"/>
              <w:rPr>
                <w:sz w:val="20"/>
                <w:szCs w:val="20"/>
                <w:color w:val="auto"/>
              </w:rPr>
            </w:pPr>
          </w:p>
        </w:tc>
        <w:tc>
          <w:tcPr>
            <w:tcW w:w="56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84,534</w:t>
            </w:r>
          </w:p>
        </w:tc>
      </w:tr>
      <w:tr>
        <w:trPr>
          <w:trHeight w:val="20"/>
        </w:trPr>
        <w:tc>
          <w:tcPr>
            <w:tcW w:w="712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jc w:val="both"/>
        <w:ind w:left="1300" w:right="80" w:hanging="320"/>
        <w:spacing w:after="0" w:line="263" w:lineRule="auto"/>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This was held in escrow until the first anniversary of the sale, at which time the full amount was released to the Company on March 2, 2023. As of November 26, 2022, this amount is included in other current assets in the accompanying condensed consolidated balance sheets.</w:t>
      </w:r>
    </w:p>
    <w:p>
      <w:pPr>
        <w:spacing w:after="0" w:line="184" w:lineRule="exact"/>
        <w:rPr>
          <w:sz w:val="20"/>
          <w:szCs w:val="20"/>
          <w:color w:val="auto"/>
        </w:rPr>
      </w:pPr>
    </w:p>
    <w:p>
      <w:pPr>
        <w:jc w:val="both"/>
        <w:ind w:right="80"/>
        <w:spacing w:after="0" w:line="263" w:lineRule="auto"/>
        <w:rPr>
          <w:sz w:val="20"/>
          <w:szCs w:val="20"/>
          <w:color w:val="auto"/>
        </w:rPr>
      </w:pPr>
      <w:r>
        <w:rPr>
          <w:rFonts w:ascii="Arial" w:cs="Arial" w:eastAsia="Arial" w:hAnsi="Arial"/>
          <w:sz w:val="18"/>
          <w:szCs w:val="18"/>
          <w:color w:val="auto"/>
        </w:rPr>
        <w:t>The sales price was subject to customary post-closing working capital adjustments. For the three and nine months ended August 27, 2022 we recognized a pre-tax gain (less post-closing adjustments) on the sale of $(193) and $53,061, respectively. Upon final settlement of the post-closing adjustments, which were paid in the second half of fiscal 2022, the final pre-tax gain was $52,534.</w:t>
      </w:r>
    </w:p>
    <w:p>
      <w:pPr>
        <w:spacing w:after="0" w:line="184" w:lineRule="exact"/>
        <w:rPr>
          <w:sz w:val="20"/>
          <w:szCs w:val="20"/>
          <w:color w:val="auto"/>
        </w:rPr>
      </w:pPr>
    </w:p>
    <w:p>
      <w:pPr>
        <w:jc w:val="both"/>
        <w:ind w:right="80"/>
        <w:spacing w:after="0" w:line="277" w:lineRule="auto"/>
        <w:rPr>
          <w:sz w:val="20"/>
          <w:szCs w:val="20"/>
          <w:color w:val="auto"/>
        </w:rPr>
      </w:pPr>
      <w:r>
        <w:rPr>
          <w:rFonts w:ascii="Arial" w:cs="Arial" w:eastAsia="Arial" w:hAnsi="Arial"/>
          <w:sz w:val="18"/>
          <w:szCs w:val="18"/>
          <w:color w:val="auto"/>
        </w:rPr>
        <w:t>The operations of our logistical services segment, which consisted entirely of the operations of Zenith, are presented in the accompanying condensed consolidated statements of operations as discontinued operations.</w:t>
      </w:r>
    </w:p>
    <w:p>
      <w:pPr>
        <w:spacing w:after="0" w:line="170" w:lineRule="exact"/>
        <w:rPr>
          <w:sz w:val="20"/>
          <w:szCs w:val="20"/>
          <w:color w:val="auto"/>
        </w:rPr>
      </w:pPr>
    </w:p>
    <w:p>
      <w:pPr>
        <w:jc w:val="both"/>
        <w:ind w:right="100"/>
        <w:spacing w:after="0" w:line="277" w:lineRule="auto"/>
        <w:rPr>
          <w:sz w:val="20"/>
          <w:szCs w:val="20"/>
          <w:color w:val="auto"/>
        </w:rPr>
      </w:pPr>
      <w:r>
        <w:rPr>
          <w:rFonts w:ascii="Arial" w:cs="Arial" w:eastAsia="Arial" w:hAnsi="Arial"/>
          <w:sz w:val="18"/>
          <w:szCs w:val="18"/>
          <w:color w:val="auto"/>
        </w:rPr>
        <w:t>The following table summarizes the major classes of line items constituting income of the discontinued operations, as reported in the condensed consolidated statements of operations for the three and nine months ended August 27, 2022:</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60" w:type="dxa"/>
            <w:vAlign w:val="bottom"/>
          </w:tcPr>
          <w:p>
            <w:pPr>
              <w:spacing w:after="0"/>
              <w:rPr>
                <w:sz w:val="18"/>
                <w:szCs w:val="18"/>
                <w:color w:val="auto"/>
              </w:rPr>
            </w:pPr>
          </w:p>
        </w:tc>
        <w:tc>
          <w:tcPr>
            <w:tcW w:w="6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90"/>
              </w:rPr>
              <w:t>Nine Months</w:t>
            </w:r>
          </w:p>
        </w:tc>
      </w:tr>
      <w:tr>
        <w:trPr>
          <w:trHeight w:val="216"/>
        </w:trPr>
        <w:tc>
          <w:tcPr>
            <w:tcW w:w="660" w:type="dxa"/>
            <w:vAlign w:val="bottom"/>
          </w:tcPr>
          <w:p>
            <w:pPr>
              <w:spacing w:after="0"/>
              <w:rPr>
                <w:sz w:val="18"/>
                <w:szCs w:val="18"/>
                <w:color w:val="auto"/>
              </w:rPr>
            </w:pPr>
          </w:p>
        </w:tc>
        <w:tc>
          <w:tcPr>
            <w:tcW w:w="6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95"/>
              </w:rPr>
              <w:t>Quarter Ended</w:t>
            </w:r>
          </w:p>
        </w:tc>
        <w:tc>
          <w:tcPr>
            <w:tcW w:w="100" w:type="dxa"/>
            <w:vAlign w:val="bottom"/>
          </w:tcPr>
          <w:p>
            <w:pPr>
              <w:spacing w:after="0"/>
              <w:rPr>
                <w:sz w:val="18"/>
                <w:szCs w:val="18"/>
                <w:color w:val="auto"/>
              </w:rPr>
            </w:pPr>
          </w:p>
        </w:tc>
        <w:tc>
          <w:tcPr>
            <w:tcW w:w="146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90"/>
              </w:rPr>
              <w:t>Ended</w:t>
            </w:r>
          </w:p>
        </w:tc>
      </w:tr>
      <w:tr>
        <w:trPr>
          <w:trHeight w:val="234"/>
        </w:trPr>
        <w:tc>
          <w:tcPr>
            <w:tcW w:w="660" w:type="dxa"/>
            <w:vAlign w:val="bottom"/>
          </w:tcPr>
          <w:p>
            <w:pPr>
              <w:spacing w:after="0"/>
              <w:rPr>
                <w:sz w:val="20"/>
                <w:szCs w:val="20"/>
                <w:color w:val="auto"/>
              </w:rPr>
            </w:pPr>
          </w:p>
        </w:tc>
        <w:tc>
          <w:tcPr>
            <w:tcW w:w="63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6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88"/>
              </w:rPr>
              <w:t>August 27, 2022</w:t>
            </w:r>
          </w:p>
        </w:tc>
        <w:tc>
          <w:tcPr>
            <w:tcW w:w="100" w:type="dxa"/>
            <w:vAlign w:val="bottom"/>
          </w:tcPr>
          <w:p>
            <w:pPr>
              <w:spacing w:after="0"/>
              <w:rPr>
                <w:sz w:val="20"/>
                <w:szCs w:val="20"/>
                <w:color w:val="auto"/>
              </w:rPr>
            </w:pPr>
          </w:p>
        </w:tc>
        <w:tc>
          <w:tcPr>
            <w:tcW w:w="146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88"/>
              </w:rPr>
              <w:t>August 27, 2022</w:t>
            </w:r>
          </w:p>
        </w:tc>
      </w:tr>
      <w:tr>
        <w:trPr>
          <w:trHeight w:val="210"/>
        </w:trPr>
        <w:tc>
          <w:tcPr>
            <w:tcW w:w="660" w:type="dxa"/>
            <w:vAlign w:val="bottom"/>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Major line items constituting pretax income of discontinued operations:</w:t>
            </w:r>
          </w:p>
        </w:tc>
        <w:tc>
          <w:tcPr>
            <w:tcW w:w="11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6340" w:type="dxa"/>
            <w:vAlign w:val="bottom"/>
          </w:tcPr>
          <w:p>
            <w:pPr>
              <w:ind w:left="320"/>
              <w:spacing w:after="0"/>
              <w:rPr>
                <w:sz w:val="20"/>
                <w:szCs w:val="20"/>
                <w:color w:val="auto"/>
              </w:rPr>
            </w:pPr>
            <w:r>
              <w:rPr>
                <w:rFonts w:ascii="Arial" w:cs="Arial" w:eastAsia="Arial" w:hAnsi="Arial"/>
                <w:sz w:val="18"/>
                <w:szCs w:val="18"/>
                <w:color w:val="auto"/>
              </w:rPr>
              <w:t>Logistical services revenue</w:t>
            </w: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5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gridSpan w:val="2"/>
          </w:tcPr>
          <w:p>
            <w:pPr>
              <w:jc w:val="right"/>
              <w:ind w:right="20"/>
              <w:spacing w:after="0"/>
              <w:rPr>
                <w:sz w:val="20"/>
                <w:szCs w:val="20"/>
                <w:color w:val="auto"/>
              </w:rPr>
            </w:pPr>
            <w:r>
              <w:rPr>
                <w:rFonts w:ascii="Arial" w:cs="Arial" w:eastAsia="Arial" w:hAnsi="Arial"/>
                <w:sz w:val="18"/>
                <w:szCs w:val="18"/>
                <w:color w:val="auto"/>
              </w:rPr>
              <w:t>16,776</w:t>
            </w:r>
          </w:p>
        </w:tc>
        <w:tc>
          <w:tcPr>
            <w:tcW w:w="8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63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Cost of logistical services</w:t>
            </w: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15,001</w:t>
            </w:r>
          </w:p>
        </w:tc>
        <w:tc>
          <w:tcPr>
            <w:tcW w:w="80" w:type="dxa"/>
            <w:vAlign w:val="bottom"/>
            <w:shd w:val="clear" w:color="auto" w:fill="CCEEFF"/>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6340" w:type="dxa"/>
            <w:vAlign w:val="bottom"/>
          </w:tcPr>
          <w:p>
            <w:pPr>
              <w:ind w:left="320"/>
              <w:spacing w:after="0"/>
              <w:rPr>
                <w:sz w:val="20"/>
                <w:szCs w:val="20"/>
                <w:color w:val="auto"/>
              </w:rPr>
            </w:pPr>
            <w:r>
              <w:rPr>
                <w:rFonts w:ascii="Arial" w:cs="Arial" w:eastAsia="Arial" w:hAnsi="Arial"/>
                <w:sz w:val="18"/>
                <w:szCs w:val="18"/>
                <w:color w:val="auto"/>
              </w:rPr>
              <w:t>Other loss, net</w:t>
            </w: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60" w:type="dxa"/>
            <w:vAlign w:val="bottom"/>
            <w:gridSpan w:val="3"/>
          </w:tcPr>
          <w:p>
            <w:pPr>
              <w:jc w:val="right"/>
              <w:ind w:right="40"/>
              <w:spacing w:after="0"/>
              <w:rPr>
                <w:sz w:val="20"/>
                <w:szCs w:val="20"/>
                <w:color w:val="auto"/>
              </w:rPr>
            </w:pPr>
            <w:r>
              <w:rPr>
                <w:rFonts w:ascii="Arial" w:cs="Arial" w:eastAsia="Arial" w:hAnsi="Arial"/>
                <w:sz w:val="18"/>
                <w:szCs w:val="18"/>
                <w:color w:val="auto"/>
              </w:rPr>
              <w:t>(63)</w:t>
            </w:r>
          </w:p>
        </w:tc>
      </w:tr>
      <w:tr>
        <w:trPr>
          <w:trHeight w:val="20"/>
        </w:trPr>
        <w:tc>
          <w:tcPr>
            <w:tcW w:w="660" w:type="dxa"/>
            <w:vAlign w:val="bottom"/>
          </w:tcPr>
          <w:p>
            <w:pPr>
              <w:spacing w:after="0" w:line="20" w:lineRule="exact"/>
              <w:rPr>
                <w:sz w:val="1"/>
                <w:szCs w:val="1"/>
                <w:color w:val="auto"/>
              </w:rPr>
            </w:pPr>
          </w:p>
        </w:tc>
        <w:tc>
          <w:tcPr>
            <w:tcW w:w="63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0"/>
        </w:trPr>
        <w:tc>
          <w:tcPr>
            <w:tcW w:w="660" w:type="dxa"/>
            <w:vAlign w:val="bottom"/>
          </w:tcPr>
          <w:p>
            <w:pPr>
              <w:spacing w:after="0"/>
              <w:rPr>
                <w:sz w:val="18"/>
                <w:szCs w:val="18"/>
                <w:color w:val="auto"/>
              </w:rPr>
            </w:pPr>
          </w:p>
        </w:tc>
        <w:tc>
          <w:tcPr>
            <w:tcW w:w="63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Income from operations of logistical services</w:t>
            </w: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1,712</w:t>
            </w:r>
          </w:p>
        </w:tc>
        <w:tc>
          <w:tcPr>
            <w:tcW w:w="80" w:type="dxa"/>
            <w:vAlign w:val="bottom"/>
            <w:shd w:val="clear" w:color="auto" w:fill="CCEEFF"/>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6340" w:type="dxa"/>
            <w:vAlign w:val="bottom"/>
          </w:tcPr>
          <w:p>
            <w:pPr>
              <w:ind w:left="160"/>
              <w:spacing w:after="0"/>
              <w:rPr>
                <w:sz w:val="20"/>
                <w:szCs w:val="20"/>
                <w:color w:val="auto"/>
              </w:rPr>
            </w:pPr>
            <w:r>
              <w:rPr>
                <w:rFonts w:ascii="Arial" w:cs="Arial" w:eastAsia="Arial" w:hAnsi="Arial"/>
                <w:sz w:val="18"/>
                <w:szCs w:val="18"/>
                <w:color w:val="auto"/>
              </w:rPr>
              <w:t>Gain on disposal (less adjustments)</w:t>
            </w: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gridSpan w:val="2"/>
          </w:tcPr>
          <w:p>
            <w:pPr>
              <w:jc w:val="right"/>
              <w:ind w:right="140"/>
              <w:spacing w:after="0"/>
              <w:rPr>
                <w:sz w:val="20"/>
                <w:szCs w:val="20"/>
                <w:color w:val="auto"/>
              </w:rPr>
            </w:pPr>
            <w:r>
              <w:rPr>
                <w:rFonts w:ascii="Arial" w:cs="Arial" w:eastAsia="Arial" w:hAnsi="Arial"/>
                <w:sz w:val="18"/>
                <w:szCs w:val="18"/>
                <w:color w:val="auto"/>
              </w:rPr>
              <w:t>(193)</w:t>
            </w:r>
          </w:p>
        </w:tc>
        <w:tc>
          <w:tcPr>
            <w:tcW w:w="100" w:type="dxa"/>
            <w:vAlign w:val="bottom"/>
          </w:tcPr>
          <w:p>
            <w:pPr>
              <w:spacing w:after="0"/>
              <w:rPr>
                <w:sz w:val="18"/>
                <w:szCs w:val="18"/>
                <w:color w:val="auto"/>
              </w:rPr>
            </w:pPr>
          </w:p>
        </w:tc>
        <w:tc>
          <w:tcPr>
            <w:tcW w:w="1380" w:type="dxa"/>
            <w:vAlign w:val="bottom"/>
            <w:gridSpan w:val="2"/>
          </w:tcPr>
          <w:p>
            <w:pPr>
              <w:jc w:val="right"/>
              <w:ind w:right="20"/>
              <w:spacing w:after="0"/>
              <w:rPr>
                <w:sz w:val="20"/>
                <w:szCs w:val="20"/>
                <w:color w:val="auto"/>
              </w:rPr>
            </w:pPr>
            <w:r>
              <w:rPr>
                <w:rFonts w:ascii="Arial" w:cs="Arial" w:eastAsia="Arial" w:hAnsi="Arial"/>
                <w:sz w:val="18"/>
                <w:szCs w:val="18"/>
                <w:color w:val="auto"/>
              </w:rPr>
              <w:t>53,061</w:t>
            </w:r>
          </w:p>
        </w:tc>
        <w:tc>
          <w:tcPr>
            <w:tcW w:w="80" w:type="dxa"/>
            <w:vAlign w:val="bottom"/>
          </w:tcPr>
          <w:p>
            <w:pPr>
              <w:spacing w:after="0"/>
              <w:rPr>
                <w:sz w:val="18"/>
                <w:szCs w:val="18"/>
                <w:color w:val="auto"/>
              </w:rPr>
            </w:pPr>
          </w:p>
        </w:tc>
      </w:tr>
      <w:tr>
        <w:trPr>
          <w:trHeight w:val="20"/>
        </w:trPr>
        <w:tc>
          <w:tcPr>
            <w:tcW w:w="660" w:type="dxa"/>
            <w:vAlign w:val="bottom"/>
          </w:tcPr>
          <w:p>
            <w:pPr>
              <w:spacing w:after="0" w:line="20" w:lineRule="exact"/>
              <w:rPr>
                <w:sz w:val="1"/>
                <w:szCs w:val="1"/>
                <w:color w:val="auto"/>
              </w:rPr>
            </w:pPr>
          </w:p>
        </w:tc>
        <w:tc>
          <w:tcPr>
            <w:tcW w:w="63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0"/>
        </w:trPr>
        <w:tc>
          <w:tcPr>
            <w:tcW w:w="660" w:type="dxa"/>
            <w:vAlign w:val="bottom"/>
          </w:tcPr>
          <w:p>
            <w:pPr>
              <w:spacing w:after="0"/>
              <w:rPr>
                <w:sz w:val="18"/>
                <w:szCs w:val="18"/>
                <w:color w:val="auto"/>
              </w:rPr>
            </w:pPr>
          </w:p>
        </w:tc>
        <w:tc>
          <w:tcPr>
            <w:tcW w:w="63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Pretax income (loss) of discontinued operations</w:t>
            </w: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(193)</w:t>
            </w: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54,773</w:t>
            </w:r>
          </w:p>
        </w:tc>
        <w:tc>
          <w:tcPr>
            <w:tcW w:w="80" w:type="dxa"/>
            <w:vAlign w:val="bottom"/>
            <w:shd w:val="clear" w:color="auto" w:fill="CCEEFF"/>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6340" w:type="dxa"/>
            <w:vAlign w:val="bottom"/>
          </w:tcPr>
          <w:p>
            <w:pPr>
              <w:ind w:left="160"/>
              <w:spacing w:after="0"/>
              <w:rPr>
                <w:sz w:val="20"/>
                <w:szCs w:val="20"/>
                <w:color w:val="auto"/>
              </w:rPr>
            </w:pPr>
            <w:r>
              <w:rPr>
                <w:rFonts w:ascii="Arial" w:cs="Arial" w:eastAsia="Arial" w:hAnsi="Arial"/>
                <w:sz w:val="18"/>
                <w:szCs w:val="18"/>
                <w:color w:val="auto"/>
              </w:rPr>
              <w:t>Income tax expense (benefit)</w:t>
            </w: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gridSpan w:val="2"/>
          </w:tcPr>
          <w:p>
            <w:pPr>
              <w:jc w:val="right"/>
              <w:ind w:right="140"/>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18"/>
                <w:szCs w:val="18"/>
                <w:color w:val="auto"/>
              </w:rPr>
            </w:pPr>
          </w:p>
        </w:tc>
        <w:tc>
          <w:tcPr>
            <w:tcW w:w="1380" w:type="dxa"/>
            <w:vAlign w:val="bottom"/>
            <w:gridSpan w:val="2"/>
          </w:tcPr>
          <w:p>
            <w:pPr>
              <w:jc w:val="right"/>
              <w:ind w:right="20"/>
              <w:spacing w:after="0"/>
              <w:rPr>
                <w:sz w:val="20"/>
                <w:szCs w:val="20"/>
                <w:color w:val="auto"/>
              </w:rPr>
            </w:pPr>
            <w:r>
              <w:rPr>
                <w:rFonts w:ascii="Arial" w:cs="Arial" w:eastAsia="Arial" w:hAnsi="Arial"/>
                <w:sz w:val="18"/>
                <w:szCs w:val="18"/>
                <w:color w:val="auto"/>
              </w:rPr>
              <w:t>14,261</w:t>
            </w:r>
          </w:p>
        </w:tc>
        <w:tc>
          <w:tcPr>
            <w:tcW w:w="80" w:type="dxa"/>
            <w:vAlign w:val="bottom"/>
          </w:tcPr>
          <w:p>
            <w:pPr>
              <w:spacing w:after="0"/>
              <w:rPr>
                <w:sz w:val="18"/>
                <w:szCs w:val="18"/>
                <w:color w:val="auto"/>
              </w:rPr>
            </w:pPr>
          </w:p>
        </w:tc>
      </w:tr>
      <w:tr>
        <w:trPr>
          <w:trHeight w:val="20"/>
        </w:trPr>
        <w:tc>
          <w:tcPr>
            <w:tcW w:w="660" w:type="dxa"/>
            <w:vAlign w:val="bottom"/>
          </w:tcPr>
          <w:p>
            <w:pPr>
              <w:spacing w:after="0" w:line="20" w:lineRule="exact"/>
              <w:rPr>
                <w:sz w:val="1"/>
                <w:szCs w:val="1"/>
                <w:color w:val="auto"/>
              </w:rPr>
            </w:pPr>
          </w:p>
        </w:tc>
        <w:tc>
          <w:tcPr>
            <w:tcW w:w="63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49"/>
        </w:trPr>
        <w:tc>
          <w:tcPr>
            <w:tcW w:w="660" w:type="dxa"/>
            <w:vAlign w:val="bottom"/>
          </w:tcPr>
          <w:p>
            <w:pPr>
              <w:spacing w:after="0"/>
              <w:rPr>
                <w:sz w:val="21"/>
                <w:szCs w:val="21"/>
                <w:color w:val="auto"/>
              </w:rPr>
            </w:pPr>
          </w:p>
        </w:tc>
        <w:tc>
          <w:tcPr>
            <w:tcW w:w="63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Income (loss) from discontinued operations, net of tax</w:t>
            </w: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5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40,512</w:t>
            </w:r>
          </w:p>
        </w:tc>
        <w:tc>
          <w:tcPr>
            <w:tcW w:w="80" w:type="dxa"/>
            <w:vAlign w:val="bottom"/>
            <w:shd w:val="clear" w:color="auto" w:fill="CCEEFF"/>
          </w:tcPr>
          <w:p>
            <w:pPr>
              <w:spacing w:after="0"/>
              <w:rPr>
                <w:sz w:val="21"/>
                <w:szCs w:val="21"/>
                <w:color w:val="auto"/>
              </w:rPr>
            </w:pPr>
          </w:p>
        </w:tc>
      </w:tr>
      <w:tr>
        <w:trPr>
          <w:trHeight w:val="413"/>
        </w:trPr>
        <w:tc>
          <w:tcPr>
            <w:tcW w:w="660" w:type="dxa"/>
            <w:vAlign w:val="bottom"/>
          </w:tcPr>
          <w:p>
            <w:pPr>
              <w:spacing w:after="0"/>
              <w:rPr>
                <w:sz w:val="24"/>
                <w:szCs w:val="24"/>
                <w:color w:val="auto"/>
              </w:rPr>
            </w:pPr>
          </w:p>
        </w:tc>
        <w:tc>
          <w:tcPr>
            <w:tcW w:w="6340" w:type="dxa"/>
            <w:vAlign w:val="bottom"/>
            <w:tcBorders>
              <w:top w:val="single" w:sz="8" w:color="CCEEFF"/>
            </w:tcBorders>
          </w:tcPr>
          <w:p>
            <w:pPr>
              <w:ind w:left="4660"/>
              <w:spacing w:after="0"/>
              <w:rPr>
                <w:sz w:val="20"/>
                <w:szCs w:val="20"/>
                <w:color w:val="auto"/>
              </w:rPr>
            </w:pPr>
            <w:r>
              <w:rPr>
                <w:rFonts w:ascii="Arial" w:cs="Arial" w:eastAsia="Arial" w:hAnsi="Arial"/>
                <w:sz w:val="18"/>
                <w:szCs w:val="18"/>
                <w:color w:val="auto"/>
              </w:rPr>
              <w:t>17 of 38</w:t>
            </w:r>
          </w:p>
        </w:tc>
        <w:tc>
          <w:tcPr>
            <w:tcW w:w="1100" w:type="dxa"/>
            <w:vAlign w:val="bottom"/>
            <w:tcBorders>
              <w:top w:val="single" w:sz="8" w:color="CCEEFF"/>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360" w:type="dxa"/>
            <w:vAlign w:val="bottom"/>
            <w:tcBorders>
              <w:top w:val="single" w:sz="8" w:color="auto"/>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360" w:type="dxa"/>
            <w:vAlign w:val="bottom"/>
            <w:tcBorders>
              <w:top w:val="single" w:sz="8" w:color="auto"/>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r>
      <w:tr>
        <w:trPr>
          <w:trHeight w:val="115"/>
        </w:trPr>
        <w:tc>
          <w:tcPr>
            <w:tcW w:w="660" w:type="dxa"/>
            <w:vAlign w:val="bottom"/>
            <w:tcBorders>
              <w:bottom w:val="single" w:sz="8" w:color="auto"/>
            </w:tcBorders>
          </w:tcPr>
          <w:p>
            <w:pPr>
              <w:spacing w:after="0"/>
              <w:rPr>
                <w:sz w:val="10"/>
                <w:szCs w:val="10"/>
                <w:color w:val="auto"/>
              </w:rPr>
            </w:pPr>
          </w:p>
        </w:tc>
        <w:tc>
          <w:tcPr>
            <w:tcW w:w="6340" w:type="dxa"/>
            <w:vAlign w:val="bottom"/>
            <w:tcBorders>
              <w:bottom w:val="single" w:sz="8" w:color="auto"/>
            </w:tcBorders>
          </w:tcPr>
          <w:p>
            <w:pPr>
              <w:spacing w:after="0"/>
              <w:rPr>
                <w:sz w:val="10"/>
                <w:szCs w:val="10"/>
                <w:color w:val="auto"/>
              </w:rPr>
            </w:pPr>
          </w:p>
        </w:tc>
        <w:tc>
          <w:tcPr>
            <w:tcW w:w="11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36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36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r>
    </w:tbl>
    <w:p>
      <w:pPr>
        <w:sectPr>
          <w:pgSz w:w="11900" w:h="16838" w:orient="portrait"/>
          <w:cols w:equalWidth="0" w:num="1">
            <w:col w:w="11320"/>
          </w:cols>
          <w:pgMar w:left="320" w:top="125" w:right="259" w:bottom="1440" w:gutter="0" w:footer="0" w:header="0"/>
        </w:sectPr>
      </w:pPr>
    </w:p>
    <w:bookmarkStart w:id="17" w:name="page18"/>
    <w:bookmarkEnd w:id="17"/>
    <w:p>
      <w:pPr>
        <w:jc w:val="center"/>
        <w:ind w:right="20"/>
        <w:spacing w:after="0"/>
        <w:rPr>
          <w:sz w:val="20"/>
          <w:szCs w:val="20"/>
          <w:color w:val="auto"/>
        </w:rPr>
      </w:pPr>
      <w:r>
        <w:rPr>
          <w:rFonts w:ascii="Arial" w:cs="Arial" w:eastAsia="Arial" w:hAnsi="Arial"/>
          <w:sz w:val="18"/>
          <w:szCs w:val="18"/>
          <w:u w:val="single" w:color="auto"/>
          <w:color w:val="auto"/>
        </w:rPr>
        <w:t>PART I-FINANCIAL INFORMATION-CONTINUED</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8"/>
          <w:szCs w:val="18"/>
          <w:u w:val="single" w:color="auto"/>
          <w:color w:val="auto"/>
        </w:rPr>
        <w:t>BASSETT FURNITURE INDUSTRIES, INCORPORATED AND SUBSIDIARIES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u w:val="single" w:color="auto"/>
          <w:color w:val="auto"/>
        </w:rPr>
        <w:t>NOTES TO CONDENSED CONSOLIDATED FINANCIAL STATEMENTS-UNAUDITED</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u w:val="single" w:color="auto"/>
          <w:color w:val="auto"/>
        </w:rPr>
        <w:t>AUGUST 26, 2023</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u w:val="single" w:color="auto"/>
          <w:color w:val="auto"/>
        </w:rPr>
        <w:t>(Dollars in thousands except share and per share data)</w:t>
      </w:r>
    </w:p>
    <w:p>
      <w:pPr>
        <w:spacing w:after="0" w:line="200" w:lineRule="exact"/>
        <w:rPr>
          <w:sz w:val="20"/>
          <w:szCs w:val="20"/>
          <w:color w:val="auto"/>
        </w:rPr>
      </w:pPr>
    </w:p>
    <w:p>
      <w:pPr>
        <w:spacing w:after="0" w:line="254"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amounts for revenue and costs of logistical services shown above represent the results of Zenith’s business transactions with third parties. Zenith also charged Bassett for logistical services provided to our wholesale segment in the amount of $9,121 during the nine months ended August 27, 2022. Upon the sale of Zenith we entered into a service agreement with J.B. Hunt for the continuation of these services for a period of seven years. We incurred expense for logistical services performed by J.B. Hunt of $6,278 and $21,429 during the three and nine months ended August 26, 2023, respectively, and $10,307 and $19,852 for the three and nine months ended August 27, 2022, respectively.</w:t>
      </w:r>
    </w:p>
    <w:p>
      <w:pPr>
        <w:spacing w:after="0" w:line="17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Included in other loss, net, is interest arising from finance leases assumed by J.B. Hunt as part of the transaction. Such interest amounted to $78 for the nine months ended August 27, 2022.</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cash flows generated by discontinued operations during the nine months ended August 27, 2022:</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Cash provided by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-121920</wp:posOffset>
            </wp:positionV>
            <wp:extent cx="6060440" cy="1371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060440" cy="137160"/>
                    </a:xfrm>
                    <a:prstGeom prst="rect">
                      <a:avLst/>
                    </a:prstGeom>
                    <a:noFill/>
                  </pic:spPr>
                </pic:pic>
              </a:graphicData>
            </a:graphic>
          </wp:anchor>
        </w:drawing>
      </w:r>
    </w:p>
    <w:p>
      <w:pPr>
        <w:spacing w:after="0" w:line="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Cash used in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5715</wp:posOffset>
            </wp:positionV>
            <wp:extent cx="6060440" cy="1460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060440" cy="146050"/>
                    </a:xfrm>
                    <a:prstGeom prst="rect">
                      <a:avLst/>
                    </a:prstGeom>
                    <a:noFill/>
                  </pic:spPr>
                </pic:pic>
              </a:graphicData>
            </a:graphic>
          </wp:anchor>
        </w:drawing>
      </w:r>
    </w:p>
    <w:p>
      <w:pPr>
        <w:ind w:left="660"/>
        <w:spacing w:after="0"/>
        <w:rPr>
          <w:sz w:val="20"/>
          <w:szCs w:val="20"/>
          <w:color w:val="auto"/>
        </w:rPr>
      </w:pPr>
      <w:r>
        <w:rPr>
          <w:rFonts w:ascii="Arial" w:cs="Arial" w:eastAsia="Arial" w:hAnsi="Arial"/>
          <w:sz w:val="18"/>
          <w:szCs w:val="18"/>
          <w:color w:val="auto"/>
        </w:rPr>
        <w:t>Cash used in financing activities</w:t>
      </w:r>
    </w:p>
    <w:p>
      <w:pPr>
        <w:spacing w:after="0" w:line="4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Net cash provided by discontinued operations</w:t>
      </w: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Segment Information</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jc w:val="center"/>
        <w:ind w:right="1140"/>
        <w:spacing w:after="0"/>
        <w:rPr>
          <w:sz w:val="20"/>
          <w:szCs w:val="20"/>
          <w:color w:val="auto"/>
        </w:rPr>
      </w:pPr>
      <w:r>
        <w:rPr>
          <w:rFonts w:ascii="Arial" w:cs="Arial" w:eastAsia="Arial" w:hAnsi="Arial"/>
          <w:sz w:val="18"/>
          <w:szCs w:val="18"/>
          <w:b w:val="1"/>
          <w:bCs w:val="1"/>
          <w:color w:val="auto"/>
        </w:rPr>
        <w:t>Nine Months</w:t>
      </w:r>
    </w:p>
    <w:p>
      <w:pPr>
        <w:spacing w:after="0" w:line="27" w:lineRule="exact"/>
        <w:rPr>
          <w:sz w:val="20"/>
          <w:szCs w:val="20"/>
          <w:color w:val="auto"/>
        </w:rPr>
      </w:pPr>
    </w:p>
    <w:p>
      <w:pPr>
        <w:jc w:val="center"/>
        <w:ind w:right="1140"/>
        <w:spacing w:after="0"/>
        <w:rPr>
          <w:sz w:val="20"/>
          <w:szCs w:val="20"/>
          <w:color w:val="auto"/>
        </w:rPr>
      </w:pPr>
      <w:r>
        <w:rPr>
          <w:rFonts w:ascii="Arial" w:cs="Arial" w:eastAsia="Arial" w:hAnsi="Arial"/>
          <w:sz w:val="18"/>
          <w:szCs w:val="18"/>
          <w:b w:val="1"/>
          <w:bCs w:val="1"/>
          <w:color w:val="auto"/>
        </w:rPr>
        <w:t>Ended</w:t>
      </w:r>
    </w:p>
    <w:p>
      <w:pPr>
        <w:spacing w:after="0" w:line="9" w:lineRule="exact"/>
        <w:rPr>
          <w:sz w:val="20"/>
          <w:szCs w:val="20"/>
          <w:color w:val="auto"/>
        </w:rPr>
      </w:pPr>
    </w:p>
    <w:p>
      <w:pPr>
        <w:jc w:val="center"/>
        <w:ind w:right="1140"/>
        <w:spacing w:after="0"/>
        <w:rPr>
          <w:sz w:val="20"/>
          <w:szCs w:val="20"/>
          <w:color w:val="auto"/>
        </w:rPr>
      </w:pPr>
      <w:r>
        <w:rPr>
          <w:rFonts w:ascii="Arial" w:cs="Arial" w:eastAsia="Arial" w:hAnsi="Arial"/>
          <w:sz w:val="18"/>
          <w:szCs w:val="18"/>
          <w:b w:val="1"/>
          <w:bCs w:val="1"/>
          <w:color w:val="auto"/>
        </w:rPr>
        <w:t>August 27,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96837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968375" cy="8255"/>
                    </a:xfrm>
                    <a:prstGeom prst="rect">
                      <a:avLst/>
                    </a:prstGeom>
                    <a:noFill/>
                  </pic:spPr>
                </pic:pic>
              </a:graphicData>
            </a:graphic>
          </wp:anchor>
        </w:drawing>
      </w:r>
    </w:p>
    <w:p>
      <w:pPr>
        <w:ind w:left="1120" w:hanging="1120"/>
        <w:spacing w:after="0"/>
        <w:tabs>
          <w:tab w:leader="none" w:pos="1120" w:val="left"/>
        </w:tabs>
        <w:numPr>
          <w:ilvl w:val="0"/>
          <w:numId w:val="8"/>
        </w:numPr>
        <w:rPr>
          <w:rFonts w:ascii="Arial" w:cs="Arial" w:eastAsia="Arial" w:hAnsi="Arial"/>
          <w:sz w:val="18"/>
          <w:szCs w:val="18"/>
          <w:color w:val="auto"/>
        </w:rPr>
      </w:pPr>
      <w:r>
        <w:rPr>
          <w:rFonts w:ascii="Arial" w:cs="Arial" w:eastAsia="Arial" w:hAnsi="Arial"/>
          <w:sz w:val="18"/>
          <w:szCs w:val="18"/>
          <w:color w:val="auto"/>
        </w:rPr>
        <w:t>1,681</w:t>
      </w:r>
    </w:p>
    <w:p>
      <w:pPr>
        <w:spacing w:after="0" w:line="22" w:lineRule="exact"/>
        <w:rPr>
          <w:rFonts w:ascii="Arial" w:cs="Arial" w:eastAsia="Arial" w:hAnsi="Arial"/>
          <w:sz w:val="18"/>
          <w:szCs w:val="18"/>
          <w:color w:val="auto"/>
        </w:rPr>
      </w:pPr>
    </w:p>
    <w:p>
      <w:pPr>
        <w:ind w:left="1280"/>
        <w:spacing w:after="0"/>
        <w:rPr>
          <w:rFonts w:ascii="Arial" w:cs="Arial" w:eastAsia="Arial" w:hAnsi="Arial"/>
          <w:sz w:val="18"/>
          <w:szCs w:val="18"/>
          <w:color w:val="auto"/>
        </w:rPr>
      </w:pPr>
      <w:r>
        <w:rPr>
          <w:rFonts w:ascii="Arial" w:cs="Arial" w:eastAsia="Arial" w:hAnsi="Arial"/>
          <w:sz w:val="16"/>
          <w:szCs w:val="16"/>
          <w:color w:val="auto"/>
        </w:rPr>
        <w:t>(81)</w:t>
      </w:r>
    </w:p>
    <w:p>
      <w:pPr>
        <w:spacing w:after="0" w:line="32" w:lineRule="exact"/>
        <w:rPr>
          <w:sz w:val="20"/>
          <w:szCs w:val="20"/>
          <w:color w:val="auto"/>
        </w:rPr>
      </w:pPr>
    </w:p>
    <w:p>
      <w:pPr>
        <w:jc w:val="right"/>
        <w:ind w:right="1080"/>
        <w:spacing w:after="0"/>
        <w:rPr>
          <w:sz w:val="20"/>
          <w:szCs w:val="20"/>
          <w:color w:val="auto"/>
        </w:rPr>
      </w:pPr>
      <w:r>
        <w:rPr>
          <w:rFonts w:ascii="Arial" w:cs="Arial" w:eastAsia="Arial" w:hAnsi="Arial"/>
          <w:sz w:val="18"/>
          <w:szCs w:val="18"/>
          <w:color w:val="auto"/>
        </w:rPr>
        <w:t>(371)</w:t>
      </w:r>
    </w:p>
    <w:p>
      <w:pPr>
        <w:spacing w:after="0" w:line="9" w:lineRule="exact"/>
        <w:rPr>
          <w:sz w:val="20"/>
          <w:szCs w:val="20"/>
          <w:color w:val="auto"/>
        </w:rPr>
      </w:pPr>
    </w:p>
    <w:p>
      <w:pPr>
        <w:ind w:left="1120" w:hanging="1120"/>
        <w:spacing w:after="0"/>
        <w:tabs>
          <w:tab w:leader="none" w:pos="1120" w:val="left"/>
        </w:tabs>
        <w:numPr>
          <w:ilvl w:val="0"/>
          <w:numId w:val="9"/>
        </w:numPr>
        <w:rPr>
          <w:rFonts w:ascii="Arial" w:cs="Arial" w:eastAsia="Arial" w:hAnsi="Arial"/>
          <w:sz w:val="18"/>
          <w:szCs w:val="18"/>
          <w:color w:val="auto"/>
        </w:rPr>
      </w:pPr>
      <w:r>
        <w:rPr>
          <w:rFonts w:ascii="Arial" w:cs="Arial" w:eastAsia="Arial" w:hAnsi="Arial"/>
          <w:sz w:val="18"/>
          <w:szCs w:val="18"/>
          <w:color w:val="auto"/>
        </w:rPr>
        <w:t>1,229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96837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96837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31750</wp:posOffset>
            </wp:positionV>
            <wp:extent cx="96837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968375" cy="8255"/>
                    </a:xfrm>
                    <a:prstGeom prst="rect">
                      <a:avLst/>
                    </a:prstGeom>
                    <a:noFill/>
                  </pic:spPr>
                </pic:pic>
              </a:graphicData>
            </a:graphic>
          </wp:anchor>
        </w:drawing>
      </w:r>
    </w:p>
    <w:p>
      <w:pPr>
        <w:spacing w:after="0" w:line="910" w:lineRule="exact"/>
        <w:rPr>
          <w:sz w:val="20"/>
          <w:szCs w:val="20"/>
          <w:color w:val="auto"/>
        </w:rPr>
      </w:pPr>
    </w:p>
    <w:p>
      <w:pPr>
        <w:sectPr>
          <w:pgSz w:w="11900" w:h="16838" w:orient="portrait"/>
          <w:cols w:equalWidth="0" w:num="2">
            <w:col w:w="7860" w:space="720"/>
            <w:col w:w="2660"/>
          </w:cols>
          <w:pgMar w:left="320" w:top="125" w:right="339" w:bottom="1440" w:gutter="0" w:footer="0" w:header="0"/>
          <w:type w:val="continuous"/>
        </w:sectPr>
      </w:pPr>
    </w:p>
    <w:p>
      <w:pPr>
        <w:spacing w:after="0" w:line="2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 xml:space="preserve">As of the beginning of fiscal 2023 we have strategically aligned our business into three reportable segments as defined in ASC 280, </w:t>
      </w:r>
      <w:r>
        <w:rPr>
          <w:rFonts w:ascii="Arial" w:cs="Arial" w:eastAsia="Arial" w:hAnsi="Arial"/>
          <w:sz w:val="18"/>
          <w:szCs w:val="18"/>
          <w:i w:val="1"/>
          <w:iCs w:val="1"/>
          <w:color w:val="auto"/>
        </w:rPr>
        <w:t>Segment Reporting</w:t>
      </w:r>
      <w:r>
        <w:rPr>
          <w:rFonts w:ascii="Arial" w:cs="Arial" w:eastAsia="Arial" w:hAnsi="Arial"/>
          <w:sz w:val="18"/>
          <w:szCs w:val="18"/>
          <w:color w:val="auto"/>
        </w:rPr>
        <w:t>, and as described below:</w:t>
      </w:r>
    </w:p>
    <w:p>
      <w:pPr>
        <w:spacing w:after="0" w:line="166" w:lineRule="exact"/>
        <w:rPr>
          <w:sz w:val="20"/>
          <w:szCs w:val="20"/>
          <w:color w:val="auto"/>
        </w:rPr>
      </w:pPr>
    </w:p>
    <w:p>
      <w:pPr>
        <w:ind w:left="660" w:right="480" w:hanging="328"/>
        <w:spacing w:after="0" w:line="289" w:lineRule="auto"/>
        <w:tabs>
          <w:tab w:leader="none" w:pos="660" w:val="left"/>
        </w:tabs>
        <w:numPr>
          <w:ilvl w:val="0"/>
          <w:numId w:val="10"/>
        </w:numPr>
        <w:rPr>
          <w:rFonts w:ascii="Arial" w:cs="Arial" w:eastAsia="Arial" w:hAnsi="Arial"/>
          <w:sz w:val="17"/>
          <w:szCs w:val="17"/>
          <w:color w:val="auto"/>
        </w:rPr>
      </w:pPr>
      <w:r>
        <w:rPr>
          <w:rFonts w:ascii="Arial" w:cs="Arial" w:eastAsia="Arial" w:hAnsi="Arial"/>
          <w:sz w:val="17"/>
          <w:szCs w:val="17"/>
          <w:b w:val="1"/>
          <w:bCs w:val="1"/>
          <w:color w:val="auto"/>
        </w:rPr>
        <w:t xml:space="preserve">Wholesale. </w:t>
      </w:r>
      <w:r>
        <w:rPr>
          <w:rFonts w:ascii="Arial" w:cs="Arial" w:eastAsia="Arial" w:hAnsi="Arial"/>
          <w:sz w:val="17"/>
          <w:szCs w:val="17"/>
          <w:color w:val="auto"/>
        </w:rPr>
        <w:t>The wholesale home furnishings segment is involved principally in the design, manufacture, sourcing, sale and distribution of</w:t>
      </w:r>
      <w:r>
        <w:rPr>
          <w:rFonts w:ascii="Arial" w:cs="Arial" w:eastAsia="Arial" w:hAnsi="Arial"/>
          <w:sz w:val="17"/>
          <w:szCs w:val="17"/>
          <w:b w:val="1"/>
          <w:bCs w:val="1"/>
          <w:color w:val="auto"/>
        </w:rPr>
        <w:t xml:space="preserve"> </w:t>
      </w:r>
      <w:r>
        <w:rPr>
          <w:rFonts w:ascii="Arial" w:cs="Arial" w:eastAsia="Arial" w:hAnsi="Arial"/>
          <w:sz w:val="17"/>
          <w:szCs w:val="17"/>
          <w:color w:val="auto"/>
        </w:rPr>
        <w:t>furniture products to a network of Bassett stores (Company-owned and licensee-owned retail stores) and independent furniture retailers. Our wholesale segment includes our wood and upholstery operations, which includes Lane Venture.</w:t>
      </w:r>
    </w:p>
    <w:p>
      <w:pPr>
        <w:spacing w:after="0" w:line="157" w:lineRule="exact"/>
        <w:rPr>
          <w:rFonts w:ascii="Arial" w:cs="Arial" w:eastAsia="Arial" w:hAnsi="Arial"/>
          <w:sz w:val="17"/>
          <w:szCs w:val="17"/>
          <w:color w:val="auto"/>
        </w:rPr>
      </w:pPr>
    </w:p>
    <w:p>
      <w:pPr>
        <w:ind w:left="660" w:right="120" w:hanging="328"/>
        <w:spacing w:after="0" w:line="266"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b w:val="1"/>
          <w:bCs w:val="1"/>
          <w:color w:val="auto"/>
        </w:rPr>
        <w:t xml:space="preserve">Retail </w:t>
      </w:r>
      <w:r>
        <w:rPr>
          <w:rFonts w:ascii="Arial" w:cs="Arial" w:eastAsia="Arial" w:hAnsi="Arial"/>
          <w:sz w:val="18"/>
          <w:szCs w:val="18"/>
          <w:color w:val="auto"/>
        </w:rPr>
        <w:t>–</w:t>
      </w:r>
      <w:r>
        <w:rPr>
          <w:rFonts w:ascii="Arial" w:cs="Arial" w:eastAsia="Arial" w:hAnsi="Arial"/>
          <w:sz w:val="18"/>
          <w:szCs w:val="18"/>
          <w:b w:val="1"/>
          <w:bCs w:val="1"/>
          <w:color w:val="auto"/>
        </w:rPr>
        <w:t xml:space="preserve"> Company-owned stores. </w:t>
      </w:r>
      <w:r>
        <w:rPr>
          <w:rFonts w:ascii="Arial" w:cs="Arial" w:eastAsia="Arial" w:hAnsi="Arial"/>
          <w:sz w:val="18"/>
          <w:szCs w:val="18"/>
          <w:color w:val="auto"/>
        </w:rPr>
        <w:t>Our retail segment consists of Company-owned stores and includes the revenues, expenses, assets and</w:t>
      </w:r>
      <w:r>
        <w:rPr>
          <w:rFonts w:ascii="Arial" w:cs="Arial" w:eastAsia="Arial" w:hAnsi="Arial"/>
          <w:sz w:val="18"/>
          <w:szCs w:val="18"/>
          <w:b w:val="1"/>
          <w:bCs w:val="1"/>
          <w:color w:val="auto"/>
        </w:rPr>
        <w:t xml:space="preserve"> </w:t>
      </w:r>
      <w:r>
        <w:rPr>
          <w:rFonts w:ascii="Arial" w:cs="Arial" w:eastAsia="Arial" w:hAnsi="Arial"/>
          <w:sz w:val="18"/>
          <w:szCs w:val="18"/>
          <w:color w:val="auto"/>
        </w:rPr>
        <w:t>liabilities and capital expenditures directly related to these stores and the Company-owned distribution network utilized to deliver products to our retail customers.</w:t>
      </w:r>
    </w:p>
    <w:p>
      <w:pPr>
        <w:spacing w:after="0" w:line="175" w:lineRule="exact"/>
        <w:rPr>
          <w:rFonts w:ascii="Arial" w:cs="Arial" w:eastAsia="Arial" w:hAnsi="Arial"/>
          <w:sz w:val="18"/>
          <w:szCs w:val="18"/>
          <w:color w:val="auto"/>
        </w:rPr>
      </w:pPr>
    </w:p>
    <w:p>
      <w:pPr>
        <w:jc w:val="both"/>
        <w:ind w:left="660" w:hanging="328"/>
        <w:spacing w:after="0" w:line="298" w:lineRule="auto"/>
        <w:tabs>
          <w:tab w:leader="none" w:pos="660" w:val="left"/>
        </w:tabs>
        <w:numPr>
          <w:ilvl w:val="0"/>
          <w:numId w:val="10"/>
        </w:numPr>
        <w:rPr>
          <w:rFonts w:ascii="Arial" w:cs="Arial" w:eastAsia="Arial" w:hAnsi="Arial"/>
          <w:sz w:val="16"/>
          <w:szCs w:val="16"/>
          <w:color w:val="auto"/>
        </w:rPr>
      </w:pPr>
      <w:r>
        <w:rPr>
          <w:rFonts w:ascii="Arial" w:cs="Arial" w:eastAsia="Arial" w:hAnsi="Arial"/>
          <w:sz w:val="16"/>
          <w:szCs w:val="16"/>
          <w:b w:val="1"/>
          <w:bCs w:val="1"/>
          <w:color w:val="auto"/>
        </w:rPr>
        <w:t xml:space="preserve">Corporate and other </w:t>
      </w:r>
      <w:r>
        <w:rPr>
          <w:rFonts w:ascii="Arial" w:cs="Arial" w:eastAsia="Arial" w:hAnsi="Arial"/>
          <w:sz w:val="16"/>
          <w:szCs w:val="16"/>
          <w:color w:val="auto"/>
        </w:rPr>
        <w:t>– Corporate and other includes the shared costs of corporate functions such as treasury and finance, information technology,</w:t>
      </w:r>
      <w:r>
        <w:rPr>
          <w:rFonts w:ascii="Arial" w:cs="Arial" w:eastAsia="Arial" w:hAnsi="Arial"/>
          <w:sz w:val="16"/>
          <w:szCs w:val="16"/>
          <w:b w:val="1"/>
          <w:bCs w:val="1"/>
          <w:color w:val="auto"/>
        </w:rPr>
        <w:t xml:space="preserve"> </w:t>
      </w:r>
      <w:r>
        <w:rPr>
          <w:rFonts w:ascii="Arial" w:cs="Arial" w:eastAsia="Arial" w:hAnsi="Arial"/>
          <w:sz w:val="16"/>
          <w:szCs w:val="16"/>
          <w:color w:val="auto"/>
        </w:rPr>
        <w:t>accounting, human resources, legal and others, including certain product development and marketing functions benefitting both wholesale and retail operations. In addition to property and equipment and various other assets associated with the shared corporate functions, the identifiable assets of Corporate and other include substantially all of our cash and our investments in CDs. We consider our corporate functions to be other business activities and have aggregated them with our other insignificant operating segment, the recently acquired Noa Home (see Note 3).</w:t>
      </w:r>
    </w:p>
    <w:p>
      <w:pPr>
        <w:spacing w:after="0" w:line="15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Inter-company net sales elimination represents the elimination of wholesale sales to our Company-owned stores. Inter-company income elimination includes the embedded wholesale profit in the Company-owned store inventory that has not been realized. These profits will be recorded when merchandise is delivered to the retail consumer. The inter-company income elimination also includes rent paid by our retail stores occupying Company-owned real estate.</w:t>
      </w:r>
    </w:p>
    <w:p>
      <w:pPr>
        <w:spacing w:after="0" w:line="18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Prior to the beginning of fiscal 2023, the functions included in Corporate and other were included in our wholesale reportable segment, and Noa Home was included in our retail reportable segment for the fourth quarter of fiscal 2022 following its acquisition on September 2, 2022. We believe that the new alignment of our reporting segments provides our chief operating decision maker with clearer information with which to assess the operating results of our wholesale segment. Noa Home does not meet the requirements to be a separate reportable segment as it is below the thresholds of the revenue, income and asset tests. The segment information presented below for the three and nine months ended August 27, 2022 and as of November 26, 2022 has been restated to reflect the new alignment of our reportable segments.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of 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8" w:name="page19"/>
    <w:bookmarkEnd w:id="18"/>
    <w:p>
      <w:pPr>
        <w:jc w:val="center"/>
        <w:spacing w:after="0"/>
        <w:rPr>
          <w:sz w:val="20"/>
          <w:szCs w:val="20"/>
          <w:color w:val="auto"/>
        </w:rPr>
      </w:pPr>
      <w:r>
        <w:rPr>
          <w:rFonts w:ascii="Arial" w:cs="Arial" w:eastAsia="Arial" w:hAnsi="Arial"/>
          <w:sz w:val="18"/>
          <w:szCs w:val="18"/>
          <w:u w:val="single" w:color="auto"/>
          <w:color w:val="auto"/>
        </w:rPr>
        <w:t>PART I-FINANCIAL INFORMATION-CONTINUED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BASSETT FURNITURE INDUSTRIES, INCORPORATED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CONDENSED CONSOLIDATED FINANCIAL STATEMENTS-UNAUDITED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AUGUST 26, 2023</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(Dollars in thousands except share and per share data)</w:t>
      </w:r>
    </w:p>
    <w:p>
      <w:pPr>
        <w:spacing w:after="0" w:line="200" w:lineRule="exact"/>
        <w:rPr>
          <w:sz w:val="20"/>
          <w:szCs w:val="20"/>
          <w:color w:val="auto"/>
        </w:rPr>
      </w:pPr>
    </w:p>
    <w:p>
      <w:pPr>
        <w:spacing w:after="0" w:line="25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Our former logistical services segment which represented the operations of Zenith is now presented as a discontinued operation in the accompanying condensed consolidated balances sheets and statements of operations (see Note 12).</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080" w:type="dxa"/>
            <w:vAlign w:val="bottom"/>
          </w:tcPr>
          <w:p>
            <w:pPr>
              <w:spacing w:after="0"/>
              <w:rPr>
                <w:sz w:val="20"/>
                <w:szCs w:val="20"/>
                <w:color w:val="auto"/>
              </w:rPr>
            </w:pPr>
            <w:r>
              <w:rPr>
                <w:rFonts w:ascii="Arial" w:cs="Arial" w:eastAsia="Arial" w:hAnsi="Arial"/>
                <w:sz w:val="18"/>
                <w:szCs w:val="18"/>
                <w:color w:val="auto"/>
              </w:rPr>
              <w:t>The following table presents our segment information:</w:t>
            </w:r>
          </w:p>
        </w:tc>
        <w:tc>
          <w:tcPr>
            <w:tcW w:w="6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5080" w:type="dxa"/>
            <w:vAlign w:val="bottom"/>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gridSpan w:val="2"/>
          </w:tcPr>
          <w:p>
            <w:pPr>
              <w:jc w:val="right"/>
              <w:ind w:right="70"/>
              <w:spacing w:after="0"/>
              <w:rPr>
                <w:sz w:val="20"/>
                <w:szCs w:val="20"/>
                <w:color w:val="auto"/>
              </w:rPr>
            </w:pPr>
            <w:r>
              <w:rPr>
                <w:rFonts w:ascii="Arial" w:cs="Arial" w:eastAsia="Arial" w:hAnsi="Arial"/>
                <w:sz w:val="18"/>
                <w:szCs w:val="18"/>
                <w:b w:val="1"/>
                <w:bCs w:val="1"/>
                <w:color w:val="auto"/>
              </w:rPr>
              <w:t>Quarter Ended</w:t>
            </w:r>
          </w:p>
        </w:tc>
        <w:tc>
          <w:tcPr>
            <w:tcW w:w="74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w w:val="91"/>
              </w:rPr>
              <w:t>Nine Months Ended</w:t>
            </w:r>
          </w:p>
        </w:tc>
        <w:tc>
          <w:tcPr>
            <w:tcW w:w="6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10"/>
        </w:trPr>
        <w:tc>
          <w:tcPr>
            <w:tcW w:w="5080" w:type="dxa"/>
            <w:vAlign w:val="bottom"/>
          </w:tcPr>
          <w:p>
            <w:pPr>
              <w:spacing w:after="0"/>
              <w:rPr>
                <w:sz w:val="18"/>
                <w:szCs w:val="18"/>
                <w:color w:val="auto"/>
              </w:rPr>
            </w:pPr>
          </w:p>
        </w:tc>
        <w:tc>
          <w:tcPr>
            <w:tcW w:w="1480" w:type="dxa"/>
            <w:vAlign w:val="bottom"/>
            <w:tcBorders>
              <w:bottom w:val="single" w:sz="8" w:color="auto"/>
            </w:tcBorders>
            <w:gridSpan w:val="2"/>
          </w:tcPr>
          <w:p>
            <w:pPr>
              <w:jc w:val="right"/>
              <w:ind w:right="91"/>
              <w:spacing w:after="0"/>
              <w:rPr>
                <w:sz w:val="20"/>
                <w:szCs w:val="20"/>
                <w:color w:val="auto"/>
              </w:rPr>
            </w:pPr>
            <w:r>
              <w:rPr>
                <w:rFonts w:ascii="Arial" w:cs="Arial" w:eastAsia="Arial" w:hAnsi="Arial"/>
                <w:sz w:val="18"/>
                <w:szCs w:val="18"/>
                <w:b w:val="1"/>
                <w:bCs w:val="1"/>
                <w:color w:val="auto"/>
                <w:w w:val="93"/>
              </w:rPr>
              <w:t>August 26, 2023</w:t>
            </w:r>
          </w:p>
        </w:tc>
        <w:tc>
          <w:tcPr>
            <w:tcW w:w="14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August 27, 2022</w:t>
            </w:r>
          </w:p>
        </w:tc>
        <w:tc>
          <w:tcPr>
            <w:tcW w:w="200" w:type="dxa"/>
            <w:vAlign w:val="bottom"/>
          </w:tcPr>
          <w:p>
            <w:pPr>
              <w:spacing w:after="0"/>
              <w:rPr>
                <w:sz w:val="18"/>
                <w:szCs w:val="18"/>
                <w:color w:val="auto"/>
              </w:rPr>
            </w:pPr>
          </w:p>
        </w:tc>
        <w:tc>
          <w:tcPr>
            <w:tcW w:w="1480" w:type="dxa"/>
            <w:vAlign w:val="bottom"/>
            <w:tcBorders>
              <w:bottom w:val="single" w:sz="8" w:color="auto"/>
            </w:tcBorders>
            <w:gridSpan w:val="3"/>
          </w:tcPr>
          <w:p>
            <w:pPr>
              <w:jc w:val="right"/>
              <w:ind w:right="200"/>
              <w:spacing w:after="0"/>
              <w:rPr>
                <w:sz w:val="20"/>
                <w:szCs w:val="20"/>
                <w:color w:val="auto"/>
              </w:rPr>
            </w:pPr>
            <w:r>
              <w:rPr>
                <w:rFonts w:ascii="Arial" w:cs="Arial" w:eastAsia="Arial" w:hAnsi="Arial"/>
                <w:sz w:val="18"/>
                <w:szCs w:val="18"/>
                <w:b w:val="1"/>
                <w:bCs w:val="1"/>
                <w:color w:val="auto"/>
                <w:w w:val="91"/>
              </w:rPr>
              <w:t>August 26, 2023</w:t>
            </w:r>
          </w:p>
        </w:tc>
        <w:tc>
          <w:tcPr>
            <w:tcW w:w="14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7"/>
              </w:rPr>
              <w:t>August 27, 2022</w:t>
            </w:r>
          </w:p>
        </w:tc>
        <w:tc>
          <w:tcPr>
            <w:tcW w:w="100" w:type="dxa"/>
            <w:vAlign w:val="bottom"/>
          </w:tcPr>
          <w:p>
            <w:pPr>
              <w:spacing w:after="0"/>
              <w:rPr>
                <w:sz w:val="18"/>
                <w:szCs w:val="18"/>
                <w:color w:val="auto"/>
              </w:rPr>
            </w:pPr>
          </w:p>
        </w:tc>
      </w:tr>
      <w:tr>
        <w:trPr>
          <w:trHeight w:val="209"/>
        </w:trPr>
        <w:tc>
          <w:tcPr>
            <w:tcW w:w="5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Sales Revenue</w:t>
            </w:r>
          </w:p>
        </w:tc>
        <w:tc>
          <w:tcPr>
            <w:tcW w:w="6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74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tcBorders>
              <w:left w:val="single" w:sz="8" w:color="CCEEFF"/>
            </w:tcBorders>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080" w:type="dxa"/>
            <w:vAlign w:val="bottom"/>
          </w:tcPr>
          <w:p>
            <w:pPr>
              <w:spacing w:after="0"/>
              <w:rPr>
                <w:sz w:val="20"/>
                <w:szCs w:val="20"/>
                <w:color w:val="auto"/>
              </w:rPr>
            </w:pPr>
            <w:r>
              <w:rPr>
                <w:rFonts w:ascii="Arial" w:cs="Arial" w:eastAsia="Arial" w:hAnsi="Arial"/>
                <w:sz w:val="18"/>
                <w:szCs w:val="18"/>
                <w:color w:val="auto"/>
              </w:rPr>
              <w:t>Wholesale sales of furniture and accessories</w:t>
            </w:r>
          </w:p>
        </w:tc>
        <w:tc>
          <w:tcPr>
            <w:tcW w:w="600" w:type="dxa"/>
            <w:vAlign w:val="bottom"/>
          </w:tcPr>
          <w:p>
            <w:pPr>
              <w:jc w:val="right"/>
              <w:ind w:right="41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56,660</w:t>
            </w:r>
          </w:p>
        </w:tc>
        <w:tc>
          <w:tcPr>
            <w:tcW w:w="74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78,959</w:t>
            </w:r>
          </w:p>
        </w:tc>
        <w:tc>
          <w:tcPr>
            <w:tcW w:w="660" w:type="dxa"/>
            <w:vAlign w:val="bottom"/>
          </w:tcPr>
          <w:p>
            <w:pPr>
              <w:jc w:val="right"/>
              <w:ind w:right="470"/>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188,318</w:t>
            </w:r>
          </w:p>
        </w:tc>
        <w:tc>
          <w:tcPr>
            <w:tcW w:w="780" w:type="dxa"/>
            <w:vAlign w:val="bottom"/>
          </w:tcPr>
          <w:p>
            <w:pPr>
              <w:jc w:val="right"/>
              <w:ind w:right="53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249,945</w:t>
            </w:r>
          </w:p>
        </w:tc>
      </w:tr>
      <w:tr>
        <w:trPr>
          <w:trHeight w:val="216"/>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Less: Sales to retail segment</w:t>
            </w:r>
          </w:p>
        </w:tc>
        <w:tc>
          <w:tcPr>
            <w:tcW w:w="6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(23,503)</w:t>
            </w:r>
          </w:p>
        </w:tc>
        <w:tc>
          <w:tcPr>
            <w:tcW w:w="7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(31,833)</w:t>
            </w:r>
          </w:p>
        </w:tc>
        <w:tc>
          <w:tcPr>
            <w:tcW w:w="660" w:type="dxa"/>
            <w:vAlign w:val="bottom"/>
            <w:shd w:val="clear" w:color="auto" w:fill="CCEEFF"/>
          </w:tcPr>
          <w:p>
            <w:pPr>
              <w:spacing w:after="0"/>
              <w:rPr>
                <w:sz w:val="18"/>
                <w:szCs w:val="18"/>
                <w:color w:val="auto"/>
              </w:rPr>
            </w:pPr>
          </w:p>
        </w:tc>
        <w:tc>
          <w:tcPr>
            <w:tcW w:w="820" w:type="dxa"/>
            <w:vAlign w:val="bottom"/>
            <w:tcBorders>
              <w:lef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(77,932)</w:t>
            </w:r>
          </w:p>
        </w:tc>
        <w:tc>
          <w:tcPr>
            <w:tcW w:w="7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(95,976)</w:t>
            </w:r>
          </w:p>
        </w:tc>
      </w:tr>
      <w:tr>
        <w:trPr>
          <w:trHeight w:val="20"/>
        </w:trPr>
        <w:tc>
          <w:tcPr>
            <w:tcW w:w="5080" w:type="dxa"/>
            <w:vAlign w:val="bottom"/>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740" w:type="dxa"/>
            <w:vAlign w:val="bottom"/>
            <w:tcBorders>
              <w:right w:val="single" w:sz="8" w:color="CCEEFF"/>
            </w:tcBorders>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5080" w:type="dxa"/>
            <w:vAlign w:val="bottom"/>
          </w:tcPr>
          <w:p>
            <w:pPr>
              <w:ind w:left="180"/>
              <w:spacing w:after="0"/>
              <w:rPr>
                <w:sz w:val="20"/>
                <w:szCs w:val="20"/>
                <w:color w:val="auto"/>
              </w:rPr>
            </w:pPr>
            <w:r>
              <w:rPr>
                <w:rFonts w:ascii="Arial" w:cs="Arial" w:eastAsia="Arial" w:hAnsi="Arial"/>
                <w:sz w:val="18"/>
                <w:szCs w:val="18"/>
                <w:color w:val="auto"/>
              </w:rPr>
              <w:t>Wholesale sales to external customers</w:t>
            </w:r>
          </w:p>
        </w:tc>
        <w:tc>
          <w:tcPr>
            <w:tcW w:w="600" w:type="dxa"/>
            <w:vAlign w:val="bottom"/>
          </w:tcPr>
          <w:p>
            <w:pPr>
              <w:spacing w:after="0"/>
              <w:rPr>
                <w:sz w:val="18"/>
                <w:szCs w:val="18"/>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33,157</w:t>
            </w:r>
          </w:p>
        </w:tc>
        <w:tc>
          <w:tcPr>
            <w:tcW w:w="74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47,126</w:t>
            </w:r>
          </w:p>
        </w:tc>
        <w:tc>
          <w:tcPr>
            <w:tcW w:w="66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110,386</w:t>
            </w:r>
          </w:p>
        </w:tc>
        <w:tc>
          <w:tcPr>
            <w:tcW w:w="78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153,969</w:t>
            </w:r>
          </w:p>
        </w:tc>
      </w:tr>
      <w:tr>
        <w:trPr>
          <w:trHeight w:val="216"/>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Retail sales of furniture and accessories</w:t>
            </w:r>
          </w:p>
        </w:tc>
        <w:tc>
          <w:tcPr>
            <w:tcW w:w="6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52,264</w:t>
            </w:r>
          </w:p>
        </w:tc>
        <w:tc>
          <w:tcPr>
            <w:tcW w:w="7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70,886</w:t>
            </w:r>
          </w:p>
        </w:tc>
        <w:tc>
          <w:tcPr>
            <w:tcW w:w="660" w:type="dxa"/>
            <w:vAlign w:val="bottom"/>
            <w:shd w:val="clear" w:color="auto" w:fill="CCEEFF"/>
          </w:tcPr>
          <w:p>
            <w:pPr>
              <w:spacing w:after="0"/>
              <w:rPr>
                <w:sz w:val="18"/>
                <w:szCs w:val="18"/>
                <w:color w:val="auto"/>
              </w:rPr>
            </w:pPr>
          </w:p>
        </w:tc>
        <w:tc>
          <w:tcPr>
            <w:tcW w:w="820" w:type="dxa"/>
            <w:vAlign w:val="bottom"/>
            <w:tcBorders>
              <w:lef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178,004</w:t>
            </w:r>
          </w:p>
        </w:tc>
        <w:tc>
          <w:tcPr>
            <w:tcW w:w="7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210,613</w:t>
            </w:r>
          </w:p>
        </w:tc>
      </w:tr>
      <w:tr>
        <w:trPr>
          <w:trHeight w:val="216"/>
        </w:trPr>
        <w:tc>
          <w:tcPr>
            <w:tcW w:w="5080" w:type="dxa"/>
            <w:vAlign w:val="bottom"/>
          </w:tcPr>
          <w:p>
            <w:pPr>
              <w:spacing w:after="0"/>
              <w:rPr>
                <w:sz w:val="20"/>
                <w:szCs w:val="20"/>
                <w:color w:val="auto"/>
              </w:rPr>
            </w:pPr>
            <w:r>
              <w:rPr>
                <w:rFonts w:ascii="Arial" w:cs="Arial" w:eastAsia="Arial" w:hAnsi="Arial"/>
                <w:sz w:val="18"/>
                <w:szCs w:val="18"/>
                <w:color w:val="auto"/>
              </w:rPr>
              <w:t>Corporate and other</w:t>
            </w:r>
          </w:p>
        </w:tc>
        <w:tc>
          <w:tcPr>
            <w:tcW w:w="6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1,796</w:t>
            </w:r>
          </w:p>
        </w:tc>
        <w:tc>
          <w:tcPr>
            <w:tcW w:w="7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7,044</w:t>
            </w:r>
          </w:p>
        </w:tc>
        <w:tc>
          <w:tcPr>
            <w:tcW w:w="7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50"/>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Consolidated net sales of furniture and accessories</w:t>
            </w:r>
          </w:p>
        </w:tc>
        <w:tc>
          <w:tcPr>
            <w:tcW w:w="60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87,217</w:t>
            </w:r>
          </w:p>
        </w:tc>
        <w:tc>
          <w:tcPr>
            <w:tcW w:w="74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118,012</w:t>
            </w:r>
          </w:p>
        </w:tc>
        <w:tc>
          <w:tcPr>
            <w:tcW w:w="66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w w:val="79"/>
              </w:rPr>
              <w:t>$</w:t>
            </w:r>
          </w:p>
        </w:tc>
        <w:tc>
          <w:tcPr>
            <w:tcW w:w="820" w:type="dxa"/>
            <w:vAlign w:val="bottom"/>
            <w:tcBorders>
              <w:lef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295,434</w:t>
            </w:r>
          </w:p>
        </w:tc>
        <w:tc>
          <w:tcPr>
            <w:tcW w:w="78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364,582</w:t>
            </w:r>
          </w:p>
        </w:tc>
      </w:tr>
      <w:tr>
        <w:trPr>
          <w:trHeight w:val="196"/>
        </w:trPr>
        <w:tc>
          <w:tcPr>
            <w:tcW w:w="5080" w:type="dxa"/>
            <w:vAlign w:val="bottom"/>
            <w:tcBorders>
              <w:top w:val="single" w:sz="8" w:color="CCEEFF"/>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16"/>
        </w:trPr>
        <w:tc>
          <w:tcPr>
            <w:tcW w:w="5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(Loss) from Operations</w:t>
            </w:r>
          </w:p>
        </w:tc>
        <w:tc>
          <w:tcPr>
            <w:tcW w:w="6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74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tcBorders>
              <w:left w:val="single" w:sz="8" w:color="CCEEFF"/>
            </w:tcBorders>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080" w:type="dxa"/>
            <w:vAlign w:val="bottom"/>
          </w:tcPr>
          <w:p>
            <w:pPr>
              <w:spacing w:after="0"/>
              <w:rPr>
                <w:sz w:val="20"/>
                <w:szCs w:val="20"/>
                <w:color w:val="auto"/>
              </w:rPr>
            </w:pPr>
            <w:r>
              <w:rPr>
                <w:rFonts w:ascii="Arial" w:cs="Arial" w:eastAsia="Arial" w:hAnsi="Arial"/>
                <w:sz w:val="18"/>
                <w:szCs w:val="18"/>
                <w:color w:val="auto"/>
              </w:rPr>
              <w:t>Wholesale</w:t>
            </w:r>
          </w:p>
        </w:tc>
        <w:tc>
          <w:tcPr>
            <w:tcW w:w="600" w:type="dxa"/>
            <w:vAlign w:val="bottom"/>
          </w:tcPr>
          <w:p>
            <w:pPr>
              <w:jc w:val="right"/>
              <w:ind w:right="41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6,340</w:t>
            </w:r>
          </w:p>
        </w:tc>
        <w:tc>
          <w:tcPr>
            <w:tcW w:w="74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9,989</w:t>
            </w:r>
          </w:p>
        </w:tc>
        <w:tc>
          <w:tcPr>
            <w:tcW w:w="200" w:type="dxa"/>
            <w:vAlign w:val="bottom"/>
          </w:tcPr>
          <w:p>
            <w:pPr>
              <w:spacing w:after="0"/>
              <w:rPr>
                <w:sz w:val="18"/>
                <w:szCs w:val="18"/>
                <w:color w:val="auto"/>
              </w:rPr>
            </w:pPr>
          </w:p>
        </w:tc>
        <w:tc>
          <w:tcPr>
            <w:tcW w:w="660" w:type="dxa"/>
            <w:vAlign w:val="bottom"/>
          </w:tcPr>
          <w:p>
            <w:pPr>
              <w:jc w:val="right"/>
              <w:ind w:right="470"/>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22,339</w:t>
            </w:r>
          </w:p>
        </w:tc>
        <w:tc>
          <w:tcPr>
            <w:tcW w:w="780" w:type="dxa"/>
            <w:vAlign w:val="bottom"/>
          </w:tcPr>
          <w:p>
            <w:pPr>
              <w:jc w:val="right"/>
              <w:ind w:right="53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31,656</w:t>
            </w:r>
          </w:p>
        </w:tc>
      </w:tr>
      <w:tr>
        <w:trPr>
          <w:trHeight w:val="216"/>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Retail - Company-owned stores</w:t>
            </w:r>
          </w:p>
        </w:tc>
        <w:tc>
          <w:tcPr>
            <w:tcW w:w="6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(3,036)</w:t>
            </w:r>
          </w:p>
        </w:tc>
        <w:tc>
          <w:tcPr>
            <w:tcW w:w="740" w:type="dxa"/>
            <w:vAlign w:val="bottom"/>
            <w:shd w:val="clear" w:color="auto" w:fill="CCEEFF"/>
          </w:tcPr>
          <w:p>
            <w:pPr>
              <w:spacing w:after="0"/>
              <w:rPr>
                <w:sz w:val="18"/>
                <w:szCs w:val="18"/>
                <w:color w:val="auto"/>
              </w:rPr>
            </w:pPr>
          </w:p>
        </w:tc>
        <w:tc>
          <w:tcPr>
            <w:tcW w:w="7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3,889</w:t>
            </w: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20" w:type="dxa"/>
            <w:vAlign w:val="bottom"/>
            <w:tcBorders>
              <w:lef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(751)</w:t>
            </w:r>
          </w:p>
        </w:tc>
        <w:tc>
          <w:tcPr>
            <w:tcW w:w="7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13,804</w:t>
            </w:r>
          </w:p>
        </w:tc>
      </w:tr>
      <w:tr>
        <w:trPr>
          <w:trHeight w:val="216"/>
        </w:trPr>
        <w:tc>
          <w:tcPr>
            <w:tcW w:w="5080" w:type="dxa"/>
            <w:vAlign w:val="bottom"/>
          </w:tcPr>
          <w:p>
            <w:pPr>
              <w:spacing w:after="0"/>
              <w:rPr>
                <w:sz w:val="20"/>
                <w:szCs w:val="20"/>
                <w:color w:val="auto"/>
              </w:rPr>
            </w:pPr>
            <w:r>
              <w:rPr>
                <w:rFonts w:ascii="Arial" w:cs="Arial" w:eastAsia="Arial" w:hAnsi="Arial"/>
                <w:sz w:val="18"/>
                <w:szCs w:val="18"/>
                <w:color w:val="auto"/>
              </w:rPr>
              <w:t>Net expenses - Corporate and other</w:t>
            </w:r>
          </w:p>
        </w:tc>
        <w:tc>
          <w:tcPr>
            <w:tcW w:w="6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(7,420)</w:t>
            </w:r>
          </w:p>
        </w:tc>
        <w:tc>
          <w:tcPr>
            <w:tcW w:w="74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(7,839)</w:t>
            </w:r>
          </w:p>
        </w:tc>
        <w:tc>
          <w:tcPr>
            <w:tcW w:w="66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(22,140)</w:t>
            </w:r>
          </w:p>
        </w:tc>
        <w:tc>
          <w:tcPr>
            <w:tcW w:w="78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(21,633)</w:t>
            </w:r>
          </w:p>
        </w:tc>
      </w:tr>
      <w:tr>
        <w:trPr>
          <w:trHeight w:val="216"/>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Inter-company elimination</w:t>
            </w:r>
          </w:p>
        </w:tc>
        <w:tc>
          <w:tcPr>
            <w:tcW w:w="6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312</w:t>
            </w:r>
          </w:p>
        </w:tc>
        <w:tc>
          <w:tcPr>
            <w:tcW w:w="740" w:type="dxa"/>
            <w:vAlign w:val="bottom"/>
            <w:shd w:val="clear" w:color="auto" w:fill="CCEEFF"/>
          </w:tcPr>
          <w:p>
            <w:pPr>
              <w:spacing w:after="0"/>
              <w:rPr>
                <w:sz w:val="18"/>
                <w:szCs w:val="18"/>
                <w:color w:val="auto"/>
              </w:rPr>
            </w:pPr>
          </w:p>
        </w:tc>
        <w:tc>
          <w:tcPr>
            <w:tcW w:w="7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20" w:type="dxa"/>
            <w:vAlign w:val="bottom"/>
            <w:tcBorders>
              <w:lef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917</w:t>
            </w:r>
          </w:p>
        </w:tc>
        <w:tc>
          <w:tcPr>
            <w:tcW w:w="7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(260)</w:t>
            </w:r>
          </w:p>
        </w:tc>
      </w:tr>
      <w:tr>
        <w:trPr>
          <w:trHeight w:val="216"/>
        </w:trPr>
        <w:tc>
          <w:tcPr>
            <w:tcW w:w="5080" w:type="dxa"/>
            <w:vAlign w:val="bottom"/>
          </w:tcPr>
          <w:p>
            <w:pPr>
              <w:spacing w:after="0"/>
              <w:rPr>
                <w:sz w:val="20"/>
                <w:szCs w:val="20"/>
                <w:color w:val="auto"/>
              </w:rPr>
            </w:pPr>
            <w:r>
              <w:rPr>
                <w:rFonts w:ascii="Arial" w:cs="Arial" w:eastAsia="Arial" w:hAnsi="Arial"/>
                <w:sz w:val="18"/>
                <w:szCs w:val="18"/>
                <w:color w:val="auto"/>
              </w:rPr>
              <w:t>Gain on revaluation of contingent consideration</w:t>
            </w:r>
          </w:p>
        </w:tc>
        <w:tc>
          <w:tcPr>
            <w:tcW w:w="600" w:type="dxa"/>
            <w:vAlign w:val="bottom"/>
          </w:tcPr>
          <w:p>
            <w:pPr>
              <w:spacing w:after="0"/>
              <w:rPr>
                <w:sz w:val="18"/>
                <w:szCs w:val="18"/>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7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1,013</w:t>
            </w:r>
          </w:p>
        </w:tc>
        <w:tc>
          <w:tcPr>
            <w:tcW w:w="78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50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Gain on sale of real estate</w:t>
            </w:r>
          </w:p>
        </w:tc>
        <w:tc>
          <w:tcPr>
            <w:tcW w:w="6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4,595</w:t>
            </w:r>
          </w:p>
        </w:tc>
        <w:tc>
          <w:tcPr>
            <w:tcW w:w="20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spacing w:after="0"/>
              <w:rPr>
                <w:sz w:val="18"/>
                <w:szCs w:val="18"/>
                <w:color w:val="auto"/>
              </w:rPr>
            </w:pPr>
          </w:p>
        </w:tc>
        <w:tc>
          <w:tcPr>
            <w:tcW w:w="820" w:type="dxa"/>
            <w:vAlign w:val="bottom"/>
            <w:tcBorders>
              <w:left w:val="single" w:sz="8" w:color="CCEEFF"/>
              <w:bottom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4,595</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5080" w:type="dxa"/>
            <w:vAlign w:val="bottom"/>
          </w:tcPr>
          <w:p>
            <w:pPr>
              <w:spacing w:after="0"/>
              <w:rPr>
                <w:sz w:val="20"/>
                <w:szCs w:val="20"/>
                <w:color w:val="auto"/>
              </w:rPr>
            </w:pPr>
            <w:r>
              <w:rPr>
                <w:rFonts w:ascii="Arial" w:cs="Arial" w:eastAsia="Arial" w:hAnsi="Arial"/>
                <w:sz w:val="18"/>
                <w:szCs w:val="18"/>
                <w:color w:val="auto"/>
              </w:rPr>
              <w:t>Consolidated</w:t>
            </w:r>
          </w:p>
        </w:tc>
        <w:tc>
          <w:tcPr>
            <w:tcW w:w="600" w:type="dxa"/>
            <w:vAlign w:val="bottom"/>
          </w:tcPr>
          <w:p>
            <w:pPr>
              <w:jc w:val="right"/>
              <w:ind w:right="41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(3,804)</w:t>
            </w:r>
          </w:p>
        </w:tc>
        <w:tc>
          <w:tcPr>
            <w:tcW w:w="74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10,672</w:t>
            </w:r>
          </w:p>
        </w:tc>
        <w:tc>
          <w:tcPr>
            <w:tcW w:w="660" w:type="dxa"/>
            <w:vAlign w:val="bottom"/>
          </w:tcPr>
          <w:p>
            <w:pPr>
              <w:jc w:val="right"/>
              <w:ind w:right="470"/>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1,378</w:t>
            </w:r>
          </w:p>
        </w:tc>
        <w:tc>
          <w:tcPr>
            <w:tcW w:w="780" w:type="dxa"/>
            <w:vAlign w:val="bottom"/>
          </w:tcPr>
          <w:p>
            <w:pPr>
              <w:jc w:val="right"/>
              <w:ind w:right="53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28,162</w:t>
            </w:r>
          </w:p>
        </w:tc>
      </w:tr>
      <w:tr>
        <w:trPr>
          <w:trHeight w:val="20"/>
        </w:trPr>
        <w:tc>
          <w:tcPr>
            <w:tcW w:w="50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50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740" w:type="dxa"/>
            <w:vAlign w:val="bottom"/>
            <w:tcBorders>
              <w:right w:val="single" w:sz="8" w:color="CCEEFF"/>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tcBorders>
              <w:left w:val="single" w:sz="8" w:color="CCEEFF"/>
            </w:tcBorders>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5080" w:type="dxa"/>
            <w:vAlign w:val="bottom"/>
          </w:tcPr>
          <w:p>
            <w:pPr>
              <w:spacing w:after="0"/>
              <w:rPr>
                <w:sz w:val="20"/>
                <w:szCs w:val="20"/>
                <w:color w:val="auto"/>
              </w:rPr>
            </w:pPr>
            <w:r>
              <w:rPr>
                <w:rFonts w:ascii="Arial" w:cs="Arial" w:eastAsia="Arial" w:hAnsi="Arial"/>
                <w:sz w:val="18"/>
                <w:szCs w:val="18"/>
                <w:b w:val="1"/>
                <w:bCs w:val="1"/>
                <w:color w:val="auto"/>
              </w:rPr>
              <w:t>Depreciation and Amortization</w:t>
            </w:r>
          </w:p>
        </w:tc>
        <w:tc>
          <w:tcPr>
            <w:tcW w:w="6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Wholesale</w:t>
            </w:r>
          </w:p>
        </w:tc>
        <w:tc>
          <w:tcPr>
            <w:tcW w:w="60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618</w:t>
            </w:r>
          </w:p>
        </w:tc>
        <w:tc>
          <w:tcPr>
            <w:tcW w:w="74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601</w:t>
            </w:r>
          </w:p>
        </w:tc>
        <w:tc>
          <w:tcPr>
            <w:tcW w:w="66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w w:val="79"/>
              </w:rPr>
              <w:t>$</w:t>
            </w:r>
          </w:p>
        </w:tc>
        <w:tc>
          <w:tcPr>
            <w:tcW w:w="820" w:type="dxa"/>
            <w:vAlign w:val="bottom"/>
            <w:tcBorders>
              <w:lef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1,838</w:t>
            </w:r>
          </w:p>
        </w:tc>
        <w:tc>
          <w:tcPr>
            <w:tcW w:w="78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1,774</w:t>
            </w:r>
          </w:p>
        </w:tc>
      </w:tr>
      <w:tr>
        <w:trPr>
          <w:trHeight w:val="216"/>
        </w:trPr>
        <w:tc>
          <w:tcPr>
            <w:tcW w:w="5080" w:type="dxa"/>
            <w:vAlign w:val="bottom"/>
          </w:tcPr>
          <w:p>
            <w:pPr>
              <w:spacing w:after="0"/>
              <w:rPr>
                <w:sz w:val="20"/>
                <w:szCs w:val="20"/>
                <w:color w:val="auto"/>
              </w:rPr>
            </w:pPr>
            <w:r>
              <w:rPr>
                <w:rFonts w:ascii="Arial" w:cs="Arial" w:eastAsia="Arial" w:hAnsi="Arial"/>
                <w:sz w:val="18"/>
                <w:szCs w:val="18"/>
                <w:color w:val="auto"/>
              </w:rPr>
              <w:t>Retail - Company-owned stores</w:t>
            </w:r>
          </w:p>
        </w:tc>
        <w:tc>
          <w:tcPr>
            <w:tcW w:w="600" w:type="dxa"/>
            <w:vAlign w:val="bottom"/>
          </w:tcPr>
          <w:p>
            <w:pPr>
              <w:spacing w:after="0"/>
              <w:rPr>
                <w:sz w:val="18"/>
                <w:szCs w:val="18"/>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1,335</w:t>
            </w:r>
          </w:p>
        </w:tc>
        <w:tc>
          <w:tcPr>
            <w:tcW w:w="7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1,454</w:t>
            </w: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4,167</w:t>
            </w:r>
          </w:p>
        </w:tc>
        <w:tc>
          <w:tcPr>
            <w:tcW w:w="78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4,429</w:t>
            </w:r>
          </w:p>
        </w:tc>
      </w:tr>
      <w:tr>
        <w:trPr>
          <w:trHeight w:val="216"/>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Corporate and other</w:t>
            </w:r>
          </w:p>
        </w:tc>
        <w:tc>
          <w:tcPr>
            <w:tcW w:w="6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640</w:t>
            </w:r>
          </w:p>
        </w:tc>
        <w:tc>
          <w:tcPr>
            <w:tcW w:w="7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613</w:t>
            </w:r>
          </w:p>
        </w:tc>
        <w:tc>
          <w:tcPr>
            <w:tcW w:w="660" w:type="dxa"/>
            <w:vAlign w:val="bottom"/>
            <w:shd w:val="clear" w:color="auto" w:fill="CCEEFF"/>
          </w:tcPr>
          <w:p>
            <w:pPr>
              <w:spacing w:after="0"/>
              <w:rPr>
                <w:sz w:val="18"/>
                <w:szCs w:val="18"/>
                <w:color w:val="auto"/>
              </w:rPr>
            </w:pPr>
          </w:p>
        </w:tc>
        <w:tc>
          <w:tcPr>
            <w:tcW w:w="820" w:type="dxa"/>
            <w:vAlign w:val="bottom"/>
            <w:tcBorders>
              <w:lef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1,497</w:t>
            </w:r>
          </w:p>
        </w:tc>
        <w:tc>
          <w:tcPr>
            <w:tcW w:w="7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1,264</w:t>
            </w:r>
          </w:p>
        </w:tc>
      </w:tr>
      <w:tr>
        <w:trPr>
          <w:trHeight w:val="210"/>
        </w:trPr>
        <w:tc>
          <w:tcPr>
            <w:tcW w:w="508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Consolidated</w:t>
            </w:r>
          </w:p>
        </w:tc>
        <w:tc>
          <w:tcPr>
            <w:tcW w:w="60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2,593</w:t>
            </w:r>
          </w:p>
        </w:tc>
        <w:tc>
          <w:tcPr>
            <w:tcW w:w="74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2,668</w:t>
            </w:r>
          </w:p>
        </w:tc>
        <w:tc>
          <w:tcPr>
            <w:tcW w:w="200" w:type="dxa"/>
            <w:vAlign w:val="bottom"/>
            <w:tcBorders>
              <w:top w:val="single" w:sz="8" w:color="CCEEFF"/>
            </w:tcBorders>
          </w:tcPr>
          <w:p>
            <w:pPr>
              <w:spacing w:after="0"/>
              <w:rPr>
                <w:sz w:val="18"/>
                <w:szCs w:val="18"/>
                <w:color w:val="auto"/>
              </w:rPr>
            </w:pPr>
          </w:p>
        </w:tc>
        <w:tc>
          <w:tcPr>
            <w:tcW w:w="66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7,502</w:t>
            </w:r>
          </w:p>
        </w:tc>
        <w:tc>
          <w:tcPr>
            <w:tcW w:w="780" w:type="dxa"/>
            <w:vAlign w:val="bottom"/>
            <w:tcBorders>
              <w:top w:val="single" w:sz="8" w:color="auto"/>
              <w:bottom w:val="single" w:sz="8" w:color="auto"/>
            </w:tcBorders>
          </w:tcPr>
          <w:p>
            <w:pPr>
              <w:jc w:val="right"/>
              <w:ind w:right="530"/>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7,467</w:t>
            </w:r>
          </w:p>
        </w:tc>
        <w:tc>
          <w:tcPr>
            <w:tcW w:w="100" w:type="dxa"/>
            <w:vAlign w:val="bottom"/>
            <w:tcBorders>
              <w:top w:val="single" w:sz="8" w:color="CCEEFF"/>
            </w:tcBorders>
          </w:tcPr>
          <w:p>
            <w:pPr>
              <w:spacing w:after="0"/>
              <w:rPr>
                <w:sz w:val="18"/>
                <w:szCs w:val="18"/>
                <w:color w:val="auto"/>
              </w:rPr>
            </w:pPr>
          </w:p>
        </w:tc>
      </w:tr>
      <w:tr>
        <w:trPr>
          <w:trHeight w:val="20"/>
        </w:trPr>
        <w:tc>
          <w:tcPr>
            <w:tcW w:w="50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50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740" w:type="dxa"/>
            <w:vAlign w:val="bottom"/>
            <w:tcBorders>
              <w:right w:val="single" w:sz="8" w:color="CCEEFF"/>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tcBorders>
              <w:left w:val="single" w:sz="8" w:color="CCEEFF"/>
            </w:tcBorders>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5080" w:type="dxa"/>
            <w:vAlign w:val="bottom"/>
          </w:tcPr>
          <w:p>
            <w:pPr>
              <w:spacing w:after="0"/>
              <w:rPr>
                <w:sz w:val="20"/>
                <w:szCs w:val="20"/>
                <w:color w:val="auto"/>
              </w:rPr>
            </w:pPr>
            <w:r>
              <w:rPr>
                <w:rFonts w:ascii="Arial" w:cs="Arial" w:eastAsia="Arial" w:hAnsi="Arial"/>
                <w:sz w:val="18"/>
                <w:szCs w:val="18"/>
                <w:b w:val="1"/>
                <w:bCs w:val="1"/>
                <w:color w:val="auto"/>
              </w:rPr>
              <w:t>Capital Expenditures</w:t>
            </w:r>
          </w:p>
        </w:tc>
        <w:tc>
          <w:tcPr>
            <w:tcW w:w="6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Wholesale</w:t>
            </w:r>
          </w:p>
        </w:tc>
        <w:tc>
          <w:tcPr>
            <w:tcW w:w="60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715</w:t>
            </w:r>
          </w:p>
        </w:tc>
        <w:tc>
          <w:tcPr>
            <w:tcW w:w="74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w:t>
            </w:r>
          </w:p>
        </w:tc>
        <w:tc>
          <w:tcPr>
            <w:tcW w:w="7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2,108</w:t>
            </w: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w w:val="79"/>
              </w:rPr>
              <w:t>$</w:t>
            </w:r>
          </w:p>
        </w:tc>
        <w:tc>
          <w:tcPr>
            <w:tcW w:w="820" w:type="dxa"/>
            <w:vAlign w:val="bottom"/>
            <w:tcBorders>
              <w:lef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2,064</w:t>
            </w:r>
          </w:p>
        </w:tc>
        <w:tc>
          <w:tcPr>
            <w:tcW w:w="78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4,539</w:t>
            </w:r>
          </w:p>
        </w:tc>
      </w:tr>
      <w:tr>
        <w:trPr>
          <w:trHeight w:val="216"/>
        </w:trPr>
        <w:tc>
          <w:tcPr>
            <w:tcW w:w="5080" w:type="dxa"/>
            <w:vAlign w:val="bottom"/>
          </w:tcPr>
          <w:p>
            <w:pPr>
              <w:spacing w:after="0"/>
              <w:rPr>
                <w:sz w:val="20"/>
                <w:szCs w:val="20"/>
                <w:color w:val="auto"/>
              </w:rPr>
            </w:pPr>
            <w:r>
              <w:rPr>
                <w:rFonts w:ascii="Arial" w:cs="Arial" w:eastAsia="Arial" w:hAnsi="Arial"/>
                <w:sz w:val="18"/>
                <w:szCs w:val="18"/>
                <w:color w:val="auto"/>
              </w:rPr>
              <w:t>Retail - Company-owned stores</w:t>
            </w:r>
          </w:p>
        </w:tc>
        <w:tc>
          <w:tcPr>
            <w:tcW w:w="600" w:type="dxa"/>
            <w:vAlign w:val="bottom"/>
          </w:tcPr>
          <w:p>
            <w:pPr>
              <w:spacing w:after="0"/>
              <w:rPr>
                <w:sz w:val="18"/>
                <w:szCs w:val="18"/>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4,776</w:t>
            </w:r>
          </w:p>
        </w:tc>
        <w:tc>
          <w:tcPr>
            <w:tcW w:w="7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1,468</w:t>
            </w: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7,798</w:t>
            </w:r>
          </w:p>
        </w:tc>
        <w:tc>
          <w:tcPr>
            <w:tcW w:w="78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9,869</w:t>
            </w:r>
          </w:p>
        </w:tc>
      </w:tr>
      <w:tr>
        <w:trPr>
          <w:trHeight w:val="216"/>
        </w:trPr>
        <w:tc>
          <w:tcPr>
            <w:tcW w:w="50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Corporate and other</w:t>
            </w:r>
          </w:p>
        </w:tc>
        <w:tc>
          <w:tcPr>
            <w:tcW w:w="6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1,761</w:t>
            </w:r>
          </w:p>
        </w:tc>
        <w:tc>
          <w:tcPr>
            <w:tcW w:w="7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1,052</w:t>
            </w:r>
          </w:p>
        </w:tc>
        <w:tc>
          <w:tcPr>
            <w:tcW w:w="20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spacing w:after="0"/>
              <w:rPr>
                <w:sz w:val="18"/>
                <w:szCs w:val="18"/>
                <w:color w:val="auto"/>
              </w:rPr>
            </w:pPr>
          </w:p>
        </w:tc>
        <w:tc>
          <w:tcPr>
            <w:tcW w:w="820" w:type="dxa"/>
            <w:vAlign w:val="bottom"/>
            <w:tcBorders>
              <w:left w:val="single" w:sz="8" w:color="CCEEFF"/>
              <w:bottom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4,795</w:t>
            </w:r>
          </w:p>
        </w:tc>
        <w:tc>
          <w:tcPr>
            <w:tcW w:w="7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2,858</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5080" w:type="dxa"/>
            <w:vAlign w:val="bottom"/>
          </w:tcPr>
          <w:p>
            <w:pPr>
              <w:spacing w:after="0"/>
              <w:rPr>
                <w:sz w:val="20"/>
                <w:szCs w:val="20"/>
                <w:color w:val="auto"/>
              </w:rPr>
            </w:pPr>
            <w:r>
              <w:rPr>
                <w:rFonts w:ascii="Arial" w:cs="Arial" w:eastAsia="Arial" w:hAnsi="Arial"/>
                <w:sz w:val="18"/>
                <w:szCs w:val="18"/>
                <w:color w:val="auto"/>
              </w:rPr>
              <w:t>Consolidated</w:t>
            </w:r>
          </w:p>
        </w:tc>
        <w:tc>
          <w:tcPr>
            <w:tcW w:w="6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7,252</w:t>
            </w:r>
          </w:p>
        </w:tc>
        <w:tc>
          <w:tcPr>
            <w:tcW w:w="7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4,628</w:t>
            </w:r>
          </w:p>
        </w:tc>
        <w:tc>
          <w:tcPr>
            <w:tcW w:w="200" w:type="dxa"/>
            <w:vAlign w:val="bottom"/>
          </w:tcPr>
          <w:p>
            <w:pPr>
              <w:spacing w:after="0"/>
              <w:rPr>
                <w:sz w:val="18"/>
                <w:szCs w:val="18"/>
                <w:color w:val="auto"/>
              </w:rPr>
            </w:pPr>
          </w:p>
        </w:tc>
        <w:tc>
          <w:tcPr>
            <w:tcW w:w="6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14,657</w:t>
            </w:r>
          </w:p>
        </w:tc>
        <w:tc>
          <w:tcPr>
            <w:tcW w:w="78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17,266</w:t>
            </w:r>
          </w:p>
        </w:tc>
        <w:tc>
          <w:tcPr>
            <w:tcW w:w="100" w:type="dxa"/>
            <w:vAlign w:val="bottom"/>
          </w:tcPr>
          <w:p>
            <w:pPr>
              <w:spacing w:after="0"/>
              <w:rPr>
                <w:sz w:val="18"/>
                <w:szCs w:val="18"/>
                <w:color w:val="auto"/>
              </w:rPr>
            </w:pPr>
          </w:p>
        </w:tc>
      </w:tr>
      <w:tr>
        <w:trPr>
          <w:trHeight w:val="20"/>
        </w:trPr>
        <w:tc>
          <w:tcPr>
            <w:tcW w:w="50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gridSpan w:val="2"/>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94"/>
        </w:trPr>
        <w:tc>
          <w:tcPr>
            <w:tcW w:w="50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20" w:type="dxa"/>
            <w:vAlign w:val="bottom"/>
            <w:gridSpan w:val="2"/>
          </w:tcPr>
          <w:p>
            <w:pPr>
              <w:jc w:val="right"/>
              <w:ind w:right="570"/>
              <w:spacing w:after="0"/>
              <w:rPr>
                <w:sz w:val="20"/>
                <w:szCs w:val="20"/>
                <w:color w:val="auto"/>
              </w:rPr>
            </w:pPr>
            <w:r>
              <w:rPr>
                <w:rFonts w:ascii="Arial" w:cs="Arial" w:eastAsia="Arial" w:hAnsi="Arial"/>
                <w:sz w:val="18"/>
                <w:szCs w:val="18"/>
                <w:b w:val="1"/>
                <w:bCs w:val="1"/>
                <w:color w:val="auto"/>
              </w:rPr>
              <w:t>As of</w:t>
            </w:r>
          </w:p>
        </w:tc>
        <w:tc>
          <w:tcPr>
            <w:tcW w:w="1600" w:type="dxa"/>
            <w:vAlign w:val="bottom"/>
            <w:gridSpan w:val="3"/>
          </w:tcPr>
          <w:p>
            <w:pPr>
              <w:jc w:val="right"/>
              <w:ind w:right="470"/>
              <w:spacing w:after="0"/>
              <w:rPr>
                <w:sz w:val="20"/>
                <w:szCs w:val="20"/>
                <w:color w:val="auto"/>
              </w:rPr>
            </w:pPr>
            <w:r>
              <w:rPr>
                <w:rFonts w:ascii="Arial" w:cs="Arial" w:eastAsia="Arial" w:hAnsi="Arial"/>
                <w:sz w:val="18"/>
                <w:szCs w:val="18"/>
                <w:b w:val="1"/>
                <w:bCs w:val="1"/>
                <w:color w:val="auto"/>
              </w:rPr>
              <w:t>As of</w:t>
            </w: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4"/>
        </w:trPr>
        <w:tc>
          <w:tcPr>
            <w:tcW w:w="50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620" w:type="dxa"/>
            <w:vAlign w:val="bottom"/>
            <w:gridSpan w:val="2"/>
          </w:tcPr>
          <w:p>
            <w:pPr>
              <w:jc w:val="right"/>
              <w:ind w:right="150"/>
              <w:spacing w:after="0"/>
              <w:rPr>
                <w:sz w:val="20"/>
                <w:szCs w:val="20"/>
                <w:color w:val="auto"/>
              </w:rPr>
            </w:pPr>
            <w:r>
              <w:rPr>
                <w:rFonts w:ascii="Arial" w:cs="Arial" w:eastAsia="Arial" w:hAnsi="Arial"/>
                <w:sz w:val="18"/>
                <w:szCs w:val="18"/>
                <w:b w:val="1"/>
                <w:bCs w:val="1"/>
                <w:color w:val="auto"/>
                <w:w w:val="99"/>
              </w:rPr>
              <w:t>August 26, 2023</w:t>
            </w:r>
          </w:p>
        </w:tc>
        <w:tc>
          <w:tcPr>
            <w:tcW w:w="1600" w:type="dxa"/>
            <w:vAlign w:val="bottom"/>
            <w:gridSpan w:val="3"/>
          </w:tcPr>
          <w:p>
            <w:pPr>
              <w:jc w:val="right"/>
              <w:spacing w:after="0"/>
              <w:rPr>
                <w:sz w:val="20"/>
                <w:szCs w:val="20"/>
                <w:color w:val="auto"/>
              </w:rPr>
            </w:pPr>
            <w:r>
              <w:rPr>
                <w:rFonts w:ascii="Arial" w:cs="Arial" w:eastAsia="Arial" w:hAnsi="Arial"/>
                <w:sz w:val="18"/>
                <w:szCs w:val="18"/>
                <w:b w:val="1"/>
                <w:bCs w:val="1"/>
                <w:color w:val="auto"/>
                <w:w w:val="95"/>
              </w:rPr>
              <w:t>November 26, 2022</w:t>
            </w:r>
          </w:p>
        </w:tc>
        <w:tc>
          <w:tcPr>
            <w:tcW w:w="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5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Identifiable Assets</w:t>
            </w:r>
          </w:p>
        </w:tc>
        <w:tc>
          <w:tcPr>
            <w:tcW w:w="600" w:type="dxa"/>
            <w:vAlign w:val="bottom"/>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right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80" w:type="dxa"/>
            <w:vAlign w:val="bottom"/>
            <w:tcBorders>
              <w:left w:val="single" w:sz="8" w:color="CCEEFF"/>
            </w:tcBorders>
            <w:shd w:val="clear" w:color="auto" w:fill="CCEEFF"/>
          </w:tcPr>
          <w:p>
            <w:pPr>
              <w:spacing w:after="0"/>
              <w:rPr>
                <w:sz w:val="18"/>
                <w:szCs w:val="18"/>
                <w:color w:val="auto"/>
              </w:rPr>
            </w:pPr>
          </w:p>
        </w:tc>
        <w:tc>
          <w:tcPr>
            <w:tcW w:w="7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080" w:type="dxa"/>
            <w:vAlign w:val="bottom"/>
          </w:tcPr>
          <w:p>
            <w:pPr>
              <w:spacing w:after="0"/>
              <w:rPr>
                <w:sz w:val="20"/>
                <w:szCs w:val="20"/>
                <w:color w:val="auto"/>
              </w:rPr>
            </w:pPr>
            <w:r>
              <w:rPr>
                <w:rFonts w:ascii="Arial" w:cs="Arial" w:eastAsia="Arial" w:hAnsi="Arial"/>
                <w:sz w:val="18"/>
                <w:szCs w:val="18"/>
                <w:color w:val="auto"/>
              </w:rPr>
              <w:t>Wholesale</w:t>
            </w:r>
          </w:p>
        </w:tc>
        <w:tc>
          <w:tcPr>
            <w:tcW w:w="600" w:type="dxa"/>
            <w:vAlign w:val="bottom"/>
          </w:tcPr>
          <w:p>
            <w:pPr>
              <w:spacing w:after="0"/>
              <w:rPr>
                <w:sz w:val="18"/>
                <w:szCs w:val="18"/>
                <w:color w:val="auto"/>
              </w:rPr>
            </w:pPr>
          </w:p>
        </w:tc>
        <w:tc>
          <w:tcPr>
            <w:tcW w:w="880" w:type="dxa"/>
            <w:vAlign w:val="bottom"/>
          </w:tcPr>
          <w:p>
            <w:pPr>
              <w:jc w:val="right"/>
              <w:ind w:right="711"/>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w w:val="98"/>
              </w:rPr>
              <w:t>102,022</w:t>
            </w:r>
          </w:p>
        </w:tc>
        <w:tc>
          <w:tcPr>
            <w:tcW w:w="740" w:type="dxa"/>
            <w:vAlign w:val="bottom"/>
          </w:tcPr>
          <w:p>
            <w:pPr>
              <w:jc w:val="right"/>
              <w:ind w:right="49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125,433</w:t>
            </w: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Retail - Company-owned stores</w:t>
            </w:r>
          </w:p>
        </w:tc>
        <w:tc>
          <w:tcPr>
            <w:tcW w:w="6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157,415</w:t>
            </w:r>
          </w:p>
        </w:tc>
        <w:tc>
          <w:tcPr>
            <w:tcW w:w="74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162,222</w:t>
            </w:r>
          </w:p>
        </w:tc>
        <w:tc>
          <w:tcPr>
            <w:tcW w:w="80" w:type="dxa"/>
            <w:vAlign w:val="bottom"/>
            <w:tcBorders>
              <w:left w:val="single" w:sz="8" w:color="CCEEFF"/>
            </w:tcBorders>
            <w:shd w:val="clear" w:color="auto" w:fill="CCEEFF"/>
          </w:tcPr>
          <w:p>
            <w:pPr>
              <w:spacing w:after="0"/>
              <w:rPr>
                <w:sz w:val="18"/>
                <w:szCs w:val="18"/>
                <w:color w:val="auto"/>
              </w:rPr>
            </w:pPr>
          </w:p>
        </w:tc>
        <w:tc>
          <w:tcPr>
            <w:tcW w:w="7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080" w:type="dxa"/>
            <w:vAlign w:val="bottom"/>
          </w:tcPr>
          <w:p>
            <w:pPr>
              <w:spacing w:after="0"/>
              <w:rPr>
                <w:sz w:val="20"/>
                <w:szCs w:val="20"/>
                <w:color w:val="auto"/>
              </w:rPr>
            </w:pPr>
            <w:r>
              <w:rPr>
                <w:rFonts w:ascii="Arial" w:cs="Arial" w:eastAsia="Arial" w:hAnsi="Arial"/>
                <w:sz w:val="18"/>
                <w:szCs w:val="18"/>
                <w:color w:val="auto"/>
              </w:rPr>
              <w:t>Corporate and other</w:t>
            </w:r>
          </w:p>
        </w:tc>
        <w:tc>
          <w:tcPr>
            <w:tcW w:w="6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98"/>
              </w:rPr>
              <w:t>109,594</w:t>
            </w: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118,618</w:t>
            </w: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
        </w:trPr>
        <w:tc>
          <w:tcPr>
            <w:tcW w:w="50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74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9"/>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Consolidated</w:t>
            </w:r>
          </w:p>
        </w:tc>
        <w:tc>
          <w:tcPr>
            <w:tcW w:w="60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711"/>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369,031</w:t>
            </w:r>
          </w:p>
        </w:tc>
        <w:tc>
          <w:tcPr>
            <w:tcW w:w="740" w:type="dxa"/>
            <w:vAlign w:val="bottom"/>
            <w:tcBorders>
              <w:right w:val="single" w:sz="8" w:color="CCEEFF"/>
            </w:tcBorders>
            <w:shd w:val="clear" w:color="auto" w:fill="CCEEFF"/>
          </w:tcPr>
          <w:p>
            <w:pPr>
              <w:jc w:val="right"/>
              <w:ind w:right="49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406,273</w:t>
            </w:r>
          </w:p>
        </w:tc>
        <w:tc>
          <w:tcPr>
            <w:tcW w:w="80" w:type="dxa"/>
            <w:vAlign w:val="bottom"/>
            <w:tcBorders>
              <w:left w:val="single" w:sz="8" w:color="CCEEFF"/>
            </w:tcBorders>
            <w:shd w:val="clear" w:color="auto" w:fill="CCEEFF"/>
          </w:tcPr>
          <w:p>
            <w:pPr>
              <w:spacing w:after="0"/>
              <w:rPr>
                <w:sz w:val="19"/>
                <w:szCs w:val="19"/>
                <w:color w:val="auto"/>
              </w:rPr>
            </w:pPr>
          </w:p>
        </w:tc>
        <w:tc>
          <w:tcPr>
            <w:tcW w:w="7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0"/>
        </w:trPr>
        <w:tc>
          <w:tcPr>
            <w:tcW w:w="508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See Note 14, Revenue Recognition, for disaggregated revenue information regarding sales of furniture and accessories by product type for the wholesale and retail segments.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 of 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9" w:name="page20"/>
    <w:bookmarkEnd w:id="19"/>
    <w:p>
      <w:pPr>
        <w:jc w:val="center"/>
        <w:spacing w:after="0"/>
        <w:rPr>
          <w:sz w:val="20"/>
          <w:szCs w:val="20"/>
          <w:color w:val="auto"/>
        </w:rPr>
      </w:pPr>
      <w:r>
        <w:rPr>
          <w:rFonts w:ascii="Arial" w:cs="Arial" w:eastAsia="Arial" w:hAnsi="Arial"/>
          <w:sz w:val="18"/>
          <w:szCs w:val="18"/>
          <w:u w:val="single" w:color="auto"/>
          <w:color w:val="auto"/>
        </w:rPr>
        <w:t>PART I-FINANCIAL INFORMATION-CONTINUED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BASSETT FURNITURE INDUSTRIES, INCORPORATED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CONDENSED CONSOLIDATED FINANCIAL STATEMENTS-UNAUDITED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AUGUST 26, 2023</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(Dollars 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Revenue Recognition</w:t>
      </w:r>
    </w:p>
    <w:p>
      <w:pPr>
        <w:spacing w:after="0" w:line="22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recognize revenue when we transfer promised goods or services to our customers in an amount that reflects the consideration we expect to receive in exchange for those goods or services. For our wholesale and retail segments, revenue is recognized when the risks and rewards of ownership and title to the product have transferred to the buyer. At wholesale, transfer occurs and revenue is recognized upon the shipment of goods to independent dealers and licensee-owned BHF stores. At retail, transfer occurs and revenue is recognized upon delivery of goods to the customer. All wholesale and retail revenues are recorded net of estimated returns and allowances based on historical patterns. We typically collect a significant portion of the purchase price from our retail customers as a deposit upon order, with the balance typically collected at the time delivery is scheduled. These customer deposits are carried on our balance sheet as a current liability until delivery is fulfilled and amounted to $23,626 and $35,963 as of August 26, 2023 and November 26, 2022, respectively. Substantially all of the customer deposits held at November 26, 2022 were satisfied during the current year-to-date period and have therefore been recognized in revenue for the nine months ended August 26, 2023.</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Sales commissions are expensed as part of selling, general and administrative expenses at the time revenue is recognized because the amortization period would have been one year or less. Sales commissions at wholesale are accrued upon the shipment of goods. Sales commissions at retail are accrued at the time a sale is written (i.e. – when the customer’s order is placed) and are carried as prepaid commissions in other current assets until the goods are delivered and revenue is recognized. At August 26, 2023 and November 26, 2022, our balance of prepaid commissions included in other current assets was $2,374 and $3,768, respectively.</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exclude from revenue all amounts collected from customers for sales tax. We do not disclose amounts allocated to remaining unsatisfied performance obligations as they are expected to be satisfied within one year or less.</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Disaggregated revenue information for sales of furniture and accessories by product category for the three and nine months ended August 26, 2023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August 27, 2022, excluding intercompany transactions between our segments, is a follows: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3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gridSpan w:val="4"/>
          </w:tcPr>
          <w:p>
            <w:pPr>
              <w:jc w:val="right"/>
              <w:ind w:right="559"/>
              <w:spacing w:after="0"/>
              <w:rPr>
                <w:sz w:val="20"/>
                <w:szCs w:val="20"/>
                <w:color w:val="auto"/>
              </w:rPr>
            </w:pPr>
            <w:r>
              <w:rPr>
                <w:rFonts w:ascii="Arial" w:cs="Arial" w:eastAsia="Arial" w:hAnsi="Arial"/>
                <w:sz w:val="16"/>
                <w:szCs w:val="16"/>
                <w:b w:val="1"/>
                <w:bCs w:val="1"/>
                <w:color w:val="auto"/>
              </w:rPr>
              <w:t>Quarter Ended</w:t>
            </w:r>
          </w:p>
        </w:tc>
        <w:tc>
          <w:tcPr>
            <w:tcW w:w="2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238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980" w:type="dxa"/>
            <w:vAlign w:val="bottom"/>
            <w:tcBorders>
              <w:bottom w:val="single" w:sz="8" w:color="auto"/>
            </w:tcBorders>
            <w:gridSpan w:val="3"/>
          </w:tcPr>
          <w:p>
            <w:pPr>
              <w:jc w:val="right"/>
              <w:ind w:right="519"/>
              <w:spacing w:after="0"/>
              <w:rPr>
                <w:sz w:val="20"/>
                <w:szCs w:val="20"/>
                <w:color w:val="auto"/>
              </w:rPr>
            </w:pPr>
            <w:r>
              <w:rPr>
                <w:rFonts w:ascii="Arial" w:cs="Arial" w:eastAsia="Arial" w:hAnsi="Arial"/>
                <w:sz w:val="16"/>
                <w:szCs w:val="16"/>
                <w:b w:val="1"/>
                <w:bCs w:val="1"/>
                <w:color w:val="auto"/>
              </w:rPr>
              <w:t>August 26, 2023</w:t>
            </w:r>
          </w:p>
        </w:tc>
        <w:tc>
          <w:tcPr>
            <w:tcW w:w="3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gridSpan w:val="2"/>
          </w:tcPr>
          <w:p>
            <w:pPr>
              <w:jc w:val="right"/>
              <w:ind w:right="279"/>
              <w:spacing w:after="0"/>
              <w:rPr>
                <w:sz w:val="20"/>
                <w:szCs w:val="20"/>
                <w:color w:val="auto"/>
              </w:rPr>
            </w:pPr>
            <w:r>
              <w:rPr>
                <w:rFonts w:ascii="Arial" w:cs="Arial" w:eastAsia="Arial" w:hAnsi="Arial"/>
                <w:sz w:val="16"/>
                <w:szCs w:val="16"/>
                <w:b w:val="1"/>
                <w:bCs w:val="1"/>
                <w:color w:val="auto"/>
              </w:rPr>
              <w:t>August 27, 2022</w:t>
            </w:r>
          </w:p>
        </w:tc>
        <w:tc>
          <w:tcPr>
            <w:tcW w:w="20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2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jc w:val="right"/>
              <w:ind w:right="139"/>
              <w:spacing w:after="0"/>
              <w:rPr>
                <w:sz w:val="20"/>
                <w:szCs w:val="20"/>
                <w:color w:val="auto"/>
              </w:rPr>
            </w:pPr>
            <w:r>
              <w:rPr>
                <w:rFonts w:ascii="Arial" w:cs="Arial" w:eastAsia="Arial" w:hAnsi="Arial"/>
                <w:sz w:val="16"/>
                <w:szCs w:val="16"/>
                <w:color w:val="auto"/>
                <w:w w:val="92"/>
              </w:rPr>
              <w:t>Corporate</w:t>
            </w:r>
          </w:p>
        </w:tc>
        <w:tc>
          <w:tcPr>
            <w:tcW w:w="3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Corporate</w:t>
            </w: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3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90"/>
              </w:rPr>
              <w:t>Wholesale</w:t>
            </w:r>
          </w:p>
        </w:tc>
        <w:tc>
          <w:tcPr>
            <w:tcW w:w="3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Retail</w:t>
            </w:r>
          </w:p>
        </w:tc>
        <w:tc>
          <w:tcPr>
            <w:tcW w:w="1120" w:type="dxa"/>
            <w:vAlign w:val="bottom"/>
            <w:tcBorders>
              <w:bottom w:val="single" w:sz="8" w:color="auto"/>
            </w:tcBorders>
            <w:gridSpan w:val="2"/>
          </w:tcPr>
          <w:p>
            <w:pPr>
              <w:jc w:val="right"/>
              <w:ind w:right="79"/>
              <w:spacing w:after="0"/>
              <w:rPr>
                <w:sz w:val="20"/>
                <w:szCs w:val="20"/>
                <w:color w:val="auto"/>
              </w:rPr>
            </w:pPr>
            <w:r>
              <w:rPr>
                <w:rFonts w:ascii="Arial" w:cs="Arial" w:eastAsia="Arial" w:hAnsi="Arial"/>
                <w:sz w:val="16"/>
                <w:szCs w:val="16"/>
                <w:color w:val="auto"/>
              </w:rPr>
              <w:t>&amp; Other (2)</w:t>
            </w:r>
          </w:p>
        </w:tc>
        <w:tc>
          <w:tcPr>
            <w:tcW w:w="3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Total</w:t>
            </w:r>
          </w:p>
        </w:tc>
        <w:tc>
          <w:tcPr>
            <w:tcW w:w="2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8"/>
              </w:rPr>
              <w:t>Wholesale</w:t>
            </w:r>
          </w:p>
        </w:tc>
        <w:tc>
          <w:tcPr>
            <w:tcW w:w="2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Retail</w:t>
            </w: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&amp; Other</w:t>
            </w:r>
          </w:p>
        </w:tc>
        <w:tc>
          <w:tcPr>
            <w:tcW w:w="2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Total</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2380" w:type="dxa"/>
            <w:vAlign w:val="bottom"/>
            <w:shd w:val="clear" w:color="auto" w:fill="CCEEFF"/>
          </w:tcPr>
          <w:p>
            <w:pPr>
              <w:spacing w:after="0"/>
              <w:rPr>
                <w:sz w:val="20"/>
                <w:szCs w:val="20"/>
                <w:color w:val="auto"/>
              </w:rPr>
            </w:pPr>
            <w:r>
              <w:rPr>
                <w:rFonts w:ascii="Arial" w:cs="Arial" w:eastAsia="Arial" w:hAnsi="Arial"/>
                <w:sz w:val="16"/>
                <w:szCs w:val="16"/>
                <w:color w:val="auto"/>
              </w:rPr>
              <w:t>Bassett Custom Upholstery</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19,985</w:t>
            </w:r>
          </w:p>
        </w:tc>
        <w:tc>
          <w:tcPr>
            <w:tcW w:w="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30,177</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50,162</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30,885</w:t>
            </w:r>
          </w:p>
        </w:tc>
        <w:tc>
          <w:tcPr>
            <w:tcW w:w="2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39,054</w:t>
            </w:r>
          </w:p>
        </w:tc>
        <w:tc>
          <w:tcPr>
            <w:tcW w:w="920" w:type="dxa"/>
            <w:vAlign w:val="bottom"/>
            <w:shd w:val="clear" w:color="auto" w:fill="CCEEFF"/>
          </w:tcPr>
          <w:p>
            <w:pPr>
              <w:jc w:val="right"/>
              <w:ind w:right="639"/>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69,939</w:t>
            </w:r>
          </w:p>
        </w:tc>
        <w:tc>
          <w:tcPr>
            <w:tcW w:w="0" w:type="dxa"/>
            <w:vAlign w:val="bottom"/>
          </w:tcPr>
          <w:p>
            <w:pPr>
              <w:spacing w:after="0"/>
              <w:rPr>
                <w:sz w:val="1"/>
                <w:szCs w:val="1"/>
                <w:color w:val="auto"/>
              </w:rPr>
            </w:pPr>
          </w:p>
        </w:tc>
      </w:tr>
      <w:tr>
        <w:trPr>
          <w:trHeight w:val="203"/>
        </w:trPr>
        <w:tc>
          <w:tcPr>
            <w:tcW w:w="2380" w:type="dxa"/>
            <w:vAlign w:val="bottom"/>
          </w:tcPr>
          <w:p>
            <w:pPr>
              <w:spacing w:after="0"/>
              <w:rPr>
                <w:sz w:val="20"/>
                <w:szCs w:val="20"/>
                <w:color w:val="auto"/>
              </w:rPr>
            </w:pPr>
            <w:r>
              <w:rPr>
                <w:rFonts w:ascii="Arial" w:cs="Arial" w:eastAsia="Arial" w:hAnsi="Arial"/>
                <w:sz w:val="16"/>
                <w:szCs w:val="16"/>
                <w:color w:val="auto"/>
              </w:rPr>
              <w:t>Bassett Leather</w:t>
            </w:r>
          </w:p>
        </w:tc>
        <w:tc>
          <w:tcPr>
            <w:tcW w:w="100" w:type="dxa"/>
            <w:vAlign w:val="bottom"/>
          </w:tcPr>
          <w:p>
            <w:pPr>
              <w:spacing w:after="0"/>
              <w:rPr>
                <w:sz w:val="17"/>
                <w:szCs w:val="17"/>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6,743</w:t>
            </w:r>
          </w:p>
        </w:tc>
        <w:tc>
          <w:tcPr>
            <w:tcW w:w="300" w:type="dxa"/>
            <w:vAlign w:val="bottom"/>
          </w:tcPr>
          <w:p>
            <w:pPr>
              <w:spacing w:after="0"/>
              <w:rPr>
                <w:sz w:val="17"/>
                <w:szCs w:val="17"/>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337</w:t>
            </w:r>
          </w:p>
        </w:tc>
        <w:tc>
          <w:tcPr>
            <w:tcW w:w="220" w:type="dxa"/>
            <w:vAlign w:val="bottom"/>
          </w:tcPr>
          <w:p>
            <w:pPr>
              <w:spacing w:after="0"/>
              <w:rPr>
                <w:sz w:val="17"/>
                <w:szCs w:val="17"/>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7,080</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6,290</w:t>
            </w:r>
          </w:p>
        </w:tc>
        <w:tc>
          <w:tcPr>
            <w:tcW w:w="280" w:type="dxa"/>
            <w:vAlign w:val="bottom"/>
          </w:tcPr>
          <w:p>
            <w:pPr>
              <w:spacing w:after="0"/>
              <w:rPr>
                <w:sz w:val="17"/>
                <w:szCs w:val="17"/>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867</w:t>
            </w:r>
          </w:p>
        </w:tc>
        <w:tc>
          <w:tcPr>
            <w:tcW w:w="920" w:type="dxa"/>
            <w:vAlign w:val="bottom"/>
          </w:tcPr>
          <w:p>
            <w:pPr>
              <w:spacing w:after="0"/>
              <w:rPr>
                <w:sz w:val="17"/>
                <w:szCs w:val="17"/>
                <w:color w:val="auto"/>
              </w:rPr>
            </w:pPr>
          </w:p>
        </w:tc>
        <w:tc>
          <w:tcPr>
            <w:tcW w:w="2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7"/>
                <w:szCs w:val="17"/>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6"/>
                <w:szCs w:val="16"/>
                <w:color w:val="auto"/>
              </w:rPr>
              <w:t>7,157</w:t>
            </w:r>
          </w:p>
        </w:tc>
        <w:tc>
          <w:tcPr>
            <w:tcW w:w="0" w:type="dxa"/>
            <w:vAlign w:val="bottom"/>
          </w:tcPr>
          <w:p>
            <w:pPr>
              <w:spacing w:after="0"/>
              <w:rPr>
                <w:sz w:val="1"/>
                <w:szCs w:val="1"/>
                <w:color w:val="auto"/>
              </w:rPr>
            </w:pPr>
          </w:p>
        </w:tc>
      </w:tr>
      <w:tr>
        <w:trPr>
          <w:trHeight w:val="203"/>
        </w:trPr>
        <w:tc>
          <w:tcPr>
            <w:tcW w:w="2380" w:type="dxa"/>
            <w:vAlign w:val="bottom"/>
            <w:shd w:val="clear" w:color="auto" w:fill="CCEEFF"/>
          </w:tcPr>
          <w:p>
            <w:pPr>
              <w:spacing w:after="0"/>
              <w:rPr>
                <w:sz w:val="20"/>
                <w:szCs w:val="20"/>
                <w:color w:val="auto"/>
              </w:rPr>
            </w:pPr>
            <w:r>
              <w:rPr>
                <w:rFonts w:ascii="Arial" w:cs="Arial" w:eastAsia="Arial" w:hAnsi="Arial"/>
                <w:sz w:val="16"/>
                <w:szCs w:val="16"/>
                <w:color w:val="auto"/>
              </w:rPr>
              <w:t>Bassett Custom Wood</w:t>
            </w: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3,564</w:t>
            </w:r>
          </w:p>
        </w:tc>
        <w:tc>
          <w:tcPr>
            <w:tcW w:w="30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7,697</w:t>
            </w: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11,261</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5,564</w:t>
            </w:r>
          </w:p>
        </w:tc>
        <w:tc>
          <w:tcPr>
            <w:tcW w:w="28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11,357</w:t>
            </w: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16,921</w:t>
            </w:r>
          </w:p>
        </w:tc>
        <w:tc>
          <w:tcPr>
            <w:tcW w:w="0" w:type="dxa"/>
            <w:vAlign w:val="bottom"/>
          </w:tcPr>
          <w:p>
            <w:pPr>
              <w:spacing w:after="0"/>
              <w:rPr>
                <w:sz w:val="1"/>
                <w:szCs w:val="1"/>
                <w:color w:val="auto"/>
              </w:rPr>
            </w:pPr>
          </w:p>
        </w:tc>
      </w:tr>
      <w:tr>
        <w:trPr>
          <w:trHeight w:val="203"/>
        </w:trPr>
        <w:tc>
          <w:tcPr>
            <w:tcW w:w="2380" w:type="dxa"/>
            <w:vAlign w:val="bottom"/>
          </w:tcPr>
          <w:p>
            <w:pPr>
              <w:spacing w:after="0"/>
              <w:rPr>
                <w:sz w:val="20"/>
                <w:szCs w:val="20"/>
                <w:color w:val="auto"/>
              </w:rPr>
            </w:pPr>
            <w:r>
              <w:rPr>
                <w:rFonts w:ascii="Arial" w:cs="Arial" w:eastAsia="Arial" w:hAnsi="Arial"/>
                <w:sz w:val="16"/>
                <w:szCs w:val="16"/>
                <w:color w:val="auto"/>
              </w:rPr>
              <w:t>Bassett Casegoods</w:t>
            </w:r>
          </w:p>
        </w:tc>
        <w:tc>
          <w:tcPr>
            <w:tcW w:w="100" w:type="dxa"/>
            <w:vAlign w:val="bottom"/>
          </w:tcPr>
          <w:p>
            <w:pPr>
              <w:spacing w:after="0"/>
              <w:rPr>
                <w:sz w:val="17"/>
                <w:szCs w:val="17"/>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2,865</w:t>
            </w:r>
          </w:p>
        </w:tc>
        <w:tc>
          <w:tcPr>
            <w:tcW w:w="300" w:type="dxa"/>
            <w:vAlign w:val="bottom"/>
          </w:tcPr>
          <w:p>
            <w:pPr>
              <w:spacing w:after="0"/>
              <w:rPr>
                <w:sz w:val="17"/>
                <w:szCs w:val="17"/>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7,027</w:t>
            </w:r>
          </w:p>
        </w:tc>
        <w:tc>
          <w:tcPr>
            <w:tcW w:w="220" w:type="dxa"/>
            <w:vAlign w:val="bottom"/>
          </w:tcPr>
          <w:p>
            <w:pPr>
              <w:spacing w:after="0"/>
              <w:rPr>
                <w:sz w:val="17"/>
                <w:szCs w:val="17"/>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9,892</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4,387</w:t>
            </w:r>
          </w:p>
        </w:tc>
        <w:tc>
          <w:tcPr>
            <w:tcW w:w="280" w:type="dxa"/>
            <w:vAlign w:val="bottom"/>
          </w:tcPr>
          <w:p>
            <w:pPr>
              <w:spacing w:after="0"/>
              <w:rPr>
                <w:sz w:val="17"/>
                <w:szCs w:val="17"/>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10,404</w:t>
            </w:r>
          </w:p>
        </w:tc>
        <w:tc>
          <w:tcPr>
            <w:tcW w:w="920" w:type="dxa"/>
            <w:vAlign w:val="bottom"/>
          </w:tcPr>
          <w:p>
            <w:pPr>
              <w:spacing w:after="0"/>
              <w:rPr>
                <w:sz w:val="17"/>
                <w:szCs w:val="17"/>
                <w:color w:val="auto"/>
              </w:rPr>
            </w:pPr>
          </w:p>
        </w:tc>
        <w:tc>
          <w:tcPr>
            <w:tcW w:w="2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7"/>
                <w:szCs w:val="17"/>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6"/>
                <w:szCs w:val="16"/>
                <w:color w:val="auto"/>
              </w:rPr>
              <w:t>14,791</w:t>
            </w:r>
          </w:p>
        </w:tc>
        <w:tc>
          <w:tcPr>
            <w:tcW w:w="0" w:type="dxa"/>
            <w:vAlign w:val="bottom"/>
          </w:tcPr>
          <w:p>
            <w:pPr>
              <w:spacing w:after="0"/>
              <w:rPr>
                <w:sz w:val="1"/>
                <w:szCs w:val="1"/>
                <w:color w:val="auto"/>
              </w:rPr>
            </w:pPr>
          </w:p>
        </w:tc>
      </w:tr>
      <w:tr>
        <w:trPr>
          <w:trHeight w:val="193"/>
        </w:trPr>
        <w:tc>
          <w:tcPr>
            <w:tcW w:w="2380" w:type="dxa"/>
            <w:vAlign w:val="bottom"/>
            <w:shd w:val="clear" w:color="auto" w:fill="CCEEFF"/>
          </w:tcPr>
          <w:p>
            <w:pPr>
              <w:spacing w:after="0"/>
              <w:rPr>
                <w:sz w:val="20"/>
                <w:szCs w:val="20"/>
                <w:color w:val="auto"/>
              </w:rPr>
            </w:pPr>
            <w:r>
              <w:rPr>
                <w:rFonts w:ascii="Arial" w:cs="Arial" w:eastAsia="Arial" w:hAnsi="Arial"/>
                <w:sz w:val="16"/>
                <w:szCs w:val="16"/>
                <w:color w:val="auto"/>
                <w:w w:val="96"/>
              </w:rPr>
              <w:t>Accessories, mattresses and other</w:t>
            </w:r>
          </w:p>
        </w:tc>
        <w:tc>
          <w:tcPr>
            <w:tcW w:w="100" w:type="dxa"/>
            <w:vAlign w:val="bottom"/>
            <w:shd w:val="clear" w:color="auto" w:fill="CCEEFF"/>
          </w:tcPr>
          <w:p>
            <w:pPr>
              <w:spacing w:after="0"/>
              <w:rPr>
                <w:sz w:val="16"/>
                <w:szCs w:val="16"/>
                <w:color w:val="auto"/>
              </w:rPr>
            </w:pPr>
          </w:p>
        </w:tc>
        <w:tc>
          <w:tcPr>
            <w:tcW w:w="94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6"/>
                <w:szCs w:val="16"/>
                <w:color w:val="auto"/>
              </w:rPr>
            </w:pPr>
          </w:p>
        </w:tc>
        <w:tc>
          <w:tcPr>
            <w:tcW w:w="86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7,026</w:t>
            </w:r>
          </w:p>
        </w:tc>
        <w:tc>
          <w:tcPr>
            <w:tcW w:w="220" w:type="dxa"/>
            <w:vAlign w:val="bottom"/>
            <w:shd w:val="clear" w:color="auto" w:fill="CCEEFF"/>
          </w:tcPr>
          <w:p>
            <w:pPr>
              <w:spacing w:after="0"/>
              <w:rPr>
                <w:sz w:val="16"/>
                <w:szCs w:val="16"/>
                <w:color w:val="auto"/>
              </w:rPr>
            </w:pPr>
          </w:p>
        </w:tc>
        <w:tc>
          <w:tcPr>
            <w:tcW w:w="90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1,796</w:t>
            </w:r>
          </w:p>
        </w:tc>
        <w:tc>
          <w:tcPr>
            <w:tcW w:w="300" w:type="dxa"/>
            <w:vAlign w:val="bottom"/>
            <w:shd w:val="clear" w:color="auto" w:fill="CCEEFF"/>
          </w:tcPr>
          <w:p>
            <w:pPr>
              <w:spacing w:after="0"/>
              <w:rPr>
                <w:sz w:val="16"/>
                <w:szCs w:val="16"/>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8,822</w:t>
            </w: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6"/>
                <w:szCs w:val="16"/>
                <w:color w:val="auto"/>
              </w:rPr>
            </w:pPr>
          </w:p>
        </w:tc>
        <w:tc>
          <w:tcPr>
            <w:tcW w:w="82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9,204</w:t>
            </w:r>
          </w:p>
        </w:tc>
        <w:tc>
          <w:tcPr>
            <w:tcW w:w="920" w:type="dxa"/>
            <w:vAlign w:val="bottom"/>
            <w:shd w:val="clear" w:color="auto" w:fill="CCEEFF"/>
          </w:tcPr>
          <w:p>
            <w:pPr>
              <w:spacing w:after="0"/>
              <w:rPr>
                <w:sz w:val="16"/>
                <w:szCs w:val="16"/>
                <w:color w:val="auto"/>
              </w:rPr>
            </w:pPr>
          </w:p>
        </w:tc>
        <w:tc>
          <w:tcPr>
            <w:tcW w:w="20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6"/>
                <w:szCs w:val="16"/>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9,204</w:t>
            </w:r>
          </w:p>
        </w:tc>
        <w:tc>
          <w:tcPr>
            <w:tcW w:w="100" w:type="dxa"/>
            <w:vAlign w:val="bottom"/>
            <w:vMerge w:val="restart"/>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23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vMerge w:val="continue"/>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vMerge w:val="continue"/>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vMerge w:val="continue"/>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vMerge w:val="continue"/>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vMerge w:val="continue"/>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vMerge w:val="continue"/>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spacing w:after="0"/>
              <w:rPr>
                <w:sz w:val="17"/>
                <w:szCs w:val="17"/>
                <w:color w:val="auto"/>
              </w:rPr>
            </w:pPr>
          </w:p>
        </w:tc>
        <w:tc>
          <w:tcPr>
            <w:tcW w:w="200" w:type="dxa"/>
            <w:vAlign w:val="bottom"/>
            <w:tcBorders>
              <w:bottom w:val="single" w:sz="8" w:color="auto"/>
            </w:tcBorders>
            <w:vMerge w:val="continue"/>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tcBorders>
              <w:bottom w:val="single" w:sz="8" w:color="CCEEFF"/>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2380" w:type="dxa"/>
            <w:vAlign w:val="bottom"/>
          </w:tcPr>
          <w:p>
            <w:pPr>
              <w:spacing w:after="0"/>
              <w:rPr>
                <w:sz w:val="20"/>
                <w:szCs w:val="20"/>
                <w:color w:val="auto"/>
              </w:rPr>
            </w:pPr>
            <w:r>
              <w:rPr>
                <w:rFonts w:ascii="Arial" w:cs="Arial" w:eastAsia="Arial" w:hAnsi="Arial"/>
                <w:sz w:val="16"/>
                <w:szCs w:val="16"/>
                <w:color w:val="auto"/>
                <w:w w:val="97"/>
              </w:rPr>
              <w:t>Consolidated net sales of furniture</w:t>
            </w:r>
          </w:p>
        </w:tc>
        <w:tc>
          <w:tcPr>
            <w:tcW w:w="100" w:type="dxa"/>
            <w:vAlign w:val="bottom"/>
            <w:vMerge w:val="restart"/>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vMerge w:val="restart"/>
          </w:tcPr>
          <w:p>
            <w:pPr>
              <w:jc w:val="right"/>
              <w:ind w:right="39"/>
              <w:spacing w:after="0"/>
              <w:rPr>
                <w:sz w:val="20"/>
                <w:szCs w:val="20"/>
                <w:color w:val="auto"/>
              </w:rPr>
            </w:pPr>
            <w:r>
              <w:rPr>
                <w:rFonts w:ascii="Arial" w:cs="Arial" w:eastAsia="Arial" w:hAnsi="Arial"/>
                <w:sz w:val="16"/>
                <w:szCs w:val="16"/>
                <w:color w:val="auto"/>
              </w:rPr>
              <w:t>33,157</w:t>
            </w:r>
          </w:p>
        </w:tc>
        <w:tc>
          <w:tcPr>
            <w:tcW w:w="300" w:type="dxa"/>
            <w:vAlign w:val="bottom"/>
            <w:vMerge w:val="restart"/>
          </w:tcPr>
          <w:p>
            <w:pPr>
              <w:jc w:val="right"/>
              <w:ind w:right="19"/>
              <w:spacing w:after="0"/>
              <w:rPr>
                <w:sz w:val="20"/>
                <w:szCs w:val="20"/>
                <w:color w:val="auto"/>
              </w:rPr>
            </w:pPr>
            <w:r>
              <w:rPr>
                <w:rFonts w:ascii="Arial" w:cs="Arial" w:eastAsia="Arial" w:hAnsi="Arial"/>
                <w:sz w:val="16"/>
                <w:szCs w:val="16"/>
                <w:color w:val="auto"/>
              </w:rPr>
              <w:t>$</w:t>
            </w:r>
          </w:p>
        </w:tc>
        <w:tc>
          <w:tcPr>
            <w:tcW w:w="860" w:type="dxa"/>
            <w:vAlign w:val="bottom"/>
            <w:vMerge w:val="restart"/>
          </w:tcPr>
          <w:p>
            <w:pPr>
              <w:jc w:val="right"/>
              <w:ind w:right="39"/>
              <w:spacing w:after="0"/>
              <w:rPr>
                <w:sz w:val="20"/>
                <w:szCs w:val="20"/>
                <w:color w:val="auto"/>
              </w:rPr>
            </w:pPr>
            <w:r>
              <w:rPr>
                <w:rFonts w:ascii="Arial" w:cs="Arial" w:eastAsia="Arial" w:hAnsi="Arial"/>
                <w:sz w:val="16"/>
                <w:szCs w:val="16"/>
                <w:color w:val="auto"/>
              </w:rPr>
              <w:t>52,264</w:t>
            </w:r>
          </w:p>
        </w:tc>
        <w:tc>
          <w:tcPr>
            <w:tcW w:w="2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900" w:type="dxa"/>
            <w:vAlign w:val="bottom"/>
            <w:vMerge w:val="restart"/>
          </w:tcPr>
          <w:p>
            <w:pPr>
              <w:jc w:val="right"/>
              <w:ind w:right="19"/>
              <w:spacing w:after="0"/>
              <w:rPr>
                <w:sz w:val="20"/>
                <w:szCs w:val="20"/>
                <w:color w:val="auto"/>
              </w:rPr>
            </w:pPr>
            <w:r>
              <w:rPr>
                <w:rFonts w:ascii="Arial" w:cs="Arial" w:eastAsia="Arial" w:hAnsi="Arial"/>
                <w:sz w:val="16"/>
                <w:szCs w:val="16"/>
                <w:color w:val="auto"/>
              </w:rPr>
              <w:t>1,796</w:t>
            </w:r>
          </w:p>
        </w:tc>
        <w:tc>
          <w:tcPr>
            <w:tcW w:w="300" w:type="dxa"/>
            <w:vAlign w:val="bottom"/>
            <w:vMerge w:val="restart"/>
          </w:tcPr>
          <w:p>
            <w:pPr>
              <w:jc w:val="right"/>
              <w:ind w:right="19"/>
              <w:spacing w:after="0"/>
              <w:rPr>
                <w:sz w:val="20"/>
                <w:szCs w:val="20"/>
                <w:color w:val="auto"/>
              </w:rPr>
            </w:pPr>
            <w:r>
              <w:rPr>
                <w:rFonts w:ascii="Arial" w:cs="Arial" w:eastAsia="Arial" w:hAnsi="Arial"/>
                <w:sz w:val="16"/>
                <w:szCs w:val="16"/>
                <w:color w:val="auto"/>
              </w:rPr>
              <w:t>$</w:t>
            </w:r>
          </w:p>
        </w:tc>
        <w:tc>
          <w:tcPr>
            <w:tcW w:w="700" w:type="dxa"/>
            <w:vAlign w:val="bottom"/>
            <w:vMerge w:val="restart"/>
          </w:tcPr>
          <w:p>
            <w:pPr>
              <w:jc w:val="right"/>
              <w:spacing w:after="0"/>
              <w:rPr>
                <w:sz w:val="20"/>
                <w:szCs w:val="20"/>
                <w:color w:val="auto"/>
              </w:rPr>
            </w:pPr>
            <w:r>
              <w:rPr>
                <w:rFonts w:ascii="Arial" w:cs="Arial" w:eastAsia="Arial" w:hAnsi="Arial"/>
                <w:sz w:val="16"/>
                <w:szCs w:val="16"/>
                <w:color w:val="auto"/>
              </w:rPr>
              <w:t>87,217</w:t>
            </w:r>
          </w:p>
        </w:tc>
        <w:tc>
          <w:tcPr>
            <w:tcW w:w="220" w:type="dxa"/>
            <w:vAlign w:val="bottom"/>
          </w:tcPr>
          <w:p>
            <w:pPr>
              <w:spacing w:after="0"/>
              <w:rPr>
                <w:sz w:val="16"/>
                <w:szCs w:val="16"/>
                <w:color w:val="auto"/>
              </w:rPr>
            </w:pPr>
          </w:p>
        </w:tc>
        <w:tc>
          <w:tcPr>
            <w:tcW w:w="100" w:type="dxa"/>
            <w:vAlign w:val="bottom"/>
            <w:vMerge w:val="restart"/>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vMerge w:val="restart"/>
          </w:tcPr>
          <w:p>
            <w:pPr>
              <w:jc w:val="right"/>
              <w:ind w:right="19"/>
              <w:spacing w:after="0"/>
              <w:rPr>
                <w:sz w:val="20"/>
                <w:szCs w:val="20"/>
                <w:color w:val="auto"/>
              </w:rPr>
            </w:pPr>
            <w:r>
              <w:rPr>
                <w:rFonts w:ascii="Arial" w:cs="Arial" w:eastAsia="Arial" w:hAnsi="Arial"/>
                <w:sz w:val="16"/>
                <w:szCs w:val="16"/>
                <w:color w:val="auto"/>
              </w:rPr>
              <w:t>47,126</w:t>
            </w:r>
          </w:p>
        </w:tc>
        <w:tc>
          <w:tcPr>
            <w:tcW w:w="280" w:type="dxa"/>
            <w:vAlign w:val="bottom"/>
            <w:vMerge w:val="restart"/>
          </w:tcPr>
          <w:p>
            <w:pPr>
              <w:jc w:val="right"/>
              <w:ind w:right="19"/>
              <w:spacing w:after="0"/>
              <w:rPr>
                <w:sz w:val="20"/>
                <w:szCs w:val="20"/>
                <w:color w:val="auto"/>
              </w:rPr>
            </w:pPr>
            <w:r>
              <w:rPr>
                <w:rFonts w:ascii="Arial" w:cs="Arial" w:eastAsia="Arial" w:hAnsi="Arial"/>
                <w:sz w:val="16"/>
                <w:szCs w:val="16"/>
                <w:color w:val="auto"/>
              </w:rPr>
              <w:t>$</w:t>
            </w:r>
          </w:p>
        </w:tc>
        <w:tc>
          <w:tcPr>
            <w:tcW w:w="820" w:type="dxa"/>
            <w:vAlign w:val="bottom"/>
            <w:vMerge w:val="restart"/>
          </w:tcPr>
          <w:p>
            <w:pPr>
              <w:jc w:val="right"/>
              <w:ind w:right="19"/>
              <w:spacing w:after="0"/>
              <w:rPr>
                <w:sz w:val="20"/>
                <w:szCs w:val="20"/>
                <w:color w:val="auto"/>
              </w:rPr>
            </w:pPr>
            <w:r>
              <w:rPr>
                <w:rFonts w:ascii="Arial" w:cs="Arial" w:eastAsia="Arial" w:hAnsi="Arial"/>
                <w:sz w:val="16"/>
                <w:szCs w:val="16"/>
                <w:color w:val="auto"/>
              </w:rPr>
              <w:t>70,886</w:t>
            </w:r>
          </w:p>
        </w:tc>
        <w:tc>
          <w:tcPr>
            <w:tcW w:w="920" w:type="dxa"/>
            <w:vAlign w:val="bottom"/>
            <w:vMerge w:val="restart"/>
          </w:tcPr>
          <w:p>
            <w:pPr>
              <w:jc w:val="right"/>
              <w:ind w:right="639"/>
              <w:spacing w:after="0"/>
              <w:rPr>
                <w:sz w:val="20"/>
                <w:szCs w:val="20"/>
                <w:color w:val="auto"/>
              </w:rPr>
            </w:pPr>
            <w:r>
              <w:rPr>
                <w:rFonts w:ascii="Arial" w:cs="Arial" w:eastAsia="Arial" w:hAnsi="Arial"/>
                <w:sz w:val="16"/>
                <w:szCs w:val="16"/>
                <w:color w:val="auto"/>
              </w:rPr>
              <w:t>$</w:t>
            </w:r>
          </w:p>
        </w:tc>
        <w:tc>
          <w:tcPr>
            <w:tcW w:w="200" w:type="dxa"/>
            <w:vAlign w:val="bottom"/>
            <w:vMerge w:val="restart"/>
          </w:tcPr>
          <w:p>
            <w:pPr>
              <w:jc w:val="right"/>
              <w:ind w:right="39"/>
              <w:spacing w:after="0"/>
              <w:rPr>
                <w:sz w:val="20"/>
                <w:szCs w:val="20"/>
                <w:color w:val="auto"/>
              </w:rPr>
            </w:pPr>
            <w:r>
              <w:rPr>
                <w:rFonts w:ascii="Arial" w:cs="Arial" w:eastAsia="Arial" w:hAnsi="Arial"/>
                <w:sz w:val="16"/>
                <w:szCs w:val="16"/>
                <w:color w:val="auto"/>
              </w:rPr>
              <w:t>-</w:t>
            </w:r>
          </w:p>
        </w:tc>
        <w:tc>
          <w:tcPr>
            <w:tcW w:w="280" w:type="dxa"/>
            <w:vAlign w:val="bottom"/>
            <w:vMerge w:val="restart"/>
          </w:tcPr>
          <w:p>
            <w:pPr>
              <w:jc w:val="right"/>
              <w:ind w:right="19"/>
              <w:spacing w:after="0"/>
              <w:rPr>
                <w:sz w:val="20"/>
                <w:szCs w:val="20"/>
                <w:color w:val="auto"/>
              </w:rPr>
            </w:pPr>
            <w:r>
              <w:rPr>
                <w:rFonts w:ascii="Arial" w:cs="Arial" w:eastAsia="Arial" w:hAnsi="Arial"/>
                <w:sz w:val="16"/>
                <w:szCs w:val="16"/>
                <w:color w:val="auto"/>
              </w:rPr>
              <w:t>$</w:t>
            </w:r>
          </w:p>
        </w:tc>
        <w:tc>
          <w:tcPr>
            <w:tcW w:w="820" w:type="dxa"/>
            <w:vAlign w:val="bottom"/>
            <w:gridSpan w:val="2"/>
            <w:vMerge w:val="restart"/>
          </w:tcPr>
          <w:p>
            <w:pPr>
              <w:jc w:val="right"/>
              <w:ind w:right="100"/>
              <w:spacing w:after="0"/>
              <w:rPr>
                <w:sz w:val="20"/>
                <w:szCs w:val="20"/>
                <w:color w:val="auto"/>
              </w:rPr>
            </w:pPr>
            <w:r>
              <w:rPr>
                <w:rFonts w:ascii="Arial" w:cs="Arial" w:eastAsia="Arial" w:hAnsi="Arial"/>
                <w:sz w:val="16"/>
                <w:szCs w:val="16"/>
                <w:color w:val="auto"/>
              </w:rPr>
              <w:t>118,012</w:t>
            </w:r>
          </w:p>
        </w:tc>
        <w:tc>
          <w:tcPr>
            <w:tcW w:w="0" w:type="dxa"/>
            <w:vAlign w:val="bottom"/>
          </w:tcPr>
          <w:p>
            <w:pPr>
              <w:spacing w:after="0"/>
              <w:rPr>
                <w:sz w:val="1"/>
                <w:szCs w:val="1"/>
                <w:color w:val="auto"/>
              </w:rPr>
            </w:pPr>
          </w:p>
        </w:tc>
      </w:tr>
      <w:tr>
        <w:trPr>
          <w:trHeight w:val="172"/>
        </w:trPr>
        <w:tc>
          <w:tcPr>
            <w:tcW w:w="2380" w:type="dxa"/>
            <w:vAlign w:val="bottom"/>
          </w:tcPr>
          <w:p>
            <w:pPr>
              <w:spacing w:after="0" w:line="172" w:lineRule="exact"/>
              <w:rPr>
                <w:sz w:val="20"/>
                <w:szCs w:val="20"/>
                <w:color w:val="auto"/>
              </w:rPr>
            </w:pPr>
            <w:r>
              <w:rPr>
                <w:rFonts w:ascii="Arial" w:cs="Arial" w:eastAsia="Arial" w:hAnsi="Arial"/>
                <w:sz w:val="16"/>
                <w:szCs w:val="16"/>
                <w:color w:val="auto"/>
              </w:rPr>
              <w:t>and accessories</w:t>
            </w:r>
          </w:p>
        </w:tc>
        <w:tc>
          <w:tcPr>
            <w:tcW w:w="10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30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30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28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200" w:type="dxa"/>
            <w:vAlign w:val="bottom"/>
            <w:vMerge w:val="continue"/>
          </w:tcPr>
          <w:p>
            <w:pPr>
              <w:spacing w:after="0"/>
              <w:rPr>
                <w:sz w:val="14"/>
                <w:szCs w:val="14"/>
                <w:color w:val="auto"/>
              </w:rPr>
            </w:pPr>
          </w:p>
        </w:tc>
        <w:tc>
          <w:tcPr>
            <w:tcW w:w="280" w:type="dxa"/>
            <w:vAlign w:val="bottom"/>
            <w:vMerge w:val="continue"/>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3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gridSpan w:val="4"/>
          </w:tcPr>
          <w:p>
            <w:pPr>
              <w:jc w:val="right"/>
              <w:ind w:right="379"/>
              <w:spacing w:after="0"/>
              <w:rPr>
                <w:sz w:val="20"/>
                <w:szCs w:val="20"/>
                <w:color w:val="auto"/>
              </w:rPr>
            </w:pPr>
            <w:r>
              <w:rPr>
                <w:rFonts w:ascii="Arial" w:cs="Arial" w:eastAsia="Arial" w:hAnsi="Arial"/>
                <w:sz w:val="16"/>
                <w:szCs w:val="16"/>
                <w:b w:val="1"/>
                <w:bCs w:val="1"/>
                <w:color w:val="auto"/>
                <w:w w:val="97"/>
              </w:rPr>
              <w:t>Nine Months Ended</w:t>
            </w:r>
          </w:p>
        </w:tc>
        <w:tc>
          <w:tcPr>
            <w:tcW w:w="2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238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980" w:type="dxa"/>
            <w:vAlign w:val="bottom"/>
            <w:tcBorders>
              <w:bottom w:val="single" w:sz="8" w:color="auto"/>
            </w:tcBorders>
            <w:gridSpan w:val="3"/>
          </w:tcPr>
          <w:p>
            <w:pPr>
              <w:jc w:val="right"/>
              <w:ind w:right="519"/>
              <w:spacing w:after="0"/>
              <w:rPr>
                <w:sz w:val="20"/>
                <w:szCs w:val="20"/>
                <w:color w:val="auto"/>
              </w:rPr>
            </w:pPr>
            <w:r>
              <w:rPr>
                <w:rFonts w:ascii="Arial" w:cs="Arial" w:eastAsia="Arial" w:hAnsi="Arial"/>
                <w:sz w:val="16"/>
                <w:szCs w:val="16"/>
                <w:b w:val="1"/>
                <w:bCs w:val="1"/>
                <w:color w:val="auto"/>
              </w:rPr>
              <w:t>August 26, 2023</w:t>
            </w:r>
          </w:p>
        </w:tc>
        <w:tc>
          <w:tcPr>
            <w:tcW w:w="2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gridSpan w:val="2"/>
          </w:tcPr>
          <w:p>
            <w:pPr>
              <w:jc w:val="right"/>
              <w:ind w:right="199"/>
              <w:spacing w:after="0"/>
              <w:rPr>
                <w:sz w:val="20"/>
                <w:szCs w:val="20"/>
                <w:color w:val="auto"/>
              </w:rPr>
            </w:pPr>
            <w:r>
              <w:rPr>
                <w:rFonts w:ascii="Arial" w:cs="Arial" w:eastAsia="Arial" w:hAnsi="Arial"/>
                <w:sz w:val="16"/>
                <w:szCs w:val="16"/>
                <w:b w:val="1"/>
                <w:bCs w:val="1"/>
                <w:color w:val="auto"/>
              </w:rPr>
              <w:t>August 27, 2022</w:t>
            </w:r>
          </w:p>
        </w:tc>
        <w:tc>
          <w:tcPr>
            <w:tcW w:w="28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2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120" w:type="dxa"/>
            <w:vAlign w:val="bottom"/>
            <w:gridSpan w:val="2"/>
          </w:tcPr>
          <w:p>
            <w:pPr>
              <w:jc w:val="right"/>
              <w:ind w:right="59"/>
              <w:spacing w:after="0"/>
              <w:rPr>
                <w:sz w:val="20"/>
                <w:szCs w:val="20"/>
                <w:color w:val="auto"/>
              </w:rPr>
            </w:pPr>
            <w:r>
              <w:rPr>
                <w:rFonts w:ascii="Arial" w:cs="Arial" w:eastAsia="Arial" w:hAnsi="Arial"/>
                <w:sz w:val="16"/>
                <w:szCs w:val="16"/>
                <w:color w:val="auto"/>
              </w:rPr>
              <w:t>Corporate &amp;</w:t>
            </w:r>
          </w:p>
        </w:tc>
        <w:tc>
          <w:tcPr>
            <w:tcW w:w="2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120" w:type="dxa"/>
            <w:vAlign w:val="bottom"/>
            <w:gridSpan w:val="2"/>
          </w:tcPr>
          <w:p>
            <w:pPr>
              <w:jc w:val="right"/>
              <w:ind w:right="79"/>
              <w:spacing w:after="0"/>
              <w:rPr>
                <w:sz w:val="20"/>
                <w:szCs w:val="20"/>
                <w:color w:val="auto"/>
              </w:rPr>
            </w:pPr>
            <w:r>
              <w:rPr>
                <w:rFonts w:ascii="Arial" w:cs="Arial" w:eastAsia="Arial" w:hAnsi="Arial"/>
                <w:sz w:val="16"/>
                <w:szCs w:val="16"/>
                <w:color w:val="auto"/>
              </w:rPr>
              <w:t>Corporate &amp;</w:t>
            </w:r>
          </w:p>
        </w:tc>
        <w:tc>
          <w:tcPr>
            <w:tcW w:w="2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3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90"/>
              </w:rPr>
              <w:t>Wholesale</w:t>
            </w:r>
          </w:p>
        </w:tc>
        <w:tc>
          <w:tcPr>
            <w:tcW w:w="3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Retail</w:t>
            </w: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96"/>
              </w:rPr>
              <w:t>Other (2)</w:t>
            </w:r>
          </w:p>
        </w:tc>
        <w:tc>
          <w:tcPr>
            <w:tcW w:w="2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Total</w:t>
            </w:r>
          </w:p>
        </w:tc>
        <w:tc>
          <w:tcPr>
            <w:tcW w:w="2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8"/>
              </w:rPr>
              <w:t>Wholesale</w:t>
            </w:r>
          </w:p>
        </w:tc>
        <w:tc>
          <w:tcPr>
            <w:tcW w:w="2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Retail</w:t>
            </w:r>
          </w:p>
        </w:tc>
        <w:tc>
          <w:tcPr>
            <w:tcW w:w="8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Other</w:t>
            </w:r>
          </w:p>
        </w:tc>
        <w:tc>
          <w:tcPr>
            <w:tcW w:w="28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Total</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2380" w:type="dxa"/>
            <w:vAlign w:val="bottom"/>
            <w:shd w:val="clear" w:color="auto" w:fill="CCEEFF"/>
          </w:tcPr>
          <w:p>
            <w:pPr>
              <w:spacing w:after="0"/>
              <w:rPr>
                <w:sz w:val="20"/>
                <w:szCs w:val="20"/>
                <w:color w:val="auto"/>
              </w:rPr>
            </w:pPr>
            <w:r>
              <w:rPr>
                <w:rFonts w:ascii="Arial" w:cs="Arial" w:eastAsia="Arial" w:hAnsi="Arial"/>
                <w:sz w:val="16"/>
                <w:szCs w:val="16"/>
                <w:color w:val="auto"/>
              </w:rPr>
              <w:t>Bassett Custom Upholstery</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68,641</w:t>
            </w:r>
          </w:p>
        </w:tc>
        <w:tc>
          <w:tcPr>
            <w:tcW w:w="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101,047</w:t>
            </w: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169,688</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96,636</w:t>
            </w:r>
          </w:p>
        </w:tc>
        <w:tc>
          <w:tcPr>
            <w:tcW w:w="2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122,248</w:t>
            </w:r>
          </w:p>
        </w:tc>
        <w:tc>
          <w:tcPr>
            <w:tcW w:w="840" w:type="dxa"/>
            <w:vAlign w:val="bottom"/>
            <w:shd w:val="clear" w:color="auto" w:fill="CCEEFF"/>
          </w:tcPr>
          <w:p>
            <w:pPr>
              <w:jc w:val="right"/>
              <w:ind w:right="559"/>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218,884</w:t>
            </w:r>
          </w:p>
        </w:tc>
        <w:tc>
          <w:tcPr>
            <w:tcW w:w="0" w:type="dxa"/>
            <w:vAlign w:val="bottom"/>
          </w:tcPr>
          <w:p>
            <w:pPr>
              <w:spacing w:after="0"/>
              <w:rPr>
                <w:sz w:val="1"/>
                <w:szCs w:val="1"/>
                <w:color w:val="auto"/>
              </w:rPr>
            </w:pPr>
          </w:p>
        </w:tc>
      </w:tr>
      <w:tr>
        <w:trPr>
          <w:trHeight w:val="203"/>
        </w:trPr>
        <w:tc>
          <w:tcPr>
            <w:tcW w:w="2380" w:type="dxa"/>
            <w:vAlign w:val="bottom"/>
          </w:tcPr>
          <w:p>
            <w:pPr>
              <w:spacing w:after="0"/>
              <w:rPr>
                <w:sz w:val="20"/>
                <w:szCs w:val="20"/>
                <w:color w:val="auto"/>
              </w:rPr>
            </w:pPr>
            <w:r>
              <w:rPr>
                <w:rFonts w:ascii="Arial" w:cs="Arial" w:eastAsia="Arial" w:hAnsi="Arial"/>
                <w:sz w:val="16"/>
                <w:szCs w:val="16"/>
                <w:color w:val="auto"/>
              </w:rPr>
              <w:t>Bassett Leather</w:t>
            </w:r>
          </w:p>
        </w:tc>
        <w:tc>
          <w:tcPr>
            <w:tcW w:w="100" w:type="dxa"/>
            <w:vAlign w:val="bottom"/>
          </w:tcPr>
          <w:p>
            <w:pPr>
              <w:spacing w:after="0"/>
              <w:rPr>
                <w:sz w:val="17"/>
                <w:szCs w:val="17"/>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19,630</w:t>
            </w:r>
          </w:p>
        </w:tc>
        <w:tc>
          <w:tcPr>
            <w:tcW w:w="300" w:type="dxa"/>
            <w:vAlign w:val="bottom"/>
          </w:tcPr>
          <w:p>
            <w:pPr>
              <w:spacing w:after="0"/>
              <w:rPr>
                <w:sz w:val="17"/>
                <w:szCs w:val="17"/>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1,408</w:t>
            </w:r>
          </w:p>
        </w:tc>
        <w:tc>
          <w:tcPr>
            <w:tcW w:w="240" w:type="dxa"/>
            <w:vAlign w:val="bottom"/>
          </w:tcPr>
          <w:p>
            <w:pPr>
              <w:spacing w:after="0"/>
              <w:rPr>
                <w:sz w:val="17"/>
                <w:szCs w:val="17"/>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21,038</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29,111</w:t>
            </w:r>
          </w:p>
        </w:tc>
        <w:tc>
          <w:tcPr>
            <w:tcW w:w="280" w:type="dxa"/>
            <w:vAlign w:val="bottom"/>
          </w:tcPr>
          <w:p>
            <w:pPr>
              <w:spacing w:after="0"/>
              <w:rPr>
                <w:sz w:val="17"/>
                <w:szCs w:val="17"/>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1,399</w:t>
            </w:r>
          </w:p>
        </w:tc>
        <w:tc>
          <w:tcPr>
            <w:tcW w:w="840" w:type="dxa"/>
            <w:vAlign w:val="bottom"/>
          </w:tcPr>
          <w:p>
            <w:pPr>
              <w:spacing w:after="0"/>
              <w:rPr>
                <w:sz w:val="17"/>
                <w:szCs w:val="17"/>
                <w:color w:val="auto"/>
              </w:rPr>
            </w:pPr>
          </w:p>
        </w:tc>
        <w:tc>
          <w:tcPr>
            <w:tcW w:w="2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7"/>
                <w:szCs w:val="17"/>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6"/>
                <w:szCs w:val="16"/>
                <w:color w:val="auto"/>
              </w:rPr>
              <w:t>30,510</w:t>
            </w:r>
          </w:p>
        </w:tc>
        <w:tc>
          <w:tcPr>
            <w:tcW w:w="0" w:type="dxa"/>
            <w:vAlign w:val="bottom"/>
          </w:tcPr>
          <w:p>
            <w:pPr>
              <w:spacing w:after="0"/>
              <w:rPr>
                <w:sz w:val="1"/>
                <w:szCs w:val="1"/>
                <w:color w:val="auto"/>
              </w:rPr>
            </w:pPr>
          </w:p>
        </w:tc>
      </w:tr>
      <w:tr>
        <w:trPr>
          <w:trHeight w:val="202"/>
        </w:trPr>
        <w:tc>
          <w:tcPr>
            <w:tcW w:w="2380" w:type="dxa"/>
            <w:vAlign w:val="bottom"/>
            <w:shd w:val="clear" w:color="auto" w:fill="CCEEFF"/>
          </w:tcPr>
          <w:p>
            <w:pPr>
              <w:spacing w:after="0"/>
              <w:rPr>
                <w:sz w:val="20"/>
                <w:szCs w:val="20"/>
                <w:color w:val="auto"/>
              </w:rPr>
            </w:pPr>
            <w:r>
              <w:rPr>
                <w:rFonts w:ascii="Arial" w:cs="Arial" w:eastAsia="Arial" w:hAnsi="Arial"/>
                <w:sz w:val="16"/>
                <w:szCs w:val="16"/>
                <w:color w:val="auto"/>
              </w:rPr>
              <w:t>Bassett Custom Wood</w:t>
            </w: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12,642</w:t>
            </w:r>
          </w:p>
        </w:tc>
        <w:tc>
          <w:tcPr>
            <w:tcW w:w="30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27,164</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39,806</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17,207</w:t>
            </w:r>
          </w:p>
        </w:tc>
        <w:tc>
          <w:tcPr>
            <w:tcW w:w="28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32,001</w:t>
            </w:r>
          </w:p>
        </w:tc>
        <w:tc>
          <w:tcPr>
            <w:tcW w:w="84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49,208</w:t>
            </w:r>
          </w:p>
        </w:tc>
        <w:tc>
          <w:tcPr>
            <w:tcW w:w="0" w:type="dxa"/>
            <w:vAlign w:val="bottom"/>
          </w:tcPr>
          <w:p>
            <w:pPr>
              <w:spacing w:after="0"/>
              <w:rPr>
                <w:sz w:val="1"/>
                <w:szCs w:val="1"/>
                <w:color w:val="auto"/>
              </w:rPr>
            </w:pPr>
          </w:p>
        </w:tc>
      </w:tr>
      <w:tr>
        <w:trPr>
          <w:trHeight w:val="203"/>
        </w:trPr>
        <w:tc>
          <w:tcPr>
            <w:tcW w:w="2380" w:type="dxa"/>
            <w:vAlign w:val="bottom"/>
          </w:tcPr>
          <w:p>
            <w:pPr>
              <w:spacing w:after="0"/>
              <w:rPr>
                <w:sz w:val="20"/>
                <w:szCs w:val="20"/>
                <w:color w:val="auto"/>
              </w:rPr>
            </w:pPr>
            <w:r>
              <w:rPr>
                <w:rFonts w:ascii="Arial" w:cs="Arial" w:eastAsia="Arial" w:hAnsi="Arial"/>
                <w:sz w:val="16"/>
                <w:szCs w:val="16"/>
                <w:color w:val="auto"/>
              </w:rPr>
              <w:t>Bassett Casegoods</w:t>
            </w:r>
          </w:p>
        </w:tc>
        <w:tc>
          <w:tcPr>
            <w:tcW w:w="100" w:type="dxa"/>
            <w:vAlign w:val="bottom"/>
          </w:tcPr>
          <w:p>
            <w:pPr>
              <w:spacing w:after="0"/>
              <w:rPr>
                <w:sz w:val="17"/>
                <w:szCs w:val="17"/>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9,473</w:t>
            </w:r>
          </w:p>
        </w:tc>
        <w:tc>
          <w:tcPr>
            <w:tcW w:w="300" w:type="dxa"/>
            <w:vAlign w:val="bottom"/>
          </w:tcPr>
          <w:p>
            <w:pPr>
              <w:spacing w:after="0"/>
              <w:rPr>
                <w:sz w:val="17"/>
                <w:szCs w:val="17"/>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24,848</w:t>
            </w:r>
          </w:p>
        </w:tc>
        <w:tc>
          <w:tcPr>
            <w:tcW w:w="240" w:type="dxa"/>
            <w:vAlign w:val="bottom"/>
          </w:tcPr>
          <w:p>
            <w:pPr>
              <w:spacing w:after="0"/>
              <w:rPr>
                <w:sz w:val="17"/>
                <w:szCs w:val="17"/>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34,321</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11,015</w:t>
            </w:r>
          </w:p>
        </w:tc>
        <w:tc>
          <w:tcPr>
            <w:tcW w:w="280" w:type="dxa"/>
            <w:vAlign w:val="bottom"/>
          </w:tcPr>
          <w:p>
            <w:pPr>
              <w:spacing w:after="0"/>
              <w:rPr>
                <w:sz w:val="17"/>
                <w:szCs w:val="17"/>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27,884</w:t>
            </w:r>
          </w:p>
        </w:tc>
        <w:tc>
          <w:tcPr>
            <w:tcW w:w="840" w:type="dxa"/>
            <w:vAlign w:val="bottom"/>
          </w:tcPr>
          <w:p>
            <w:pPr>
              <w:spacing w:after="0"/>
              <w:rPr>
                <w:sz w:val="17"/>
                <w:szCs w:val="17"/>
                <w:color w:val="auto"/>
              </w:rPr>
            </w:pPr>
          </w:p>
        </w:tc>
        <w:tc>
          <w:tcPr>
            <w:tcW w:w="2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7"/>
                <w:szCs w:val="17"/>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6"/>
                <w:szCs w:val="16"/>
                <w:color w:val="auto"/>
              </w:rPr>
              <w:t>38,899</w:t>
            </w:r>
          </w:p>
        </w:tc>
        <w:tc>
          <w:tcPr>
            <w:tcW w:w="0" w:type="dxa"/>
            <w:vAlign w:val="bottom"/>
          </w:tcPr>
          <w:p>
            <w:pPr>
              <w:spacing w:after="0"/>
              <w:rPr>
                <w:sz w:val="1"/>
                <w:szCs w:val="1"/>
                <w:color w:val="auto"/>
              </w:rPr>
            </w:pPr>
          </w:p>
        </w:tc>
      </w:tr>
      <w:tr>
        <w:trPr>
          <w:trHeight w:val="193"/>
        </w:trPr>
        <w:tc>
          <w:tcPr>
            <w:tcW w:w="2380" w:type="dxa"/>
            <w:vAlign w:val="bottom"/>
            <w:shd w:val="clear" w:color="auto" w:fill="CCEEFF"/>
          </w:tcPr>
          <w:p>
            <w:pPr>
              <w:spacing w:after="0"/>
              <w:rPr>
                <w:sz w:val="20"/>
                <w:szCs w:val="20"/>
                <w:color w:val="auto"/>
              </w:rPr>
            </w:pPr>
            <w:r>
              <w:rPr>
                <w:rFonts w:ascii="Arial" w:cs="Arial" w:eastAsia="Arial" w:hAnsi="Arial"/>
                <w:sz w:val="16"/>
                <w:szCs w:val="16"/>
                <w:color w:val="auto"/>
                <w:w w:val="96"/>
              </w:rPr>
              <w:t>Accessories, mattresses and other</w:t>
            </w:r>
          </w:p>
        </w:tc>
        <w:tc>
          <w:tcPr>
            <w:tcW w:w="100" w:type="dxa"/>
            <w:vAlign w:val="bottom"/>
            <w:shd w:val="clear" w:color="auto" w:fill="CCEEFF"/>
          </w:tcPr>
          <w:p>
            <w:pPr>
              <w:spacing w:after="0"/>
              <w:rPr>
                <w:sz w:val="16"/>
                <w:szCs w:val="16"/>
                <w:color w:val="auto"/>
              </w:rPr>
            </w:pPr>
          </w:p>
        </w:tc>
        <w:tc>
          <w:tcPr>
            <w:tcW w:w="94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6"/>
                <w:szCs w:val="16"/>
                <w:color w:val="auto"/>
              </w:rPr>
            </w:pPr>
          </w:p>
        </w:tc>
        <w:tc>
          <w:tcPr>
            <w:tcW w:w="86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23,537</w:t>
            </w:r>
          </w:p>
        </w:tc>
        <w:tc>
          <w:tcPr>
            <w:tcW w:w="240" w:type="dxa"/>
            <w:vAlign w:val="bottom"/>
            <w:shd w:val="clear" w:color="auto" w:fill="CCEEFF"/>
          </w:tcPr>
          <w:p>
            <w:pPr>
              <w:spacing w:after="0"/>
              <w:rPr>
                <w:sz w:val="16"/>
                <w:szCs w:val="16"/>
                <w:color w:val="auto"/>
              </w:rPr>
            </w:pPr>
          </w:p>
        </w:tc>
        <w:tc>
          <w:tcPr>
            <w:tcW w:w="88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7,044</w:t>
            </w:r>
          </w:p>
        </w:tc>
        <w:tc>
          <w:tcPr>
            <w:tcW w:w="280" w:type="dxa"/>
            <w:vAlign w:val="bottom"/>
            <w:shd w:val="clear" w:color="auto" w:fill="CCEEFF"/>
          </w:tcPr>
          <w:p>
            <w:pPr>
              <w:spacing w:after="0"/>
              <w:rPr>
                <w:sz w:val="16"/>
                <w:szCs w:val="16"/>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30,581</w:t>
            </w: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6"/>
                <w:szCs w:val="16"/>
                <w:color w:val="auto"/>
              </w:rPr>
            </w:pPr>
          </w:p>
        </w:tc>
        <w:tc>
          <w:tcPr>
            <w:tcW w:w="82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27,081</w:t>
            </w:r>
          </w:p>
        </w:tc>
        <w:tc>
          <w:tcPr>
            <w:tcW w:w="840" w:type="dxa"/>
            <w:vAlign w:val="bottom"/>
            <w:shd w:val="clear" w:color="auto" w:fill="CCEEFF"/>
          </w:tcPr>
          <w:p>
            <w:pPr>
              <w:spacing w:after="0"/>
              <w:rPr>
                <w:sz w:val="16"/>
                <w:szCs w:val="16"/>
                <w:color w:val="auto"/>
              </w:rPr>
            </w:pPr>
          </w:p>
        </w:tc>
        <w:tc>
          <w:tcPr>
            <w:tcW w:w="28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6"/>
                <w:szCs w:val="16"/>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27,081</w:t>
            </w:r>
          </w:p>
        </w:tc>
        <w:tc>
          <w:tcPr>
            <w:tcW w:w="100" w:type="dxa"/>
            <w:vAlign w:val="bottom"/>
            <w:vMerge w:val="restart"/>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23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vMerge w:val="continue"/>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vMerge w:val="continue"/>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vMerge w:val="continue"/>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vMerge w:val="continue"/>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vMerge w:val="continue"/>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vMerge w:val="continue"/>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spacing w:after="0"/>
              <w:rPr>
                <w:sz w:val="17"/>
                <w:szCs w:val="17"/>
                <w:color w:val="auto"/>
              </w:rPr>
            </w:pPr>
          </w:p>
        </w:tc>
        <w:tc>
          <w:tcPr>
            <w:tcW w:w="280" w:type="dxa"/>
            <w:vAlign w:val="bottom"/>
            <w:tcBorders>
              <w:bottom w:val="single" w:sz="8" w:color="auto"/>
            </w:tcBorders>
            <w:vMerge w:val="continue"/>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tcBorders>
              <w:bottom w:val="single" w:sz="8" w:color="CCEEFF"/>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2380" w:type="dxa"/>
            <w:vAlign w:val="bottom"/>
          </w:tcPr>
          <w:p>
            <w:pPr>
              <w:spacing w:after="0"/>
              <w:rPr>
                <w:sz w:val="20"/>
                <w:szCs w:val="20"/>
                <w:color w:val="auto"/>
              </w:rPr>
            </w:pPr>
            <w:r>
              <w:rPr>
                <w:rFonts w:ascii="Arial" w:cs="Arial" w:eastAsia="Arial" w:hAnsi="Arial"/>
                <w:sz w:val="16"/>
                <w:szCs w:val="16"/>
                <w:color w:val="auto"/>
                <w:w w:val="97"/>
              </w:rPr>
              <w:t>Consolidated net sales of furniture</w:t>
            </w:r>
          </w:p>
        </w:tc>
        <w:tc>
          <w:tcPr>
            <w:tcW w:w="100" w:type="dxa"/>
            <w:vAlign w:val="bottom"/>
            <w:vMerge w:val="restart"/>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vMerge w:val="restart"/>
          </w:tcPr>
          <w:p>
            <w:pPr>
              <w:jc w:val="right"/>
              <w:ind w:right="39"/>
              <w:spacing w:after="0"/>
              <w:rPr>
                <w:sz w:val="20"/>
                <w:szCs w:val="20"/>
                <w:color w:val="auto"/>
              </w:rPr>
            </w:pPr>
            <w:r>
              <w:rPr>
                <w:rFonts w:ascii="Arial" w:cs="Arial" w:eastAsia="Arial" w:hAnsi="Arial"/>
                <w:sz w:val="16"/>
                <w:szCs w:val="16"/>
                <w:color w:val="auto"/>
              </w:rPr>
              <w:t>110,386</w:t>
            </w:r>
          </w:p>
        </w:tc>
        <w:tc>
          <w:tcPr>
            <w:tcW w:w="300" w:type="dxa"/>
            <w:vAlign w:val="bottom"/>
            <w:vMerge w:val="restart"/>
          </w:tcPr>
          <w:p>
            <w:pPr>
              <w:jc w:val="right"/>
              <w:ind w:right="19"/>
              <w:spacing w:after="0"/>
              <w:rPr>
                <w:sz w:val="20"/>
                <w:szCs w:val="20"/>
                <w:color w:val="auto"/>
              </w:rPr>
            </w:pPr>
            <w:r>
              <w:rPr>
                <w:rFonts w:ascii="Arial" w:cs="Arial" w:eastAsia="Arial" w:hAnsi="Arial"/>
                <w:sz w:val="16"/>
                <w:szCs w:val="16"/>
                <w:color w:val="auto"/>
              </w:rPr>
              <w:t>$</w:t>
            </w:r>
          </w:p>
        </w:tc>
        <w:tc>
          <w:tcPr>
            <w:tcW w:w="860" w:type="dxa"/>
            <w:vAlign w:val="bottom"/>
            <w:vMerge w:val="restart"/>
          </w:tcPr>
          <w:p>
            <w:pPr>
              <w:jc w:val="right"/>
              <w:ind w:right="39"/>
              <w:spacing w:after="0"/>
              <w:rPr>
                <w:sz w:val="20"/>
                <w:szCs w:val="20"/>
                <w:color w:val="auto"/>
              </w:rPr>
            </w:pPr>
            <w:r>
              <w:rPr>
                <w:rFonts w:ascii="Arial" w:cs="Arial" w:eastAsia="Arial" w:hAnsi="Arial"/>
                <w:sz w:val="16"/>
                <w:szCs w:val="16"/>
                <w:color w:val="auto"/>
              </w:rPr>
              <w:t>178,004</w:t>
            </w:r>
          </w:p>
        </w:tc>
        <w:tc>
          <w:tcPr>
            <w:tcW w:w="2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880" w:type="dxa"/>
            <w:vAlign w:val="bottom"/>
            <w:vMerge w:val="restart"/>
          </w:tcPr>
          <w:p>
            <w:pPr>
              <w:jc w:val="right"/>
              <w:ind w:right="19"/>
              <w:spacing w:after="0"/>
              <w:rPr>
                <w:sz w:val="20"/>
                <w:szCs w:val="20"/>
                <w:color w:val="auto"/>
              </w:rPr>
            </w:pPr>
            <w:r>
              <w:rPr>
                <w:rFonts w:ascii="Arial" w:cs="Arial" w:eastAsia="Arial" w:hAnsi="Arial"/>
                <w:sz w:val="16"/>
                <w:szCs w:val="16"/>
                <w:color w:val="auto"/>
              </w:rPr>
              <w:t>7,044</w:t>
            </w:r>
          </w:p>
        </w:tc>
        <w:tc>
          <w:tcPr>
            <w:tcW w:w="2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295,434</w:t>
            </w:r>
          </w:p>
        </w:tc>
        <w:tc>
          <w:tcPr>
            <w:tcW w:w="220" w:type="dxa"/>
            <w:vAlign w:val="bottom"/>
          </w:tcPr>
          <w:p>
            <w:pPr>
              <w:spacing w:after="0"/>
              <w:rPr>
                <w:sz w:val="16"/>
                <w:szCs w:val="16"/>
                <w:color w:val="auto"/>
              </w:rPr>
            </w:pPr>
          </w:p>
        </w:tc>
        <w:tc>
          <w:tcPr>
            <w:tcW w:w="100" w:type="dxa"/>
            <w:vAlign w:val="bottom"/>
            <w:vMerge w:val="restart"/>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vMerge w:val="restart"/>
          </w:tcPr>
          <w:p>
            <w:pPr>
              <w:jc w:val="right"/>
              <w:ind w:right="19"/>
              <w:spacing w:after="0"/>
              <w:rPr>
                <w:sz w:val="20"/>
                <w:szCs w:val="20"/>
                <w:color w:val="auto"/>
              </w:rPr>
            </w:pPr>
            <w:r>
              <w:rPr>
                <w:rFonts w:ascii="Arial" w:cs="Arial" w:eastAsia="Arial" w:hAnsi="Arial"/>
                <w:sz w:val="16"/>
                <w:szCs w:val="16"/>
                <w:color w:val="auto"/>
              </w:rPr>
              <w:t>153,969</w:t>
            </w:r>
          </w:p>
        </w:tc>
        <w:tc>
          <w:tcPr>
            <w:tcW w:w="280" w:type="dxa"/>
            <w:vAlign w:val="bottom"/>
            <w:vMerge w:val="restart"/>
          </w:tcPr>
          <w:p>
            <w:pPr>
              <w:jc w:val="right"/>
              <w:ind w:right="19"/>
              <w:spacing w:after="0"/>
              <w:rPr>
                <w:sz w:val="20"/>
                <w:szCs w:val="20"/>
                <w:color w:val="auto"/>
              </w:rPr>
            </w:pPr>
            <w:r>
              <w:rPr>
                <w:rFonts w:ascii="Arial" w:cs="Arial" w:eastAsia="Arial" w:hAnsi="Arial"/>
                <w:sz w:val="16"/>
                <w:szCs w:val="16"/>
                <w:color w:val="auto"/>
              </w:rPr>
              <w:t>$</w:t>
            </w:r>
          </w:p>
        </w:tc>
        <w:tc>
          <w:tcPr>
            <w:tcW w:w="820" w:type="dxa"/>
            <w:vAlign w:val="bottom"/>
            <w:vMerge w:val="restart"/>
          </w:tcPr>
          <w:p>
            <w:pPr>
              <w:jc w:val="right"/>
              <w:ind w:right="19"/>
              <w:spacing w:after="0"/>
              <w:rPr>
                <w:sz w:val="20"/>
                <w:szCs w:val="20"/>
                <w:color w:val="auto"/>
              </w:rPr>
            </w:pPr>
            <w:r>
              <w:rPr>
                <w:rFonts w:ascii="Arial" w:cs="Arial" w:eastAsia="Arial" w:hAnsi="Arial"/>
                <w:sz w:val="16"/>
                <w:szCs w:val="16"/>
                <w:color w:val="auto"/>
              </w:rPr>
              <w:t>210,613</w:t>
            </w:r>
          </w:p>
        </w:tc>
        <w:tc>
          <w:tcPr>
            <w:tcW w:w="840" w:type="dxa"/>
            <w:vAlign w:val="bottom"/>
            <w:vMerge w:val="restart"/>
          </w:tcPr>
          <w:p>
            <w:pPr>
              <w:jc w:val="right"/>
              <w:ind w:right="559"/>
              <w:spacing w:after="0"/>
              <w:rPr>
                <w:sz w:val="20"/>
                <w:szCs w:val="20"/>
                <w:color w:val="auto"/>
              </w:rPr>
            </w:pPr>
            <w:r>
              <w:rPr>
                <w:rFonts w:ascii="Arial" w:cs="Arial" w:eastAsia="Arial" w:hAnsi="Arial"/>
                <w:sz w:val="16"/>
                <w:szCs w:val="16"/>
                <w:color w:val="auto"/>
              </w:rPr>
              <w:t>$</w:t>
            </w:r>
          </w:p>
        </w:tc>
        <w:tc>
          <w:tcPr>
            <w:tcW w:w="280" w:type="dxa"/>
            <w:vAlign w:val="bottom"/>
            <w:vMerge w:val="restart"/>
          </w:tcPr>
          <w:p>
            <w:pPr>
              <w:jc w:val="right"/>
              <w:ind w:right="39"/>
              <w:spacing w:after="0"/>
              <w:rPr>
                <w:sz w:val="20"/>
                <w:szCs w:val="20"/>
                <w:color w:val="auto"/>
              </w:rPr>
            </w:pPr>
            <w:r>
              <w:rPr>
                <w:rFonts w:ascii="Arial" w:cs="Arial" w:eastAsia="Arial" w:hAnsi="Arial"/>
                <w:sz w:val="16"/>
                <w:szCs w:val="16"/>
                <w:color w:val="auto"/>
              </w:rPr>
              <w:t>-</w:t>
            </w:r>
          </w:p>
        </w:tc>
        <w:tc>
          <w:tcPr>
            <w:tcW w:w="280" w:type="dxa"/>
            <w:vAlign w:val="bottom"/>
            <w:vMerge w:val="restart"/>
          </w:tcPr>
          <w:p>
            <w:pPr>
              <w:jc w:val="right"/>
              <w:ind w:right="19"/>
              <w:spacing w:after="0"/>
              <w:rPr>
                <w:sz w:val="20"/>
                <w:szCs w:val="20"/>
                <w:color w:val="auto"/>
              </w:rPr>
            </w:pPr>
            <w:r>
              <w:rPr>
                <w:rFonts w:ascii="Arial" w:cs="Arial" w:eastAsia="Arial" w:hAnsi="Arial"/>
                <w:sz w:val="16"/>
                <w:szCs w:val="16"/>
                <w:color w:val="auto"/>
              </w:rPr>
              <w:t>$</w:t>
            </w:r>
          </w:p>
        </w:tc>
        <w:tc>
          <w:tcPr>
            <w:tcW w:w="820" w:type="dxa"/>
            <w:vAlign w:val="bottom"/>
            <w:gridSpan w:val="2"/>
            <w:vMerge w:val="restart"/>
          </w:tcPr>
          <w:p>
            <w:pPr>
              <w:jc w:val="right"/>
              <w:ind w:right="100"/>
              <w:spacing w:after="0"/>
              <w:rPr>
                <w:sz w:val="20"/>
                <w:szCs w:val="20"/>
                <w:color w:val="auto"/>
              </w:rPr>
            </w:pPr>
            <w:r>
              <w:rPr>
                <w:rFonts w:ascii="Arial" w:cs="Arial" w:eastAsia="Arial" w:hAnsi="Arial"/>
                <w:sz w:val="16"/>
                <w:szCs w:val="16"/>
                <w:color w:val="auto"/>
              </w:rPr>
              <w:t>364,582</w:t>
            </w:r>
          </w:p>
        </w:tc>
        <w:tc>
          <w:tcPr>
            <w:tcW w:w="0" w:type="dxa"/>
            <w:vAlign w:val="bottom"/>
          </w:tcPr>
          <w:p>
            <w:pPr>
              <w:spacing w:after="0"/>
              <w:rPr>
                <w:sz w:val="1"/>
                <w:szCs w:val="1"/>
                <w:color w:val="auto"/>
              </w:rPr>
            </w:pPr>
          </w:p>
        </w:tc>
      </w:tr>
      <w:tr>
        <w:trPr>
          <w:trHeight w:val="172"/>
        </w:trPr>
        <w:tc>
          <w:tcPr>
            <w:tcW w:w="2380" w:type="dxa"/>
            <w:vAlign w:val="bottom"/>
          </w:tcPr>
          <w:p>
            <w:pPr>
              <w:spacing w:after="0" w:line="172" w:lineRule="exact"/>
              <w:rPr>
                <w:sz w:val="20"/>
                <w:szCs w:val="20"/>
                <w:color w:val="auto"/>
              </w:rPr>
            </w:pPr>
            <w:r>
              <w:rPr>
                <w:rFonts w:ascii="Arial" w:cs="Arial" w:eastAsia="Arial" w:hAnsi="Arial"/>
                <w:sz w:val="16"/>
                <w:szCs w:val="16"/>
                <w:color w:val="auto"/>
              </w:rPr>
              <w:t>and accessories</w:t>
            </w:r>
          </w:p>
        </w:tc>
        <w:tc>
          <w:tcPr>
            <w:tcW w:w="10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30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24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28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28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280" w:type="dxa"/>
            <w:vAlign w:val="bottom"/>
            <w:vMerge w:val="continue"/>
          </w:tcPr>
          <w:p>
            <w:pPr>
              <w:spacing w:after="0"/>
              <w:rPr>
                <w:sz w:val="14"/>
                <w:szCs w:val="14"/>
                <w:color w:val="auto"/>
              </w:rPr>
            </w:pPr>
          </w:p>
        </w:tc>
        <w:tc>
          <w:tcPr>
            <w:tcW w:w="280" w:type="dxa"/>
            <w:vAlign w:val="bottom"/>
            <w:vMerge w:val="continue"/>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260" w:hanging="252"/>
        <w:spacing w:after="0"/>
        <w:tabs>
          <w:tab w:leader="none" w:pos="2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Includes the sale of goods other than Bassett-branded products, such as accessories and bedding, and also includes the sale of furniture protection plans.</w:t>
      </w:r>
    </w:p>
    <w:p>
      <w:pPr>
        <w:spacing w:after="0" w:line="46" w:lineRule="exact"/>
        <w:rPr>
          <w:rFonts w:ascii="Arial" w:cs="Arial" w:eastAsia="Arial" w:hAnsi="Arial"/>
          <w:sz w:val="16"/>
          <w:szCs w:val="16"/>
          <w:color w:val="auto"/>
        </w:rPr>
      </w:pPr>
    </w:p>
    <w:p>
      <w:pPr>
        <w:ind w:right="620" w:firstLine="8"/>
        <w:spacing w:after="0" w:line="260" w:lineRule="auto"/>
        <w:tabs>
          <w:tab w:leader="none" w:pos="2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Corporate and other segment for the three and nine months ended August 26, 2023 includes the sales of Noa Home, which was acquired on September 2, 2022 (see Note 3).</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 of 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0" w:name="page21"/>
    <w:bookmarkEnd w:id="20"/>
    <w:p>
      <w:pPr>
        <w:jc w:val="center"/>
        <w:spacing w:after="0"/>
        <w:rPr>
          <w:sz w:val="20"/>
          <w:szCs w:val="20"/>
          <w:color w:val="auto"/>
        </w:rPr>
      </w:pPr>
      <w:r>
        <w:rPr>
          <w:rFonts w:ascii="Arial" w:cs="Arial" w:eastAsia="Arial" w:hAnsi="Arial"/>
          <w:sz w:val="18"/>
          <w:szCs w:val="18"/>
          <w:u w:val="single" w:color="auto"/>
          <w:color w:val="auto"/>
        </w:rPr>
        <w:t>PART I-FINANCIAL INFORMATION-CONTINUED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BASSETT FURNITURE INDUSTRIES, INCORPORATED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CONDENSED CONSOLIDATED FINANCIAL STATEMENTS-UNAUDITED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AUGUST 26, 2023</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(Dollars 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Changes to Stockholders</w:t>
      </w:r>
      <w:r>
        <w:rPr>
          <w:rFonts w:ascii="Arial" w:cs="Arial" w:eastAsia="Arial" w:hAnsi="Arial"/>
          <w:sz w:val="18"/>
          <w:szCs w:val="18"/>
          <w:color w:val="auto"/>
        </w:rPr>
        <w:t>’</w:t>
      </w:r>
      <w:r>
        <w:rPr>
          <w:rFonts w:ascii="Arial" w:cs="Arial" w:eastAsia="Arial" w:hAnsi="Arial"/>
          <w:sz w:val="18"/>
          <w:szCs w:val="18"/>
          <w:b w:val="1"/>
          <w:bCs w:val="1"/>
          <w:color w:val="auto"/>
        </w:rPr>
        <w:t xml:space="preserve"> Equity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changes in our stockholders’ equity occurred during the three and nine months ended August 26, 2023 and August 27, 2022:</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8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Quarter Ended</w:t>
            </w:r>
          </w:p>
        </w:tc>
        <w:tc>
          <w:tcPr>
            <w:tcW w:w="8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2540" w:type="dxa"/>
            <w:vAlign w:val="bottom"/>
            <w:tcBorders>
              <w:bottom w:val="single" w:sz="8" w:color="auto"/>
            </w:tcBorders>
            <w:gridSpan w:val="5"/>
          </w:tcPr>
          <w:p>
            <w:pPr>
              <w:jc w:val="right"/>
              <w:ind w:right="590"/>
              <w:spacing w:after="0"/>
              <w:rPr>
                <w:sz w:val="20"/>
                <w:szCs w:val="20"/>
                <w:color w:val="auto"/>
              </w:rPr>
            </w:pPr>
            <w:r>
              <w:rPr>
                <w:rFonts w:ascii="Arial" w:cs="Arial" w:eastAsia="Arial" w:hAnsi="Arial"/>
                <w:sz w:val="18"/>
                <w:szCs w:val="18"/>
                <w:b w:val="1"/>
                <w:bCs w:val="1"/>
                <w:color w:val="auto"/>
              </w:rPr>
              <w:t>Nine Months Ended</w:t>
            </w:r>
          </w:p>
        </w:tc>
        <w:tc>
          <w:tcPr>
            <w:tcW w:w="100" w:type="dxa"/>
            <w:vAlign w:val="bottom"/>
          </w:tcPr>
          <w:p>
            <w:pPr>
              <w:spacing w:after="0"/>
              <w:rPr>
                <w:sz w:val="20"/>
                <w:szCs w:val="20"/>
                <w:color w:val="auto"/>
              </w:rPr>
            </w:pPr>
          </w:p>
        </w:tc>
      </w:tr>
      <w:tr>
        <w:trPr>
          <w:trHeight w:val="425"/>
        </w:trPr>
        <w:tc>
          <w:tcPr>
            <w:tcW w:w="5080" w:type="dxa"/>
            <w:vAlign w:val="bottom"/>
          </w:tcPr>
          <w:p>
            <w:pPr>
              <w:spacing w:after="0"/>
              <w:rPr>
                <w:sz w:val="24"/>
                <w:szCs w:val="24"/>
                <w:color w:val="auto"/>
              </w:rPr>
            </w:pPr>
          </w:p>
        </w:tc>
        <w:tc>
          <w:tcPr>
            <w:tcW w:w="1520" w:type="dxa"/>
            <w:vAlign w:val="bottom"/>
            <w:gridSpan w:val="3"/>
          </w:tcPr>
          <w:p>
            <w:pPr>
              <w:jc w:val="right"/>
              <w:ind w:right="220"/>
              <w:spacing w:after="0"/>
              <w:rPr>
                <w:sz w:val="20"/>
                <w:szCs w:val="20"/>
                <w:color w:val="auto"/>
              </w:rPr>
            </w:pPr>
            <w:r>
              <w:rPr>
                <w:rFonts w:ascii="Arial" w:cs="Arial" w:eastAsia="Arial" w:hAnsi="Arial"/>
                <w:sz w:val="18"/>
                <w:szCs w:val="18"/>
                <w:b w:val="1"/>
                <w:bCs w:val="1"/>
                <w:color w:val="auto"/>
                <w:w w:val="93"/>
              </w:rPr>
              <w:t>August 26, 2023</w:t>
            </w:r>
          </w:p>
        </w:tc>
        <w:tc>
          <w:tcPr>
            <w:tcW w:w="100" w:type="dxa"/>
            <w:vAlign w:val="bottom"/>
          </w:tcPr>
          <w:p>
            <w:pPr>
              <w:spacing w:after="0"/>
              <w:rPr>
                <w:sz w:val="24"/>
                <w:szCs w:val="24"/>
                <w:color w:val="auto"/>
              </w:rPr>
            </w:pPr>
          </w:p>
        </w:tc>
        <w:tc>
          <w:tcPr>
            <w:tcW w:w="1540" w:type="dxa"/>
            <w:vAlign w:val="bottom"/>
            <w:gridSpan w:val="3"/>
          </w:tcPr>
          <w:p>
            <w:pPr>
              <w:jc w:val="right"/>
              <w:ind w:right="260"/>
              <w:spacing w:after="0"/>
              <w:rPr>
                <w:sz w:val="20"/>
                <w:szCs w:val="20"/>
                <w:color w:val="auto"/>
              </w:rPr>
            </w:pPr>
            <w:r>
              <w:rPr>
                <w:rFonts w:ascii="Arial" w:cs="Arial" w:eastAsia="Arial" w:hAnsi="Arial"/>
                <w:sz w:val="18"/>
                <w:szCs w:val="18"/>
                <w:b w:val="1"/>
                <w:bCs w:val="1"/>
                <w:color w:val="auto"/>
                <w:w w:val="91"/>
              </w:rPr>
              <w:t>August 27, 2022</w:t>
            </w:r>
          </w:p>
        </w:tc>
        <w:tc>
          <w:tcPr>
            <w:tcW w:w="148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w w:val="91"/>
              </w:rPr>
              <w:t>August 26, 2023</w:t>
            </w:r>
          </w:p>
        </w:tc>
        <w:tc>
          <w:tcPr>
            <w:tcW w:w="80" w:type="dxa"/>
            <w:vAlign w:val="bottom"/>
          </w:tcPr>
          <w:p>
            <w:pPr>
              <w:spacing w:after="0"/>
              <w:rPr>
                <w:sz w:val="24"/>
                <w:szCs w:val="24"/>
                <w:color w:val="auto"/>
              </w:rPr>
            </w:pPr>
          </w:p>
        </w:tc>
        <w:tc>
          <w:tcPr>
            <w:tcW w:w="144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w w:val="91"/>
              </w:rPr>
              <w:t>August 27, 2022</w:t>
            </w:r>
          </w:p>
        </w:tc>
      </w:tr>
      <w:tr>
        <w:trPr>
          <w:trHeight w:val="210"/>
        </w:trPr>
        <w:tc>
          <w:tcPr>
            <w:tcW w:w="5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Common Stock:</w:t>
            </w:r>
          </w:p>
        </w:tc>
        <w:tc>
          <w:tcPr>
            <w:tcW w:w="3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080" w:type="dxa"/>
            <w:vAlign w:val="bottom"/>
          </w:tcPr>
          <w:p>
            <w:pPr>
              <w:spacing w:after="0"/>
              <w:rPr>
                <w:sz w:val="20"/>
                <w:szCs w:val="20"/>
                <w:color w:val="auto"/>
              </w:rPr>
            </w:pPr>
            <w:r>
              <w:rPr>
                <w:rFonts w:ascii="Arial" w:cs="Arial" w:eastAsia="Arial" w:hAnsi="Arial"/>
                <w:sz w:val="18"/>
                <w:szCs w:val="18"/>
                <w:color w:val="auto"/>
              </w:rPr>
              <w:t>Beginning of period</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43,900</w:t>
            </w:r>
          </w:p>
        </w:tc>
        <w:tc>
          <w:tcPr>
            <w:tcW w:w="620" w:type="dxa"/>
            <w:vAlign w:val="bottom"/>
            <w:gridSpan w:val="2"/>
          </w:tcPr>
          <w:p>
            <w:pPr>
              <w:jc w:val="right"/>
              <w:ind w:right="35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46,396</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44,759</w:t>
            </w:r>
          </w:p>
        </w:tc>
        <w:tc>
          <w:tcPr>
            <w:tcW w:w="42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48,811</w:t>
            </w:r>
          </w:p>
        </w:tc>
      </w:tr>
      <w:tr>
        <w:trPr>
          <w:trHeight w:val="216"/>
        </w:trPr>
        <w:tc>
          <w:tcPr>
            <w:tcW w:w="5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Issuance of common stock</w:t>
            </w:r>
          </w:p>
        </w:tc>
        <w:tc>
          <w:tcPr>
            <w:tcW w:w="3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101</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98</w:t>
            </w:r>
          </w:p>
        </w:tc>
        <w:tc>
          <w:tcPr>
            <w:tcW w:w="3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288</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222</w:t>
            </w:r>
          </w:p>
        </w:tc>
      </w:tr>
      <w:tr>
        <w:trPr>
          <w:trHeight w:val="216"/>
        </w:trPr>
        <w:tc>
          <w:tcPr>
            <w:tcW w:w="5080" w:type="dxa"/>
            <w:vAlign w:val="bottom"/>
          </w:tcPr>
          <w:p>
            <w:pPr>
              <w:ind w:left="180"/>
              <w:spacing w:after="0"/>
              <w:rPr>
                <w:sz w:val="20"/>
                <w:szCs w:val="20"/>
                <w:color w:val="auto"/>
              </w:rPr>
            </w:pPr>
            <w:r>
              <w:rPr>
                <w:rFonts w:ascii="Arial" w:cs="Arial" w:eastAsia="Arial" w:hAnsi="Arial"/>
                <w:sz w:val="18"/>
                <w:szCs w:val="18"/>
                <w:color w:val="auto"/>
              </w:rPr>
              <w:t>Purchase and retirement of common stock</w:t>
            </w:r>
          </w:p>
        </w:tc>
        <w:tc>
          <w:tcPr>
            <w:tcW w:w="38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(201)</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(430)</w:t>
            </w:r>
          </w:p>
        </w:tc>
        <w:tc>
          <w:tcPr>
            <w:tcW w:w="36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(1,247)</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(2,969)</w:t>
            </w:r>
          </w:p>
        </w:tc>
      </w:tr>
      <w:tr>
        <w:trPr>
          <w:trHeight w:val="20"/>
        </w:trPr>
        <w:tc>
          <w:tcPr>
            <w:tcW w:w="50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End of period</w:t>
            </w: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43,800</w:t>
            </w:r>
          </w:p>
        </w:tc>
        <w:tc>
          <w:tcPr>
            <w:tcW w:w="620" w:type="dxa"/>
            <w:vAlign w:val="bottom"/>
            <w:gridSpan w:val="2"/>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46,064</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43,800</w:t>
            </w:r>
          </w:p>
        </w:tc>
        <w:tc>
          <w:tcPr>
            <w:tcW w:w="42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46,064</w:t>
            </w:r>
          </w:p>
        </w:tc>
      </w:tr>
      <w:tr>
        <w:trPr>
          <w:trHeight w:val="196"/>
        </w:trPr>
        <w:tc>
          <w:tcPr>
            <w:tcW w:w="5080" w:type="dxa"/>
            <w:vAlign w:val="bottom"/>
            <w:tcBorders>
              <w:top w:val="single" w:sz="8" w:color="CCEEFF"/>
            </w:tcBorders>
          </w:tcPr>
          <w:p>
            <w:pPr>
              <w:spacing w:after="0" w:line="196" w:lineRule="exact"/>
              <w:rPr>
                <w:sz w:val="20"/>
                <w:szCs w:val="20"/>
                <w:color w:val="auto"/>
              </w:rPr>
            </w:pPr>
            <w:r>
              <w:rPr>
                <w:rFonts w:ascii="Arial" w:cs="Arial" w:eastAsia="Arial" w:hAnsi="Arial"/>
                <w:sz w:val="18"/>
                <w:szCs w:val="18"/>
                <w:b w:val="1"/>
                <w:bCs w:val="1"/>
                <w:color w:val="auto"/>
              </w:rPr>
              <w:t>Common Shares Issued and Outstanding:</w:t>
            </w:r>
          </w:p>
        </w:tc>
        <w:tc>
          <w:tcPr>
            <w:tcW w:w="38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16"/>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Beginning of period</w:t>
            </w:r>
          </w:p>
        </w:tc>
        <w:tc>
          <w:tcPr>
            <w:tcW w:w="3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8,779,912</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9,279,268</w:t>
            </w:r>
          </w:p>
        </w:tc>
        <w:tc>
          <w:tcPr>
            <w:tcW w:w="3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8,951,839</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9,762,125</w:t>
            </w:r>
          </w:p>
        </w:tc>
      </w:tr>
      <w:tr>
        <w:trPr>
          <w:trHeight w:val="216"/>
        </w:trPr>
        <w:tc>
          <w:tcPr>
            <w:tcW w:w="5080" w:type="dxa"/>
            <w:vAlign w:val="bottom"/>
          </w:tcPr>
          <w:p>
            <w:pPr>
              <w:ind w:left="180"/>
              <w:spacing w:after="0"/>
              <w:rPr>
                <w:sz w:val="20"/>
                <w:szCs w:val="20"/>
                <w:color w:val="auto"/>
              </w:rPr>
            </w:pPr>
            <w:r>
              <w:rPr>
                <w:rFonts w:ascii="Arial" w:cs="Arial" w:eastAsia="Arial" w:hAnsi="Arial"/>
                <w:sz w:val="18"/>
                <w:szCs w:val="18"/>
                <w:color w:val="auto"/>
              </w:rPr>
              <w:t>Issuance of common stock</w:t>
            </w:r>
          </w:p>
        </w:tc>
        <w:tc>
          <w:tcPr>
            <w:tcW w:w="38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19,996</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19,568</w:t>
            </w:r>
          </w:p>
        </w:tc>
        <w:tc>
          <w:tcPr>
            <w:tcW w:w="3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57,406</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44,544</w:t>
            </w:r>
          </w:p>
        </w:tc>
      </w:tr>
      <w:tr>
        <w:trPr>
          <w:trHeight w:val="216"/>
        </w:trPr>
        <w:tc>
          <w:tcPr>
            <w:tcW w:w="5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Purchase and retirement of common stock</w:t>
            </w:r>
          </w:p>
        </w:tc>
        <w:tc>
          <w:tcPr>
            <w:tcW w:w="3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(40,143)</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(86,096)</w:t>
            </w:r>
          </w:p>
        </w:tc>
        <w:tc>
          <w:tcPr>
            <w:tcW w:w="3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(249,480)</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(593,929)</w:t>
            </w:r>
          </w:p>
        </w:tc>
      </w:tr>
      <w:tr>
        <w:trPr>
          <w:trHeight w:val="20"/>
        </w:trPr>
        <w:tc>
          <w:tcPr>
            <w:tcW w:w="5080" w:type="dxa"/>
            <w:vAlign w:val="bottom"/>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5080" w:type="dxa"/>
            <w:vAlign w:val="bottom"/>
          </w:tcPr>
          <w:p>
            <w:pPr>
              <w:spacing w:after="0"/>
              <w:rPr>
                <w:sz w:val="20"/>
                <w:szCs w:val="20"/>
                <w:color w:val="auto"/>
              </w:rPr>
            </w:pPr>
            <w:r>
              <w:rPr>
                <w:rFonts w:ascii="Arial" w:cs="Arial" w:eastAsia="Arial" w:hAnsi="Arial"/>
                <w:sz w:val="18"/>
                <w:szCs w:val="18"/>
                <w:color w:val="auto"/>
              </w:rPr>
              <w:t>End of period</w:t>
            </w:r>
          </w:p>
        </w:tc>
        <w:tc>
          <w:tcPr>
            <w:tcW w:w="38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8,759,765</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9,212,740</w:t>
            </w:r>
          </w:p>
        </w:tc>
        <w:tc>
          <w:tcPr>
            <w:tcW w:w="3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8,759,765</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9,212,740</w:t>
            </w:r>
          </w:p>
        </w:tc>
      </w:tr>
      <w:tr>
        <w:trPr>
          <w:trHeight w:val="20"/>
        </w:trPr>
        <w:tc>
          <w:tcPr>
            <w:tcW w:w="50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50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Additional Paid-in Capital:</w:t>
            </w:r>
          </w:p>
        </w:tc>
        <w:tc>
          <w:tcPr>
            <w:tcW w:w="3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5080" w:type="dxa"/>
            <w:vAlign w:val="bottom"/>
          </w:tcPr>
          <w:p>
            <w:pPr>
              <w:spacing w:after="0"/>
              <w:rPr>
                <w:sz w:val="20"/>
                <w:szCs w:val="20"/>
                <w:color w:val="auto"/>
              </w:rPr>
            </w:pPr>
            <w:r>
              <w:rPr>
                <w:rFonts w:ascii="Arial" w:cs="Arial" w:eastAsia="Arial" w:hAnsi="Arial"/>
                <w:sz w:val="18"/>
                <w:szCs w:val="18"/>
                <w:color w:val="auto"/>
              </w:rPr>
              <w:t>Beginning of period</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35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113</w:t>
            </w:r>
          </w:p>
        </w:tc>
      </w:tr>
      <w:tr>
        <w:trPr>
          <w:trHeight w:val="216"/>
        </w:trPr>
        <w:tc>
          <w:tcPr>
            <w:tcW w:w="5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Issuance of common stock</w:t>
            </w:r>
          </w:p>
        </w:tc>
        <w:tc>
          <w:tcPr>
            <w:tcW w:w="3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65</w:t>
            </w:r>
          </w:p>
        </w:tc>
        <w:tc>
          <w:tcPr>
            <w:tcW w:w="3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117</w:t>
            </w:r>
          </w:p>
        </w:tc>
      </w:tr>
      <w:tr>
        <w:trPr>
          <w:trHeight w:val="216"/>
        </w:trPr>
        <w:tc>
          <w:tcPr>
            <w:tcW w:w="5080" w:type="dxa"/>
            <w:vAlign w:val="bottom"/>
          </w:tcPr>
          <w:p>
            <w:pPr>
              <w:ind w:left="180"/>
              <w:spacing w:after="0"/>
              <w:rPr>
                <w:sz w:val="20"/>
                <w:szCs w:val="20"/>
                <w:color w:val="auto"/>
              </w:rPr>
            </w:pPr>
            <w:r>
              <w:rPr>
                <w:rFonts w:ascii="Arial" w:cs="Arial" w:eastAsia="Arial" w:hAnsi="Arial"/>
                <w:sz w:val="18"/>
                <w:szCs w:val="18"/>
                <w:color w:val="auto"/>
              </w:rPr>
              <w:t>Purchase and retirement of common stock</w:t>
            </w:r>
          </w:p>
        </w:tc>
        <w:tc>
          <w:tcPr>
            <w:tcW w:w="38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(210)</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(207)</w:t>
            </w:r>
          </w:p>
        </w:tc>
        <w:tc>
          <w:tcPr>
            <w:tcW w:w="36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(624)</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(629)</w:t>
            </w:r>
          </w:p>
        </w:tc>
      </w:tr>
      <w:tr>
        <w:trPr>
          <w:trHeight w:val="216"/>
        </w:trPr>
        <w:tc>
          <w:tcPr>
            <w:tcW w:w="5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Stock based compensation</w:t>
            </w:r>
          </w:p>
        </w:tc>
        <w:tc>
          <w:tcPr>
            <w:tcW w:w="3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212</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142</w:t>
            </w:r>
          </w:p>
        </w:tc>
        <w:tc>
          <w:tcPr>
            <w:tcW w:w="3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636</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399</w:t>
            </w:r>
          </w:p>
        </w:tc>
      </w:tr>
      <w:tr>
        <w:trPr>
          <w:trHeight w:val="20"/>
        </w:trPr>
        <w:tc>
          <w:tcPr>
            <w:tcW w:w="5080" w:type="dxa"/>
            <w:vAlign w:val="bottom"/>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5080" w:type="dxa"/>
            <w:vAlign w:val="bottom"/>
          </w:tcPr>
          <w:p>
            <w:pPr>
              <w:spacing w:after="0"/>
              <w:rPr>
                <w:sz w:val="20"/>
                <w:szCs w:val="20"/>
                <w:color w:val="auto"/>
              </w:rPr>
            </w:pPr>
            <w:r>
              <w:rPr>
                <w:rFonts w:ascii="Arial" w:cs="Arial" w:eastAsia="Arial" w:hAnsi="Arial"/>
                <w:sz w:val="18"/>
                <w:szCs w:val="18"/>
                <w:color w:val="auto"/>
              </w:rPr>
              <w:t>End of period</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35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0"/>
        </w:trPr>
        <w:tc>
          <w:tcPr>
            <w:tcW w:w="50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50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Retained Earnings:</w:t>
            </w:r>
          </w:p>
        </w:tc>
        <w:tc>
          <w:tcPr>
            <w:tcW w:w="3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5080" w:type="dxa"/>
            <w:vAlign w:val="bottom"/>
          </w:tcPr>
          <w:p>
            <w:pPr>
              <w:spacing w:after="0"/>
              <w:rPr>
                <w:sz w:val="20"/>
                <w:szCs w:val="20"/>
                <w:color w:val="auto"/>
              </w:rPr>
            </w:pPr>
            <w:r>
              <w:rPr>
                <w:rFonts w:ascii="Arial" w:cs="Arial" w:eastAsia="Arial" w:hAnsi="Arial"/>
                <w:sz w:val="18"/>
                <w:szCs w:val="18"/>
                <w:color w:val="auto"/>
              </w:rPr>
              <w:t>Beginning of period</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149,393</w:t>
            </w:r>
          </w:p>
        </w:tc>
        <w:tc>
          <w:tcPr>
            <w:tcW w:w="620" w:type="dxa"/>
            <w:vAlign w:val="bottom"/>
            <w:gridSpan w:val="2"/>
          </w:tcPr>
          <w:p>
            <w:pPr>
              <w:jc w:val="right"/>
              <w:ind w:right="35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145,471</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150,800</w:t>
            </w:r>
          </w:p>
        </w:tc>
        <w:tc>
          <w:tcPr>
            <w:tcW w:w="42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115,631</w:t>
            </w:r>
          </w:p>
        </w:tc>
      </w:tr>
      <w:tr>
        <w:trPr>
          <w:trHeight w:val="216"/>
        </w:trPr>
        <w:tc>
          <w:tcPr>
            <w:tcW w:w="5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income (loss) for the period</w:t>
            </w:r>
          </w:p>
        </w:tc>
        <w:tc>
          <w:tcPr>
            <w:tcW w:w="3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(2,591)</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7,628</w:t>
            </w:r>
          </w:p>
        </w:tc>
        <w:tc>
          <w:tcPr>
            <w:tcW w:w="3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930</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60,319</w:t>
            </w:r>
          </w:p>
        </w:tc>
      </w:tr>
      <w:tr>
        <w:trPr>
          <w:trHeight w:val="216"/>
        </w:trPr>
        <w:tc>
          <w:tcPr>
            <w:tcW w:w="5080" w:type="dxa"/>
            <w:vAlign w:val="bottom"/>
          </w:tcPr>
          <w:p>
            <w:pPr>
              <w:ind w:left="180"/>
              <w:spacing w:after="0"/>
              <w:rPr>
                <w:sz w:val="20"/>
                <w:szCs w:val="20"/>
                <w:color w:val="auto"/>
              </w:rPr>
            </w:pPr>
            <w:r>
              <w:rPr>
                <w:rFonts w:ascii="Arial" w:cs="Arial" w:eastAsia="Arial" w:hAnsi="Arial"/>
                <w:sz w:val="18"/>
                <w:szCs w:val="18"/>
                <w:color w:val="auto"/>
              </w:rPr>
              <w:t>Purchase and retirement of common stock</w:t>
            </w:r>
          </w:p>
        </w:tc>
        <w:tc>
          <w:tcPr>
            <w:tcW w:w="38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(196)</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(982)</w:t>
            </w:r>
          </w:p>
        </w:tc>
        <w:tc>
          <w:tcPr>
            <w:tcW w:w="36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(2,293)</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(6,663)</w:t>
            </w:r>
          </w:p>
        </w:tc>
      </w:tr>
      <w:tr>
        <w:trPr>
          <w:trHeight w:val="216"/>
        </w:trPr>
        <w:tc>
          <w:tcPr>
            <w:tcW w:w="5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dividends declared</w:t>
            </w:r>
          </w:p>
        </w:tc>
        <w:tc>
          <w:tcPr>
            <w:tcW w:w="3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(1,575)</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(1,564)</w:t>
            </w:r>
          </w:p>
        </w:tc>
        <w:tc>
          <w:tcPr>
            <w:tcW w:w="3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(4,406)</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(18,734)</w:t>
            </w:r>
          </w:p>
        </w:tc>
      </w:tr>
      <w:tr>
        <w:trPr>
          <w:trHeight w:val="20"/>
        </w:trPr>
        <w:tc>
          <w:tcPr>
            <w:tcW w:w="5080" w:type="dxa"/>
            <w:vAlign w:val="bottom"/>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5080" w:type="dxa"/>
            <w:vAlign w:val="bottom"/>
          </w:tcPr>
          <w:p>
            <w:pPr>
              <w:spacing w:after="0"/>
              <w:rPr>
                <w:sz w:val="20"/>
                <w:szCs w:val="20"/>
                <w:color w:val="auto"/>
              </w:rPr>
            </w:pPr>
            <w:r>
              <w:rPr>
                <w:rFonts w:ascii="Arial" w:cs="Arial" w:eastAsia="Arial" w:hAnsi="Arial"/>
                <w:sz w:val="18"/>
                <w:szCs w:val="18"/>
                <w:color w:val="auto"/>
              </w:rPr>
              <w:t>End of period</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145,031</w:t>
            </w:r>
          </w:p>
        </w:tc>
        <w:tc>
          <w:tcPr>
            <w:tcW w:w="620" w:type="dxa"/>
            <w:vAlign w:val="bottom"/>
            <w:gridSpan w:val="2"/>
          </w:tcPr>
          <w:p>
            <w:pPr>
              <w:jc w:val="right"/>
              <w:ind w:right="35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150,553</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145,031</w:t>
            </w:r>
          </w:p>
        </w:tc>
        <w:tc>
          <w:tcPr>
            <w:tcW w:w="42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150,553</w:t>
            </w:r>
          </w:p>
        </w:tc>
      </w:tr>
      <w:tr>
        <w:trPr>
          <w:trHeight w:val="20"/>
        </w:trPr>
        <w:tc>
          <w:tcPr>
            <w:tcW w:w="50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50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Accumulated Other Comprehensive Loss:</w:t>
            </w:r>
          </w:p>
        </w:tc>
        <w:tc>
          <w:tcPr>
            <w:tcW w:w="3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5080" w:type="dxa"/>
            <w:vAlign w:val="bottom"/>
          </w:tcPr>
          <w:p>
            <w:pPr>
              <w:spacing w:after="0"/>
              <w:rPr>
                <w:sz w:val="20"/>
                <w:szCs w:val="20"/>
                <w:color w:val="auto"/>
              </w:rPr>
            </w:pPr>
            <w:r>
              <w:rPr>
                <w:rFonts w:ascii="Arial" w:cs="Arial" w:eastAsia="Arial" w:hAnsi="Arial"/>
                <w:sz w:val="18"/>
                <w:szCs w:val="18"/>
                <w:color w:val="auto"/>
              </w:rPr>
              <w:t>Beginning of period</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(108)</w:t>
            </w:r>
          </w:p>
        </w:tc>
        <w:tc>
          <w:tcPr>
            <w:tcW w:w="620" w:type="dxa"/>
            <w:vAlign w:val="bottom"/>
            <w:gridSpan w:val="2"/>
          </w:tcPr>
          <w:p>
            <w:pPr>
              <w:jc w:val="right"/>
              <w:ind w:right="35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(1,726)</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50</w:t>
            </w:r>
          </w:p>
        </w:tc>
        <w:tc>
          <w:tcPr>
            <w:tcW w:w="42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(1,823)</w:t>
            </w:r>
          </w:p>
        </w:tc>
      </w:tr>
      <w:tr>
        <w:trPr>
          <w:trHeight w:val="216"/>
        </w:trPr>
        <w:tc>
          <w:tcPr>
            <w:tcW w:w="5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Cumulative translation adjustments, net of tax</w:t>
            </w:r>
          </w:p>
        </w:tc>
        <w:tc>
          <w:tcPr>
            <w:tcW w:w="3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31</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(174)</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5080" w:type="dxa"/>
            <w:vAlign w:val="bottom"/>
          </w:tcPr>
          <w:p>
            <w:pPr>
              <w:ind w:left="180"/>
              <w:spacing w:after="0"/>
              <w:rPr>
                <w:sz w:val="20"/>
                <w:szCs w:val="20"/>
                <w:color w:val="auto"/>
              </w:rPr>
            </w:pPr>
            <w:r>
              <w:rPr>
                <w:rFonts w:ascii="Arial" w:cs="Arial" w:eastAsia="Arial" w:hAnsi="Arial"/>
                <w:sz w:val="18"/>
                <w:szCs w:val="18"/>
                <w:color w:val="auto"/>
              </w:rPr>
              <w:t>Amortization of pension costs, net of tax</w:t>
            </w:r>
          </w:p>
        </w:tc>
        <w:tc>
          <w:tcPr>
            <w:tcW w:w="38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48</w:t>
            </w:r>
          </w:p>
        </w:tc>
        <w:tc>
          <w:tcPr>
            <w:tcW w:w="3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70</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145</w:t>
            </w:r>
          </w:p>
        </w:tc>
      </w:tr>
      <w:tr>
        <w:trPr>
          <w:trHeight w:val="20"/>
        </w:trPr>
        <w:tc>
          <w:tcPr>
            <w:tcW w:w="50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End of period</w:t>
            </w: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w:t>
            </w:r>
          </w:p>
        </w:tc>
        <w:tc>
          <w:tcPr>
            <w:tcW w:w="620" w:type="dxa"/>
            <w:vAlign w:val="bottom"/>
            <w:gridSpan w:val="2"/>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(1,678)</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(54)</w:t>
            </w:r>
          </w:p>
        </w:tc>
        <w:tc>
          <w:tcPr>
            <w:tcW w:w="42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(1,678)</w:t>
            </w:r>
          </w:p>
        </w:tc>
      </w:tr>
      <w:tr>
        <w:trPr>
          <w:trHeight w:val="20"/>
        </w:trPr>
        <w:tc>
          <w:tcPr>
            <w:tcW w:w="508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jc w:val="center"/>
        <w:ind w:right="240"/>
        <w:spacing w:after="0"/>
        <w:rPr>
          <w:sz w:val="20"/>
          <w:szCs w:val="20"/>
          <w:color w:val="auto"/>
        </w:rPr>
      </w:pPr>
      <w:r>
        <w:rPr>
          <w:rFonts w:ascii="Arial" w:cs="Arial" w:eastAsia="Arial" w:hAnsi="Arial"/>
          <w:sz w:val="16"/>
          <w:szCs w:val="16"/>
          <w:color w:val="auto"/>
        </w:rPr>
        <w:t>The balance of cumulative translation adjustments, net of tax, was a net loss of $378 and $204 at August 26, 2023 and November 26, 2022, respectively.</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 of 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1" w:name="page22"/>
    <w:bookmarkEnd w:id="21"/>
    <w:p>
      <w:pPr>
        <w:jc w:val="center"/>
        <w:ind w:right="20"/>
        <w:spacing w:after="0"/>
        <w:rPr>
          <w:sz w:val="20"/>
          <w:szCs w:val="20"/>
          <w:color w:val="auto"/>
        </w:rPr>
      </w:pPr>
      <w:r>
        <w:rPr>
          <w:rFonts w:ascii="Arial" w:cs="Arial" w:eastAsia="Arial" w:hAnsi="Arial"/>
          <w:sz w:val="18"/>
          <w:szCs w:val="18"/>
          <w:u w:val="single" w:color="auto"/>
          <w:color w:val="auto"/>
        </w:rPr>
        <w:t>PART I-FINANCIAL INFORMATION-CONTINUED</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8"/>
          <w:szCs w:val="18"/>
          <w:u w:val="single" w:color="auto"/>
          <w:color w:val="auto"/>
        </w:rPr>
        <w:t>BASSETT FURNITURE INDUSTRIES, INCORPORATED AND SUBSIDIARIES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u w:val="single" w:color="auto"/>
          <w:color w:val="auto"/>
        </w:rPr>
        <w:t>NOTES TO CONDENSED CONSOLIDATED FINANCIAL STATEMENTS-UNAUDITED</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u w:val="single" w:color="auto"/>
          <w:color w:val="auto"/>
        </w:rPr>
        <w:t>AUGUST 26, 2023</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u w:val="single" w:color="auto"/>
          <w:color w:val="auto"/>
        </w:rPr>
        <w:t>(Dollars 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Recent Accounting Pronouncements</w:t>
      </w:r>
    </w:p>
    <w:p>
      <w:pPr>
        <w:spacing w:after="0" w:line="22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 October 2021, the FASB issued Accounting Standards Update No. 2021-08 – Business Combinations (Topic 805) Accounting for Contract Assets and Contract Liabilities from Contracts with Customers, to improve the accounting for acquired revenue contracts with customers in a business combination by addressing diversity in practice and inconsistency related to the recognition of an acquired contract liability and to payment terms and their effect on subsequent revenue recognized by the acquirer. The amendments in ASU 2021-08 require that an entity (acquirer) recognize and measure contract assets and contract liabilities acquired in a business combination in accordance with Topic 606. At the acquisition date, an acquirer should account for the related revenue contracts in accordance with Topic 606 as if it had originated the contracts. The amendments in ASU 2021-08 will become effective for us as of the beginning of our 2024 fiscal year. Early adoption is permitted, including adoption in any interim period. We do not expect that this guidance will have a material impact upon our financial position and results of operations.</w:t>
      </w:r>
    </w:p>
    <w:p>
      <w:pPr>
        <w:spacing w:after="0" w:line="17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March 2022, the FASB issued Accounting Standards Update No. 2022-02 – Financial Instruments – Credit Losses (Topic 326): Troubled Debt Restructurings and Vintage Disclosures, to address certain concerns identified in the Post-Implementation Review process for ASU Topic 326. The amendments in ASU 2022-02 eliminate the accounting guidance for troubled debt restructurings by creditors in ASC Subtopic 310-40, Receivables – Troubled Debt Restructurings by Creditors, while enhancing disclosure requirements for certain loan refinancings and restructurings by creditors when a borrower is experiencing financial difficulty. In addition, for public business entities, the amendments in ASU 2022-02 require that an entity disclose current-period gross write-offs by year of origination for financing receivables and net investments in leases within the scope of ASC Subtopic 326-20, Financial Instruments – Credit Losses – Measured at Amortized Cost. The amendments in ASU 2022-02 will become effective for us as of the beginning of our 2024 fiscal year. Early adoption is permitted. We expect that the adoption of this standard will primarily impact our disclosures but do not expect that this guidance will have a material impact upon our financial position and results of operations.</w:t>
      </w:r>
    </w:p>
    <w:p>
      <w:pPr>
        <w:spacing w:after="0" w:line="18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June 2022, the FASB issued Accounting Standards Update No. 2022-03 – Fair Value Measurement (Topic 820): Fair Value Measurement of Equity Securities Subject to Contractual Sale Restrictions, to clarify the guidance in Topic 820 when measuring the fair value of an equity security subject to contractual restrictions that prohibit the sale of an equity security. The amendments in ASU 2022-03 clarify that a contractual restriction on the sale of an equity security is not considered part of the unit of account of the equity security and, therefore, is not considered in measuring fair value. The amendments also clarify that an entity cannot, as a separate unit of account, recognize and measure a contractual sale restriction. In addition, the amendments in ASU 2022-03 require certain additional disclosures related to investments in equity securities subject to contractual sale restrictions. The amendments in ASU 2022-03 will become effective for us as of the beginning of our 2025 fiscal year. Early adoption is permitted. As of August 26, 2023 we do not hold any investments in equity securities, therefore we do not currently expect that this guidance will have a material impact upon our financial position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 of 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2" w:name="page23"/>
    <w:bookmarkEnd w:id="22"/>
    <w:p>
      <w:pPr>
        <w:jc w:val="center"/>
        <w:ind w:right="20"/>
        <w:spacing w:after="0"/>
        <w:rPr>
          <w:sz w:val="20"/>
          <w:szCs w:val="20"/>
          <w:color w:val="auto"/>
        </w:rPr>
      </w:pPr>
      <w:r>
        <w:rPr>
          <w:rFonts w:ascii="Arial" w:cs="Arial" w:eastAsia="Arial" w:hAnsi="Arial"/>
          <w:sz w:val="18"/>
          <w:szCs w:val="18"/>
          <w:u w:val="single" w:color="auto"/>
          <w:color w:val="auto"/>
        </w:rPr>
        <w:t>PART I-FINANCIAL INFORMATION-CONTINUED</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8"/>
          <w:szCs w:val="18"/>
          <w:u w:val="single" w:color="auto"/>
          <w:color w:val="auto"/>
        </w:rPr>
        <w:t>BASSETT FURNITURE INDUSTRIES, INCORPORATED AND SUBSIDIARIES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u w:val="single" w:color="auto"/>
          <w:color w:val="auto"/>
        </w:rPr>
        <w:t>AUGUST 26, 2023</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u w:val="single" w:color="auto"/>
          <w:color w:val="auto"/>
        </w:rPr>
        <w:t>(Dollars 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2.</w:t>
        <w:tab/>
        <w:t>MANAGEMENT'S DISCUSSION AND ANALYSIS OF FINANCIAL CONDITION AND 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Safe-harbor, forward-looking statements:</w:t>
      </w:r>
    </w:p>
    <w:p>
      <w:pPr>
        <w:spacing w:after="0" w:line="225"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This report contains certain forward-looking statements within the meaning of the Private Securities Litigation Reform Act of 1995 with respect to the financial condition, results of operations and business of Bassett Furniture Industries, Incorporated and subsidiaries. Such forward-looking statements are identified by use of forward-looking words such as “</w:t>
      </w:r>
      <w:r>
        <w:rPr>
          <w:rFonts w:ascii="Arial" w:cs="Arial" w:eastAsia="Arial" w:hAnsi="Arial"/>
          <w:sz w:val="16"/>
          <w:szCs w:val="16"/>
          <w:i w:val="1"/>
          <w:iCs w:val="1"/>
          <w:color w:val="auto"/>
        </w:rPr>
        <w:t>anticipates</w:t>
      </w:r>
      <w:r>
        <w:rPr>
          <w:rFonts w:ascii="Arial" w:cs="Arial" w:eastAsia="Arial" w:hAnsi="Arial"/>
          <w:sz w:val="16"/>
          <w:szCs w:val="16"/>
          <w:color w:val="auto"/>
        </w:rPr>
        <w:t>”, “</w:t>
      </w:r>
      <w:r>
        <w:rPr>
          <w:rFonts w:ascii="Arial" w:cs="Arial" w:eastAsia="Arial" w:hAnsi="Arial"/>
          <w:sz w:val="16"/>
          <w:szCs w:val="16"/>
          <w:i w:val="1"/>
          <w:iCs w:val="1"/>
          <w:color w:val="auto"/>
        </w:rPr>
        <w:t>believes</w:t>
      </w:r>
      <w:r>
        <w:rPr>
          <w:rFonts w:ascii="Arial" w:cs="Arial" w:eastAsia="Arial" w:hAnsi="Arial"/>
          <w:sz w:val="16"/>
          <w:szCs w:val="16"/>
          <w:color w:val="auto"/>
        </w:rPr>
        <w:t>”, “</w:t>
      </w:r>
      <w:r>
        <w:rPr>
          <w:rFonts w:ascii="Arial" w:cs="Arial" w:eastAsia="Arial" w:hAnsi="Arial"/>
          <w:sz w:val="16"/>
          <w:szCs w:val="16"/>
          <w:i w:val="1"/>
          <w:iCs w:val="1"/>
          <w:color w:val="auto"/>
        </w:rPr>
        <w:t>plans</w:t>
      </w:r>
      <w:r>
        <w:rPr>
          <w:rFonts w:ascii="Arial" w:cs="Arial" w:eastAsia="Arial" w:hAnsi="Arial"/>
          <w:sz w:val="16"/>
          <w:szCs w:val="16"/>
          <w:color w:val="auto"/>
        </w:rPr>
        <w:t>”, “</w:t>
      </w:r>
      <w:r>
        <w:rPr>
          <w:rFonts w:ascii="Arial" w:cs="Arial" w:eastAsia="Arial" w:hAnsi="Arial"/>
          <w:sz w:val="16"/>
          <w:szCs w:val="16"/>
          <w:i w:val="1"/>
          <w:iCs w:val="1"/>
          <w:color w:val="auto"/>
        </w:rPr>
        <w:t>estimates</w:t>
      </w:r>
      <w:r>
        <w:rPr>
          <w:rFonts w:ascii="Arial" w:cs="Arial" w:eastAsia="Arial" w:hAnsi="Arial"/>
          <w:sz w:val="16"/>
          <w:szCs w:val="16"/>
          <w:color w:val="auto"/>
        </w:rPr>
        <w:t>”, “</w:t>
      </w:r>
      <w:r>
        <w:rPr>
          <w:rFonts w:ascii="Arial" w:cs="Arial" w:eastAsia="Arial" w:hAnsi="Arial"/>
          <w:sz w:val="16"/>
          <w:szCs w:val="16"/>
          <w:i w:val="1"/>
          <w:iCs w:val="1"/>
          <w:color w:val="auto"/>
        </w:rPr>
        <w:t>expects</w:t>
      </w:r>
      <w:r>
        <w:rPr>
          <w:rFonts w:ascii="Arial" w:cs="Arial" w:eastAsia="Arial" w:hAnsi="Arial"/>
          <w:sz w:val="16"/>
          <w:szCs w:val="16"/>
          <w:color w:val="auto"/>
        </w:rPr>
        <w:t>”, “</w:t>
      </w:r>
      <w:r>
        <w:rPr>
          <w:rFonts w:ascii="Arial" w:cs="Arial" w:eastAsia="Arial" w:hAnsi="Arial"/>
          <w:sz w:val="16"/>
          <w:szCs w:val="16"/>
          <w:i w:val="1"/>
          <w:iCs w:val="1"/>
          <w:color w:val="auto"/>
        </w:rPr>
        <w:t>aims</w:t>
      </w:r>
      <w:r>
        <w:rPr>
          <w:rFonts w:ascii="Arial" w:cs="Arial" w:eastAsia="Arial" w:hAnsi="Arial"/>
          <w:sz w:val="16"/>
          <w:szCs w:val="16"/>
          <w:color w:val="auto"/>
        </w:rPr>
        <w:t>” and “</w:t>
      </w:r>
      <w:r>
        <w:rPr>
          <w:rFonts w:ascii="Arial" w:cs="Arial" w:eastAsia="Arial" w:hAnsi="Arial"/>
          <w:sz w:val="16"/>
          <w:szCs w:val="16"/>
          <w:i w:val="1"/>
          <w:iCs w:val="1"/>
          <w:color w:val="auto"/>
        </w:rPr>
        <w:t>intends</w:t>
      </w:r>
      <w:r>
        <w:rPr>
          <w:rFonts w:ascii="Arial" w:cs="Arial" w:eastAsia="Arial" w:hAnsi="Arial"/>
          <w:sz w:val="16"/>
          <w:szCs w:val="16"/>
          <w:color w:val="auto"/>
        </w:rPr>
        <w:t>” or words or phrases of similar expression. These forward-looking statements involve certain risks and uncertainties. No assurance can be given that any such matters will be realized. Important factors that could cause actual results to differ materially from those contemplated by such forward-looking statements include:</w:t>
      </w:r>
    </w:p>
    <w:p>
      <w:pPr>
        <w:spacing w:after="0" w:line="161" w:lineRule="exact"/>
        <w:rPr>
          <w:sz w:val="20"/>
          <w:szCs w:val="20"/>
          <w:color w:val="auto"/>
        </w:rPr>
      </w:pPr>
    </w:p>
    <w:p>
      <w:pPr>
        <w:jc w:val="both"/>
        <w:ind w:left="340" w:hanging="332"/>
        <w:spacing w:after="0" w:line="263" w:lineRule="auto"/>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fluctuations in the cost and availability of raw materials, fuel, labor, delivery costs and sourced products, including those which may result from supply chain disruptions and shortages and the imposition of new or increased duties, tariffs, retaliatory tariffs and trade limitations with respect to foreign-sourced products</w:t>
      </w:r>
    </w:p>
    <w:p>
      <w:pPr>
        <w:spacing w:after="0" w:line="183" w:lineRule="exact"/>
        <w:rPr>
          <w:rFonts w:ascii="Arial" w:cs="Arial" w:eastAsia="Arial" w:hAnsi="Arial"/>
          <w:sz w:val="18"/>
          <w:szCs w:val="18"/>
          <w:color w:val="auto"/>
        </w:rPr>
      </w:pPr>
    </w:p>
    <w:p>
      <w:pPr>
        <w:ind w:left="340" w:hanging="332"/>
        <w:spacing w:after="0"/>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competitive conditions in the home furnishings industry</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overall retail traffic levels in stores and on the web and consumer demand for home furnishings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ability of our customers and consumers to obtain affordable credit due to rising interest rates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inflation and rising interest rates and resulting impacts on financial market prices of equity securities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profitability of the stores (independent licensees and Company-owned retail stores) which may result in future store closings</w:t>
      </w:r>
    </w:p>
    <w:p>
      <w:pPr>
        <w:spacing w:after="0" w:line="225"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ability to implement our Company-owned retail strategies and realize the benefits from such strategies, including our initiatives to expand and improve our digital marketing and advertising capabilities, as they are implemented</w:t>
      </w:r>
    </w:p>
    <w:p>
      <w:pPr>
        <w:spacing w:after="0" w:line="170" w:lineRule="exact"/>
        <w:rPr>
          <w:rFonts w:ascii="Arial" w:cs="Arial" w:eastAsia="Arial" w:hAnsi="Arial"/>
          <w:sz w:val="18"/>
          <w:szCs w:val="18"/>
          <w:color w:val="auto"/>
        </w:rPr>
      </w:pPr>
    </w:p>
    <w:p>
      <w:pPr>
        <w:ind w:left="340" w:hanging="332"/>
        <w:spacing w:after="0"/>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risk that we may not achieve the strategic benefits of our acquisition of Noa Home Inc.</w:t>
      </w:r>
    </w:p>
    <w:p>
      <w:pPr>
        <w:spacing w:after="0" w:line="225"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effectiveness and security of our information technology systems and possible disruptions due to cybersecurity threats, including any impacts from a network security incident; and the sufficiency of our insurance coverage, including cybersecurity insurance</w:t>
      </w:r>
    </w:p>
    <w:p>
      <w:pPr>
        <w:spacing w:after="0" w:line="170" w:lineRule="exact"/>
        <w:rPr>
          <w:rFonts w:ascii="Arial" w:cs="Arial" w:eastAsia="Arial" w:hAnsi="Arial"/>
          <w:sz w:val="18"/>
          <w:szCs w:val="18"/>
          <w:color w:val="auto"/>
        </w:rPr>
      </w:pPr>
    </w:p>
    <w:p>
      <w:pPr>
        <w:ind w:left="340" w:hanging="332"/>
        <w:spacing w:after="0"/>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future tax legislation, or regulatory or judicial positions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ability to efficiently manage the import supply chain to minimize business interruption</w:t>
      </w:r>
    </w:p>
    <w:p>
      <w:pPr>
        <w:spacing w:after="0" w:line="225"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concentration of domestic manufacturing, particularly of upholstery products, and the resulting exposure to business interruption from accidents, weather and other events and circumstances beyond our control</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Additionally, other risks that could cause actual results to differ materially from those contemplated by such forward-looking statements are set forth in Part I, Item 1A. Risk Factors in the Company’s Annual Report on Form 10-K for the fiscal year ended November 26, 2022.</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You should keep in mind that any forward-looking statement made by us in this report or elsewhere speaks only as of the date on which such forward-looking statement is made. New risks and uncertainties arise from time to time, and it is impossible for us to predict these events or how they may affect us. We have no duty to, and do not intend to, update or revise the forward-looking statements in this discussion after the date hereof, except as may be required by law. In light of these risks and uncertainties, you should keep in mind that the events described in any forward-looking statement made in this report or elsewhere might not occur.</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 of 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3" w:name="page24"/>
    <w:bookmarkEnd w:id="23"/>
    <w:p>
      <w:pPr>
        <w:jc w:val="center"/>
        <w:ind w:right="20"/>
        <w:spacing w:after="0"/>
        <w:rPr>
          <w:sz w:val="20"/>
          <w:szCs w:val="20"/>
          <w:color w:val="auto"/>
        </w:rPr>
      </w:pPr>
      <w:r>
        <w:rPr>
          <w:rFonts w:ascii="Arial" w:cs="Arial" w:eastAsia="Arial" w:hAnsi="Arial"/>
          <w:sz w:val="18"/>
          <w:szCs w:val="18"/>
          <w:u w:val="single" w:color="auto"/>
          <w:color w:val="auto"/>
        </w:rPr>
        <w:t>PART I-FINANCIAL INFORMATION-CONTINUED</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8"/>
          <w:szCs w:val="18"/>
          <w:u w:val="single" w:color="auto"/>
          <w:color w:val="auto"/>
        </w:rPr>
        <w:t>BASSETT FURNITURE INDUSTRIES, INCORPORATED AND SUBSIDIARIES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u w:val="single" w:color="auto"/>
          <w:color w:val="auto"/>
        </w:rPr>
        <w:t>AUGUST 26, 2023</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u w:val="single" w:color="auto"/>
          <w:color w:val="auto"/>
        </w:rPr>
        <w:t>(Dollars in thousands except share and per share data)</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Bassett is a leading retailer, manufacturer and marketer of branded home furnishings. Our products are sold primarily through a network of Company-owned and licensee-owned branded stores under the Bassett Home Furnishings (“BHF”) name, with additional distribution through other wholesale channels including multi-line furniture stores, many of which feature Bassett galleries or design centers. We also sell our products through our newly-redesigned website at </w:t>
      </w:r>
      <w:r>
        <w:rPr>
          <w:rFonts w:ascii="Arial" w:cs="Arial" w:eastAsia="Arial" w:hAnsi="Arial"/>
          <w:sz w:val="18"/>
          <w:szCs w:val="18"/>
          <w:u w:val="single" w:color="auto"/>
          <w:color w:val="auto"/>
        </w:rPr>
        <w:t>www.bassettfurniture.com</w:t>
      </w:r>
      <w:r>
        <w:rPr>
          <w:rFonts w:ascii="Arial" w:cs="Arial" w:eastAsia="Arial" w:hAnsi="Arial"/>
          <w:sz w:val="18"/>
          <w:szCs w:val="18"/>
          <w:color w:val="auto"/>
        </w:rPr>
        <w:t>. We were founded in 1902 and incorporated under the laws of Virginia in 1930. Our rich 121-year history has instilled the principles of quality, value, and integrity in everything we do, while simultaneously providing us with the expertise to respond to ever-changing consumer tastes and meet the demands of a global economy.</w:t>
      </w:r>
    </w:p>
    <w:p>
      <w:pPr>
        <w:spacing w:after="0" w:line="19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With 89 BHF stores at August 26, 2023, we have leveraged our strong brand name in furniture into a network of Company-owned and licensed stores that focus on providing consumers with a friendly and casual environment for buying furniture and accessories. Our store program is designed to provide a single source home furnishings retail store that provides a unique combination of stylish, quality furniture and accessories with a high level of customer service. In order for the Bassett brand to reach markets that cannot be effectively served by our retail store network, we also distribute our products through other wholesale channels including multi-line furniture stores, many of which feature Bassett galleries or design centers. We use a network of over 30 independent sales representatives who have stated geographical territories. These sales representatives are compensated based on a standard commission rate. We believe this blended strategy provides us the greatest ability to effectively distribute our products throughout the United States and ultimately gain market share.</w:t>
      </w:r>
    </w:p>
    <w:p>
      <w:pPr>
        <w:spacing w:after="0" w:line="19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BHF stores feature custom order furniture, free in-home or virtual design visits (“home makeovers”) and coordinated decorating accessories. Our philosophy is based on building strong long-term relationships with each customer. Sales people are referred to as “Design Consultants” and are trained to evaluate customer needs and provide comprehensive solutions for their home decor. Until a rigorous training and design certification program is completed, Design Consultants are not authorized to perform in-home or virtual design services for our customers.</w:t>
      </w:r>
    </w:p>
    <w:p>
      <w:pPr>
        <w:spacing w:after="0" w:line="17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consider our website to be the front door to our brand experience where customers can research our furniture and accessory offerings and subsequently buy online or engage with an in-store design consultant. Digital outreach strategies have become the primary vehicle for brand advertising and customer acquisition. As a result, we have been engaged in a multi-year cross-functional digital transformation initiative with the first phase consisting of the examination and improvement of our underlying data management processes. During fiscal 2022, we implemented a comprehensive Product Information Management system which allows us to enhance and standardize our product development and data management and governance processes. This results in more consistent data that our merchandizing and sales teams can use in analyzing various product and sales trends in order to make better informed decisions. We also introduced a new web platform in August of 2023 that leverages world class features including enhanced customer research capabilities and streamlined navigation. We believe the new website will result in increased web and store traffic and e-commerce sales. Early feedback from customers and in-store designers has been positive and the Company looks forward to utilizing the new navigation features, coupled with fresh brand imagery, to drive an enhanced user experience. While we have made it easier to purchase on-line, we will not compromise our in-store experience or the quality of our in-home makeover capabilities. Through August 26, 2023, we have spent approximately $4,200 in capital and consulting on the implementation of the new website.</w:t>
      </w:r>
    </w:p>
    <w:p>
      <w:pPr>
        <w:spacing w:after="0" w:line="17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During the fourth quarter of fiscal 2022 we acquired Noa Home (see Note 3 to the Consolidated Financial Statements for additional information regarding the acquisition). A mid-priced e-commerce furniture retailer headquartered in Montreal, Canada, Noa Home has operations in Canada, Australia, Singapore and the United Kingdom. With a lean staffing model, the Noa Home team has built an operational blueprint that has the potential for significant growth. We believe the acquisition will provide Bassett with a greater online presence and will allow us to attract more digitally native consumers. We are currently in the process of expanding Noa Home’s product assortment and categories offered on the Canadian website. In August, we introduced the Noa Home brand in the United States and will begin advertising in select markets during the fourth quarter of 2023.</w:t>
      </w:r>
    </w:p>
    <w:p>
      <w:pPr>
        <w:spacing w:after="0" w:line="17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2018, we added outdoor furniture to our offerings with the acquisition of the Lane Venture brand. Our strategy is to distribute these products outside of our BHF store network through independent sales representatives each of which have a stated geographic territory. Using Lane Venture as a platform, we developed the Bassett Outdoor brand that is only marketed through the BHF store network. This allows Bassett branded products to move from inside the home to outside the home to capitalize on the growing trend of outdoor living. In the second quarter of 2023, we debuted the Bassett Outdoor contract line at the HD Expo Show in Las Vegas targeting the hospitality segment.</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 of 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4" w:name="page25"/>
    <w:bookmarkEnd w:id="24"/>
    <w:p>
      <w:pPr>
        <w:jc w:val="center"/>
        <w:ind w:right="20"/>
        <w:spacing w:after="0"/>
        <w:rPr>
          <w:sz w:val="20"/>
          <w:szCs w:val="20"/>
          <w:color w:val="auto"/>
        </w:rPr>
      </w:pPr>
      <w:r>
        <w:rPr>
          <w:rFonts w:ascii="Arial" w:cs="Arial" w:eastAsia="Arial" w:hAnsi="Arial"/>
          <w:sz w:val="18"/>
          <w:szCs w:val="18"/>
          <w:u w:val="single" w:color="auto"/>
          <w:color w:val="auto"/>
        </w:rPr>
        <w:t>PART I-FINANCIAL INFORMATION-CONTINUED</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8"/>
          <w:szCs w:val="18"/>
          <w:u w:val="single" w:color="auto"/>
          <w:color w:val="auto"/>
        </w:rPr>
        <w:t>BASSETT FURNITURE INDUSTRIES, INCORPORATED AND SUBSIDIARIES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u w:val="single" w:color="auto"/>
          <w:color w:val="auto"/>
        </w:rPr>
        <w:t>AUGUST 26, 2023</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u w:val="single" w:color="auto"/>
          <w:color w:val="auto"/>
        </w:rPr>
        <w:t>(Dollars in thousands except share and per share data)</w:t>
      </w:r>
    </w:p>
    <w:p>
      <w:pPr>
        <w:spacing w:after="0" w:line="200" w:lineRule="exact"/>
        <w:rPr>
          <w:sz w:val="20"/>
          <w:szCs w:val="20"/>
          <w:color w:val="auto"/>
        </w:rPr>
      </w:pPr>
    </w:p>
    <w:p>
      <w:pPr>
        <w:spacing w:after="0" w:line="254"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We have factories in Newton, North Carolina that manufacture both stationary and motion upholstered furniture for inside the home along with our outdoor furniture offerings. We also have factories in Martinsville and Bassett, Virginia that assemble and finish our custom bedroom and dining offerings. Late in the third quarter of fiscal 2022, we purchased a facility which we had formerly leased in Haleyville, Alabama where we manufacture aluminum frames for our outdoor furniture. With the purchase, we also obtained two additional buildings which have allowed us to expand our footprint at that facility.</w:t>
      </w:r>
    </w:p>
    <w:p>
      <w:pPr>
        <w:spacing w:after="0" w:line="15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addition to the furniture that we manufacture domestically, we source most of our formal bedroom and dining room furniture (casegoods) and certain leather upholstery offerings from several foreign plants, primarily in Vietnam and China. Over 75% of our wholesale revenues are derived from products that are manufactured in the United States using a mix of domestic and globally sourced components and raw materials.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Company-owned Retail Stores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we continually monitor the performance of our Company-owned retail store locations, we may occasionally determine that it is necessary to close underperforming stores in certain markets. During 2022, we closed three stores with the operations of one those stores being consolidated into another store in the same market. During the third quarter of 2023 we closed our northeast clearance center and our store located in Birmingham, Alabama. All of the above-mentioned closures occurred at or near the lease expirations.</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also may occasionally identify opportunities to enhance our presence in existing markets by relocating stores to better locations within the same market. During 2022, we sold the store property of one of our Houston, Texas locations and leased a new 9,600 square foot store property in a more upscale shopping area in the vicinity of the former location. We are in the process of upfitting the store and expect to open in early 2024. During late 2022 at the end of the lease term, we closed our Dallas, Texas store located at the intersection of McKinney and Knox streets. We opened a new 11,600 square foot store in the nearby iconic Inwood Village shopping center during the first quarter of 2023.</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2022, we acquired a 25,000 square foot property in Tampa, Florida. We are in the process of upfitting the space with a planned opening date in the fourth quarter of 2023.</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As of August 26, 2023, we had 57 Corporate-owned stores operating.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 of the Assets of Zenith Freight Lines, LLC</w:t>
      </w:r>
    </w:p>
    <w:p>
      <w:pPr>
        <w:spacing w:after="0" w:line="22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During the first quarter of 2022, we entered into a definitive agreement to sell substantially all of the assets of our wholly-owned subsidiary, Zenith, to J.B. Hunt and the transaction was completed at the beginning of the second quarter of fiscal 2022. As a result of the sale, the operations of our former logistical services segment, which consisted entirely of the operations of Zenith, are presented in the accompanying condensed consolidated statements of operations and in the following discussion as discontinued operations (see Note 12 to the Condensed Consolidated Statements of Income).</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 of 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5" w:name="page26"/>
    <w:bookmarkEnd w:id="25"/>
    <w:p>
      <w:pPr>
        <w:jc w:val="center"/>
        <w:spacing w:after="0"/>
        <w:rPr>
          <w:sz w:val="20"/>
          <w:szCs w:val="20"/>
          <w:color w:val="auto"/>
        </w:rPr>
      </w:pPr>
      <w:r>
        <w:rPr>
          <w:rFonts w:ascii="Arial" w:cs="Arial" w:eastAsia="Arial" w:hAnsi="Arial"/>
          <w:sz w:val="18"/>
          <w:szCs w:val="18"/>
          <w:u w:val="single" w:color="auto"/>
          <w:color w:val="auto"/>
        </w:rPr>
        <w:t>PART I-FINANCIAL INFORMATION-CONTINUED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BASSETT FURNITURE INDUSTRIES, INCORPORATED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AUGUST 26, 2023</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(Dollars in thousands except share and per share data)</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Results of Continuing Operations </w:t>
      </w:r>
      <w:r>
        <w:rPr>
          <w:rFonts w:ascii="Arial" w:cs="Arial" w:eastAsia="Arial" w:hAnsi="Arial"/>
          <w:sz w:val="18"/>
          <w:szCs w:val="18"/>
          <w:color w:val="auto"/>
        </w:rPr>
        <w:t>–</w:t>
      </w:r>
      <w:r>
        <w:rPr>
          <w:rFonts w:ascii="Arial" w:cs="Arial" w:eastAsia="Arial" w:hAnsi="Arial"/>
          <w:sz w:val="18"/>
          <w:szCs w:val="18"/>
          <w:b w:val="1"/>
          <w:bCs w:val="1"/>
          <w:color w:val="auto"/>
        </w:rPr>
        <w:t xml:space="preserve"> Periods ended August 26, 2023 compared with the periods ended August 27, 2022:</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Consolidated results of continuing operations for the three and nine months ended August 26, 2023 and August 27, 2022 are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1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540" w:type="dxa"/>
            <w:vAlign w:val="bottom"/>
            <w:gridSpan w:val="4"/>
          </w:tcPr>
          <w:p>
            <w:pPr>
              <w:jc w:val="right"/>
              <w:ind w:right="408"/>
              <w:spacing w:after="0"/>
              <w:rPr>
                <w:sz w:val="20"/>
                <w:szCs w:val="20"/>
                <w:color w:val="auto"/>
              </w:rPr>
            </w:pPr>
            <w:r>
              <w:rPr>
                <w:rFonts w:ascii="Arial" w:cs="Arial" w:eastAsia="Arial" w:hAnsi="Arial"/>
                <w:sz w:val="14"/>
                <w:szCs w:val="14"/>
                <w:color w:val="auto"/>
              </w:rPr>
              <w:t>Quarter Ended</w:t>
            </w: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60" w:type="dxa"/>
            <w:vAlign w:val="bottom"/>
            <w:gridSpan w:val="3"/>
          </w:tcPr>
          <w:p>
            <w:pPr>
              <w:jc w:val="right"/>
              <w:ind w:right="608"/>
              <w:spacing w:after="0"/>
              <w:rPr>
                <w:sz w:val="20"/>
                <w:szCs w:val="20"/>
                <w:color w:val="auto"/>
              </w:rPr>
            </w:pPr>
            <w:r>
              <w:rPr>
                <w:rFonts w:ascii="Arial" w:cs="Arial" w:eastAsia="Arial" w:hAnsi="Arial"/>
                <w:sz w:val="14"/>
                <w:szCs w:val="14"/>
                <w:color w:val="auto"/>
              </w:rPr>
              <w:t>Change</w:t>
            </w: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60" w:type="dxa"/>
            <w:vAlign w:val="bottom"/>
            <w:gridSpan w:val="5"/>
          </w:tcPr>
          <w:p>
            <w:pPr>
              <w:jc w:val="right"/>
              <w:ind w:right="268"/>
              <w:spacing w:after="0"/>
              <w:rPr>
                <w:sz w:val="20"/>
                <w:szCs w:val="20"/>
                <w:color w:val="auto"/>
              </w:rPr>
            </w:pPr>
            <w:r>
              <w:rPr>
                <w:rFonts w:ascii="Arial" w:cs="Arial" w:eastAsia="Arial" w:hAnsi="Arial"/>
                <w:sz w:val="14"/>
                <w:szCs w:val="14"/>
                <w:color w:val="auto"/>
              </w:rPr>
              <w:t>Nine Months Ended</w:t>
            </w: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gridSpan w:val="3"/>
          </w:tcPr>
          <w:p>
            <w:pPr>
              <w:jc w:val="right"/>
              <w:ind w:right="560"/>
              <w:spacing w:after="0"/>
              <w:rPr>
                <w:sz w:val="20"/>
                <w:szCs w:val="20"/>
                <w:color w:val="auto"/>
              </w:rPr>
            </w:pPr>
            <w:r>
              <w:rPr>
                <w:rFonts w:ascii="Arial" w:cs="Arial" w:eastAsia="Arial" w:hAnsi="Arial"/>
                <w:sz w:val="14"/>
                <w:szCs w:val="14"/>
                <w:color w:val="auto"/>
              </w:rPr>
              <w:t>Change</w:t>
            </w:r>
          </w:p>
        </w:tc>
        <w:tc>
          <w:tcPr>
            <w:tcW w:w="0" w:type="dxa"/>
            <w:vAlign w:val="bottom"/>
          </w:tcPr>
          <w:p>
            <w:pPr>
              <w:spacing w:after="0"/>
              <w:rPr>
                <w:sz w:val="1"/>
                <w:szCs w:val="1"/>
                <w:color w:val="auto"/>
              </w:rPr>
            </w:pPr>
          </w:p>
        </w:tc>
      </w:tr>
      <w:tr>
        <w:trPr>
          <w:trHeight w:val="142"/>
        </w:trPr>
        <w:tc>
          <w:tcPr>
            <w:tcW w:w="1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440" w:type="dxa"/>
            <w:vAlign w:val="bottom"/>
            <w:tcBorders>
              <w:top w:val="single" w:sz="8" w:color="auto"/>
            </w:tcBorders>
            <w:gridSpan w:val="3"/>
          </w:tcPr>
          <w:p>
            <w:pPr>
              <w:jc w:val="right"/>
              <w:ind w:right="348"/>
              <w:spacing w:after="0" w:line="142" w:lineRule="exact"/>
              <w:rPr>
                <w:sz w:val="20"/>
                <w:szCs w:val="20"/>
                <w:color w:val="auto"/>
              </w:rPr>
            </w:pPr>
            <w:r>
              <w:rPr>
                <w:rFonts w:ascii="Arial" w:cs="Arial" w:eastAsia="Arial" w:hAnsi="Arial"/>
                <w:sz w:val="14"/>
                <w:szCs w:val="14"/>
                <w:color w:val="auto"/>
                <w:w w:val="98"/>
              </w:rPr>
              <w:t>August 26, 2023</w:t>
            </w:r>
          </w:p>
        </w:tc>
        <w:tc>
          <w:tcPr>
            <w:tcW w:w="100" w:type="dxa"/>
            <w:vAlign w:val="bottom"/>
            <w:tcBorders>
              <w:top w:val="single" w:sz="8" w:color="auto"/>
            </w:tcBorders>
          </w:tcPr>
          <w:p>
            <w:pPr>
              <w:spacing w:after="0"/>
              <w:rPr>
                <w:sz w:val="12"/>
                <w:szCs w:val="12"/>
                <w:color w:val="auto"/>
              </w:rPr>
            </w:pPr>
          </w:p>
        </w:tc>
        <w:tc>
          <w:tcPr>
            <w:tcW w:w="1260" w:type="dxa"/>
            <w:vAlign w:val="bottom"/>
            <w:tcBorders>
              <w:top w:val="single" w:sz="8" w:color="auto"/>
            </w:tcBorders>
            <w:gridSpan w:val="2"/>
          </w:tcPr>
          <w:p>
            <w:pPr>
              <w:jc w:val="right"/>
              <w:ind w:right="128"/>
              <w:spacing w:after="0" w:line="142" w:lineRule="exact"/>
              <w:rPr>
                <w:sz w:val="20"/>
                <w:szCs w:val="20"/>
                <w:color w:val="auto"/>
              </w:rPr>
            </w:pPr>
            <w:r>
              <w:rPr>
                <w:rFonts w:ascii="Arial" w:cs="Arial" w:eastAsia="Arial" w:hAnsi="Arial"/>
                <w:sz w:val="14"/>
                <w:szCs w:val="14"/>
                <w:color w:val="auto"/>
              </w:rPr>
              <w:t>August 27, 2022</w:t>
            </w:r>
          </w:p>
        </w:tc>
        <w:tc>
          <w:tcPr>
            <w:tcW w:w="220" w:type="dxa"/>
            <w:vAlign w:val="bottom"/>
          </w:tcPr>
          <w:p>
            <w:pPr>
              <w:spacing w:after="0"/>
              <w:rPr>
                <w:sz w:val="12"/>
                <w:szCs w:val="12"/>
                <w:color w:val="auto"/>
              </w:rPr>
            </w:pPr>
          </w:p>
        </w:tc>
        <w:tc>
          <w:tcPr>
            <w:tcW w:w="720" w:type="dxa"/>
            <w:vAlign w:val="bottom"/>
            <w:tcBorders>
              <w:top w:val="single" w:sz="8" w:color="auto"/>
            </w:tcBorders>
          </w:tcPr>
          <w:p>
            <w:pPr>
              <w:jc w:val="right"/>
              <w:ind w:right="148"/>
              <w:spacing w:after="0" w:line="142" w:lineRule="exact"/>
              <w:rPr>
                <w:sz w:val="20"/>
                <w:szCs w:val="20"/>
                <w:color w:val="auto"/>
              </w:rPr>
            </w:pPr>
            <w:r>
              <w:rPr>
                <w:rFonts w:ascii="Arial" w:cs="Arial" w:eastAsia="Arial" w:hAnsi="Arial"/>
                <w:sz w:val="14"/>
                <w:szCs w:val="14"/>
                <w:color w:val="auto"/>
              </w:rPr>
              <w:t>Dollars</w:t>
            </w:r>
          </w:p>
        </w:tc>
        <w:tc>
          <w:tcPr>
            <w:tcW w:w="6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Percent</w:t>
            </w:r>
          </w:p>
        </w:tc>
        <w:tc>
          <w:tcPr>
            <w:tcW w:w="2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500" w:type="dxa"/>
            <w:vAlign w:val="bottom"/>
            <w:tcBorders>
              <w:top w:val="single" w:sz="8" w:color="auto"/>
            </w:tcBorders>
            <w:gridSpan w:val="4"/>
          </w:tcPr>
          <w:p>
            <w:pPr>
              <w:ind w:left="120"/>
              <w:spacing w:after="0" w:line="142" w:lineRule="exact"/>
              <w:rPr>
                <w:sz w:val="20"/>
                <w:szCs w:val="20"/>
                <w:color w:val="auto"/>
              </w:rPr>
            </w:pPr>
            <w:r>
              <w:rPr>
                <w:rFonts w:ascii="Arial" w:cs="Arial" w:eastAsia="Arial" w:hAnsi="Arial"/>
                <w:sz w:val="14"/>
                <w:szCs w:val="14"/>
                <w:color w:val="auto"/>
              </w:rPr>
              <w:t>August 26, 2023</w:t>
            </w:r>
          </w:p>
        </w:tc>
        <w:tc>
          <w:tcPr>
            <w:tcW w:w="80" w:type="dxa"/>
            <w:vAlign w:val="bottom"/>
            <w:tcBorders>
              <w:top w:val="single" w:sz="8" w:color="auto"/>
            </w:tcBorders>
          </w:tcPr>
          <w:p>
            <w:pPr>
              <w:spacing w:after="0"/>
              <w:rPr>
                <w:sz w:val="12"/>
                <w:szCs w:val="12"/>
                <w:color w:val="auto"/>
              </w:rPr>
            </w:pPr>
          </w:p>
        </w:tc>
        <w:tc>
          <w:tcPr>
            <w:tcW w:w="1260" w:type="dxa"/>
            <w:vAlign w:val="bottom"/>
            <w:tcBorders>
              <w:top w:val="single" w:sz="8" w:color="auto"/>
            </w:tcBorders>
            <w:gridSpan w:val="2"/>
          </w:tcPr>
          <w:p>
            <w:pPr>
              <w:ind w:left="120"/>
              <w:spacing w:after="0" w:line="142" w:lineRule="exact"/>
              <w:rPr>
                <w:sz w:val="20"/>
                <w:szCs w:val="20"/>
                <w:color w:val="auto"/>
              </w:rPr>
            </w:pPr>
            <w:r>
              <w:rPr>
                <w:rFonts w:ascii="Arial" w:cs="Arial" w:eastAsia="Arial" w:hAnsi="Arial"/>
                <w:sz w:val="14"/>
                <w:szCs w:val="14"/>
                <w:color w:val="auto"/>
              </w:rPr>
              <w:t>August 27, 2022</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Borders>
              <w:top w:val="single" w:sz="8" w:color="auto"/>
            </w:tcBorders>
          </w:tcPr>
          <w:p>
            <w:pPr>
              <w:jc w:val="right"/>
              <w:ind w:right="168"/>
              <w:spacing w:after="0" w:line="142" w:lineRule="exact"/>
              <w:rPr>
                <w:sz w:val="20"/>
                <w:szCs w:val="20"/>
                <w:color w:val="auto"/>
              </w:rPr>
            </w:pPr>
            <w:r>
              <w:rPr>
                <w:rFonts w:ascii="Arial" w:cs="Arial" w:eastAsia="Arial" w:hAnsi="Arial"/>
                <w:sz w:val="14"/>
                <w:szCs w:val="14"/>
                <w:color w:val="auto"/>
              </w:rPr>
              <w:t>Dollars</w:t>
            </w:r>
          </w:p>
        </w:tc>
        <w:tc>
          <w:tcPr>
            <w:tcW w:w="6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Percent</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18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Net sales of furniture and</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20" w:type="dxa"/>
            <w:vAlign w:val="bottom"/>
            <w:tcBorders>
              <w:righ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4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840" w:type="dxa"/>
            <w:vAlign w:val="bottom"/>
            <w:shd w:val="clear" w:color="auto" w:fill="CCEEFF"/>
          </w:tcPr>
          <w:p>
            <w:pPr>
              <w:spacing w:after="0"/>
              <w:rPr>
                <w:sz w:val="20"/>
                <w:szCs w:val="20"/>
                <w:color w:val="auto"/>
              </w:rPr>
            </w:pPr>
            <w:r>
              <w:rPr>
                <w:rFonts w:ascii="Arial" w:cs="Arial" w:eastAsia="Arial" w:hAnsi="Arial"/>
                <w:sz w:val="14"/>
                <w:szCs w:val="14"/>
                <w:color w:val="auto"/>
              </w:rPr>
              <w:t>accessories</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w w:val="97"/>
              </w:rPr>
              <w:t>87,217</w:t>
            </w:r>
          </w:p>
        </w:tc>
        <w:tc>
          <w:tcPr>
            <w:tcW w:w="740" w:type="dxa"/>
            <w:vAlign w:val="bottom"/>
            <w:tcBorders>
              <w:right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100.0%</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w w:val="90"/>
              </w:rPr>
              <w:t>118,012</w:t>
            </w:r>
          </w:p>
        </w:tc>
        <w:tc>
          <w:tcPr>
            <w:tcW w:w="78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100.0%</w:t>
            </w: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90"/>
              </w:rPr>
              <w:t>$ (30,795)</w:t>
            </w:r>
          </w:p>
        </w:tc>
        <w:tc>
          <w:tcPr>
            <w:tcW w:w="840" w:type="dxa"/>
            <w:vAlign w:val="bottom"/>
            <w:tcBorders>
              <w:right w:val="single" w:sz="8" w:color="CCEEFF"/>
            </w:tcBorders>
            <w:gridSpan w:val="2"/>
            <w:shd w:val="clear" w:color="auto" w:fill="CCEEFF"/>
          </w:tcPr>
          <w:p>
            <w:pPr>
              <w:jc w:val="right"/>
              <w:ind w:right="48"/>
              <w:spacing w:after="0"/>
              <w:rPr>
                <w:sz w:val="20"/>
                <w:szCs w:val="20"/>
                <w:color w:val="auto"/>
              </w:rPr>
            </w:pPr>
            <w:r>
              <w:rPr>
                <w:rFonts w:ascii="Arial" w:cs="Arial" w:eastAsia="Arial" w:hAnsi="Arial"/>
                <w:sz w:val="14"/>
                <w:szCs w:val="14"/>
                <w:color w:val="auto"/>
              </w:rPr>
              <w:t>-26.1%</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w w:val="94"/>
              </w:rPr>
              <w:t>295,434</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100.0%</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w w:val="94"/>
              </w:rPr>
              <w:t>364,582</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100.0%</w:t>
            </w:r>
          </w:p>
        </w:tc>
        <w:tc>
          <w:tcPr>
            <w:tcW w:w="840" w:type="dxa"/>
            <w:vAlign w:val="bottom"/>
            <w:gridSpan w:val="2"/>
            <w:shd w:val="clear" w:color="auto" w:fill="CCEEFF"/>
          </w:tcPr>
          <w:p>
            <w:pPr>
              <w:jc w:val="right"/>
              <w:ind w:right="48"/>
              <w:spacing w:after="0"/>
              <w:rPr>
                <w:sz w:val="20"/>
                <w:szCs w:val="20"/>
                <w:color w:val="auto"/>
              </w:rPr>
            </w:pPr>
            <w:r>
              <w:rPr>
                <w:rFonts w:ascii="Arial" w:cs="Arial" w:eastAsia="Arial" w:hAnsi="Arial"/>
                <w:sz w:val="14"/>
                <w:szCs w:val="14"/>
                <w:color w:val="auto"/>
              </w:rPr>
              <w:t>$ (69,148)</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-19.0%</w:t>
            </w:r>
          </w:p>
        </w:tc>
        <w:tc>
          <w:tcPr>
            <w:tcW w:w="0" w:type="dxa"/>
            <w:vAlign w:val="bottom"/>
          </w:tcPr>
          <w:p>
            <w:pPr>
              <w:spacing w:after="0"/>
              <w:rPr>
                <w:sz w:val="1"/>
                <w:szCs w:val="1"/>
                <w:color w:val="auto"/>
              </w:rPr>
            </w:pPr>
          </w:p>
        </w:tc>
      </w:tr>
      <w:tr>
        <w:trPr>
          <w:trHeight w:val="130"/>
        </w:trPr>
        <w:tc>
          <w:tcPr>
            <w:tcW w:w="1840" w:type="dxa"/>
            <w:vAlign w:val="bottom"/>
          </w:tcPr>
          <w:p>
            <w:pPr>
              <w:spacing w:after="0" w:line="130" w:lineRule="exact"/>
              <w:rPr>
                <w:sz w:val="20"/>
                <w:szCs w:val="20"/>
                <w:color w:val="auto"/>
              </w:rPr>
            </w:pPr>
            <w:r>
              <w:rPr>
                <w:rFonts w:ascii="Arial" w:cs="Arial" w:eastAsia="Arial" w:hAnsi="Arial"/>
                <w:sz w:val="14"/>
                <w:szCs w:val="14"/>
                <w:color w:val="auto"/>
              </w:rPr>
              <w:t>Cost of furniture and</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vMerge w:val="restart"/>
          </w:tcPr>
          <w:p>
            <w:pPr>
              <w:jc w:val="right"/>
              <w:ind w:right="188"/>
              <w:spacing w:after="0"/>
              <w:rPr>
                <w:sz w:val="20"/>
                <w:szCs w:val="20"/>
                <w:color w:val="auto"/>
              </w:rPr>
            </w:pPr>
            <w:r>
              <w:rPr>
                <w:rFonts w:ascii="Arial" w:cs="Arial" w:eastAsia="Arial" w:hAnsi="Arial"/>
                <w:sz w:val="14"/>
                <w:szCs w:val="14"/>
                <w:color w:val="auto"/>
                <w:w w:val="97"/>
              </w:rPr>
              <w:t>42,173</w:t>
            </w:r>
          </w:p>
        </w:tc>
        <w:tc>
          <w:tcPr>
            <w:tcW w:w="740" w:type="dxa"/>
            <w:vAlign w:val="bottom"/>
            <w:gridSpan w:val="2"/>
            <w:vMerge w:val="restart"/>
          </w:tcPr>
          <w:p>
            <w:pPr>
              <w:jc w:val="right"/>
              <w:ind w:right="28"/>
              <w:spacing w:after="0"/>
              <w:rPr>
                <w:sz w:val="20"/>
                <w:szCs w:val="20"/>
                <w:color w:val="auto"/>
              </w:rPr>
            </w:pPr>
            <w:r>
              <w:rPr>
                <w:rFonts w:ascii="Arial" w:cs="Arial" w:eastAsia="Arial" w:hAnsi="Arial"/>
                <w:sz w:val="14"/>
                <w:szCs w:val="14"/>
                <w:color w:val="auto"/>
              </w:rPr>
              <w:t>48.4%</w:t>
            </w:r>
          </w:p>
        </w:tc>
        <w:tc>
          <w:tcPr>
            <w:tcW w:w="100" w:type="dxa"/>
            <w:vAlign w:val="bottom"/>
          </w:tcPr>
          <w:p>
            <w:pPr>
              <w:spacing w:after="0"/>
              <w:rPr>
                <w:sz w:val="11"/>
                <w:szCs w:val="11"/>
                <w:color w:val="auto"/>
              </w:rPr>
            </w:pPr>
          </w:p>
        </w:tc>
        <w:tc>
          <w:tcPr>
            <w:tcW w:w="700" w:type="dxa"/>
            <w:vAlign w:val="bottom"/>
            <w:vMerge w:val="restart"/>
          </w:tcPr>
          <w:p>
            <w:pPr>
              <w:jc w:val="right"/>
              <w:ind w:right="148"/>
              <w:spacing w:after="0"/>
              <w:rPr>
                <w:sz w:val="20"/>
                <w:szCs w:val="20"/>
                <w:color w:val="auto"/>
              </w:rPr>
            </w:pPr>
            <w:r>
              <w:rPr>
                <w:rFonts w:ascii="Arial" w:cs="Arial" w:eastAsia="Arial" w:hAnsi="Arial"/>
                <w:sz w:val="14"/>
                <w:szCs w:val="14"/>
                <w:color w:val="auto"/>
              </w:rPr>
              <w:t>57,240</w:t>
            </w:r>
          </w:p>
        </w:tc>
        <w:tc>
          <w:tcPr>
            <w:tcW w:w="780" w:type="dxa"/>
            <w:vAlign w:val="bottom"/>
            <w:gridSpan w:val="2"/>
            <w:vMerge w:val="restart"/>
          </w:tcPr>
          <w:p>
            <w:pPr>
              <w:jc w:val="right"/>
              <w:ind w:right="28"/>
              <w:spacing w:after="0"/>
              <w:rPr>
                <w:sz w:val="20"/>
                <w:szCs w:val="20"/>
                <w:color w:val="auto"/>
              </w:rPr>
            </w:pPr>
            <w:r>
              <w:rPr>
                <w:rFonts w:ascii="Arial" w:cs="Arial" w:eastAsia="Arial" w:hAnsi="Arial"/>
                <w:sz w:val="14"/>
                <w:szCs w:val="14"/>
                <w:color w:val="auto"/>
              </w:rPr>
              <w:t>48.5%</w:t>
            </w:r>
          </w:p>
        </w:tc>
        <w:tc>
          <w:tcPr>
            <w:tcW w:w="720" w:type="dxa"/>
            <w:vAlign w:val="bottom"/>
            <w:vMerge w:val="restart"/>
          </w:tcPr>
          <w:p>
            <w:pPr>
              <w:jc w:val="right"/>
              <w:ind w:right="48"/>
              <w:spacing w:after="0"/>
              <w:rPr>
                <w:sz w:val="20"/>
                <w:szCs w:val="20"/>
                <w:color w:val="auto"/>
              </w:rPr>
            </w:pPr>
            <w:r>
              <w:rPr>
                <w:rFonts w:ascii="Arial" w:cs="Arial" w:eastAsia="Arial" w:hAnsi="Arial"/>
                <w:sz w:val="14"/>
                <w:szCs w:val="14"/>
                <w:color w:val="auto"/>
              </w:rPr>
              <w:t>(15,067)</w:t>
            </w:r>
          </w:p>
        </w:tc>
        <w:tc>
          <w:tcPr>
            <w:tcW w:w="840" w:type="dxa"/>
            <w:vAlign w:val="bottom"/>
            <w:gridSpan w:val="2"/>
            <w:vMerge w:val="restart"/>
          </w:tcPr>
          <w:p>
            <w:pPr>
              <w:jc w:val="right"/>
              <w:ind w:right="48"/>
              <w:spacing w:after="0"/>
              <w:rPr>
                <w:sz w:val="20"/>
                <w:szCs w:val="20"/>
                <w:color w:val="auto"/>
              </w:rPr>
            </w:pPr>
            <w:r>
              <w:rPr>
                <w:rFonts w:ascii="Arial" w:cs="Arial" w:eastAsia="Arial" w:hAnsi="Arial"/>
                <w:sz w:val="14"/>
                <w:szCs w:val="14"/>
                <w:color w:val="auto"/>
              </w:rPr>
              <w:t>-26.3%</w:t>
            </w:r>
          </w:p>
        </w:tc>
        <w:tc>
          <w:tcPr>
            <w:tcW w:w="80" w:type="dxa"/>
            <w:vAlign w:val="bottom"/>
          </w:tcPr>
          <w:p>
            <w:pPr>
              <w:spacing w:after="0"/>
              <w:rPr>
                <w:sz w:val="11"/>
                <w:szCs w:val="11"/>
                <w:color w:val="auto"/>
              </w:rPr>
            </w:pPr>
          </w:p>
        </w:tc>
        <w:tc>
          <w:tcPr>
            <w:tcW w:w="640" w:type="dxa"/>
            <w:vAlign w:val="bottom"/>
            <w:vMerge w:val="restart"/>
          </w:tcPr>
          <w:p>
            <w:pPr>
              <w:jc w:val="right"/>
              <w:ind w:right="68"/>
              <w:spacing w:after="0"/>
              <w:rPr>
                <w:sz w:val="20"/>
                <w:szCs w:val="20"/>
                <w:color w:val="auto"/>
              </w:rPr>
            </w:pPr>
            <w:r>
              <w:rPr>
                <w:rFonts w:ascii="Arial" w:cs="Arial" w:eastAsia="Arial" w:hAnsi="Arial"/>
                <w:sz w:val="14"/>
                <w:szCs w:val="14"/>
                <w:color w:val="auto"/>
                <w:w w:val="94"/>
              </w:rPr>
              <w:t>140,360</w:t>
            </w:r>
          </w:p>
        </w:tc>
        <w:tc>
          <w:tcPr>
            <w:tcW w:w="740" w:type="dxa"/>
            <w:vAlign w:val="bottom"/>
            <w:gridSpan w:val="2"/>
            <w:vMerge w:val="restart"/>
          </w:tcPr>
          <w:p>
            <w:pPr>
              <w:jc w:val="right"/>
              <w:spacing w:after="0"/>
              <w:rPr>
                <w:sz w:val="20"/>
                <w:szCs w:val="20"/>
                <w:color w:val="auto"/>
              </w:rPr>
            </w:pPr>
            <w:r>
              <w:rPr>
                <w:rFonts w:ascii="Arial" w:cs="Arial" w:eastAsia="Arial" w:hAnsi="Arial"/>
                <w:sz w:val="14"/>
                <w:szCs w:val="14"/>
                <w:color w:val="auto"/>
              </w:rPr>
              <w:t>47.5%</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vMerge w:val="restart"/>
          </w:tcPr>
          <w:p>
            <w:pPr>
              <w:jc w:val="right"/>
              <w:ind w:right="148"/>
              <w:spacing w:after="0"/>
              <w:rPr>
                <w:sz w:val="20"/>
                <w:szCs w:val="20"/>
                <w:color w:val="auto"/>
              </w:rPr>
            </w:pPr>
            <w:r>
              <w:rPr>
                <w:rFonts w:ascii="Arial" w:cs="Arial" w:eastAsia="Arial" w:hAnsi="Arial"/>
                <w:sz w:val="14"/>
                <w:szCs w:val="14"/>
                <w:color w:val="auto"/>
                <w:w w:val="94"/>
              </w:rPr>
              <w:t>180,479</w:t>
            </w:r>
          </w:p>
        </w:tc>
        <w:tc>
          <w:tcPr>
            <w:tcW w:w="660" w:type="dxa"/>
            <w:vAlign w:val="bottom"/>
            <w:gridSpan w:val="2"/>
            <w:vMerge w:val="restart"/>
          </w:tcPr>
          <w:p>
            <w:pPr>
              <w:jc w:val="right"/>
              <w:spacing w:after="0"/>
              <w:rPr>
                <w:sz w:val="20"/>
                <w:szCs w:val="20"/>
                <w:color w:val="auto"/>
              </w:rPr>
            </w:pPr>
            <w:r>
              <w:rPr>
                <w:rFonts w:ascii="Arial" w:cs="Arial" w:eastAsia="Arial" w:hAnsi="Arial"/>
                <w:sz w:val="14"/>
                <w:szCs w:val="14"/>
                <w:color w:val="auto"/>
              </w:rPr>
              <w:t>49.5%</w:t>
            </w:r>
          </w:p>
        </w:tc>
        <w:tc>
          <w:tcPr>
            <w:tcW w:w="840" w:type="dxa"/>
            <w:vAlign w:val="bottom"/>
            <w:gridSpan w:val="2"/>
            <w:vMerge w:val="restart"/>
          </w:tcPr>
          <w:p>
            <w:pPr>
              <w:jc w:val="right"/>
              <w:ind w:right="48"/>
              <w:spacing w:after="0"/>
              <w:rPr>
                <w:sz w:val="20"/>
                <w:szCs w:val="20"/>
                <w:color w:val="auto"/>
              </w:rPr>
            </w:pPr>
            <w:r>
              <w:rPr>
                <w:rFonts w:ascii="Arial" w:cs="Arial" w:eastAsia="Arial" w:hAnsi="Arial"/>
                <w:sz w:val="14"/>
                <w:szCs w:val="14"/>
                <w:color w:val="auto"/>
              </w:rPr>
              <w:t>(40,119)</w:t>
            </w:r>
          </w:p>
        </w:tc>
        <w:tc>
          <w:tcPr>
            <w:tcW w:w="720" w:type="dxa"/>
            <w:vAlign w:val="bottom"/>
            <w:gridSpan w:val="2"/>
            <w:vMerge w:val="restart"/>
          </w:tcPr>
          <w:p>
            <w:pPr>
              <w:jc w:val="right"/>
              <w:spacing w:after="0"/>
              <w:rPr>
                <w:sz w:val="20"/>
                <w:szCs w:val="20"/>
                <w:color w:val="auto"/>
              </w:rPr>
            </w:pPr>
            <w:r>
              <w:rPr>
                <w:rFonts w:ascii="Arial" w:cs="Arial" w:eastAsia="Arial" w:hAnsi="Arial"/>
                <w:sz w:val="14"/>
                <w:szCs w:val="14"/>
                <w:color w:val="auto"/>
              </w:rPr>
              <w:t>-22.2%</w:t>
            </w:r>
          </w:p>
        </w:tc>
        <w:tc>
          <w:tcPr>
            <w:tcW w:w="0" w:type="dxa"/>
            <w:vAlign w:val="bottom"/>
          </w:tcPr>
          <w:p>
            <w:pPr>
              <w:spacing w:after="0"/>
              <w:rPr>
                <w:sz w:val="1"/>
                <w:szCs w:val="1"/>
                <w:color w:val="auto"/>
              </w:rPr>
            </w:pPr>
          </w:p>
        </w:tc>
      </w:tr>
      <w:tr>
        <w:trPr>
          <w:trHeight w:val="154"/>
        </w:trPr>
        <w:tc>
          <w:tcPr>
            <w:tcW w:w="1840" w:type="dxa"/>
            <w:vAlign w:val="bottom"/>
          </w:tcPr>
          <w:p>
            <w:pPr>
              <w:spacing w:after="0" w:line="154" w:lineRule="exact"/>
              <w:rPr>
                <w:sz w:val="20"/>
                <w:szCs w:val="20"/>
                <w:color w:val="auto"/>
              </w:rPr>
            </w:pPr>
            <w:r>
              <w:rPr>
                <w:rFonts w:ascii="Arial" w:cs="Arial" w:eastAsia="Arial" w:hAnsi="Arial"/>
                <w:sz w:val="14"/>
                <w:szCs w:val="14"/>
                <w:color w:val="auto"/>
              </w:rPr>
              <w:t>accessories sold</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vMerge w:val="continue"/>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vMerge w:val="continue"/>
          </w:tcPr>
          <w:p>
            <w:pPr>
              <w:spacing w:after="0"/>
              <w:rPr>
                <w:sz w:val="13"/>
                <w:szCs w:val="13"/>
                <w:color w:val="auto"/>
              </w:rPr>
            </w:pPr>
          </w:p>
        </w:tc>
        <w:tc>
          <w:tcPr>
            <w:tcW w:w="780" w:type="dxa"/>
            <w:vAlign w:val="bottom"/>
            <w:gridSpan w:val="2"/>
            <w:vMerge w:val="continue"/>
          </w:tcPr>
          <w:p>
            <w:pPr>
              <w:spacing w:after="0"/>
              <w:rPr>
                <w:sz w:val="13"/>
                <w:szCs w:val="13"/>
                <w:color w:val="auto"/>
              </w:rPr>
            </w:pPr>
          </w:p>
        </w:tc>
        <w:tc>
          <w:tcPr>
            <w:tcW w:w="720" w:type="dxa"/>
            <w:vAlign w:val="bottom"/>
            <w:vMerge w:val="continue"/>
          </w:tcPr>
          <w:p>
            <w:pPr>
              <w:spacing w:after="0"/>
              <w:rPr>
                <w:sz w:val="13"/>
                <w:szCs w:val="13"/>
                <w:color w:val="auto"/>
              </w:rPr>
            </w:pPr>
          </w:p>
        </w:tc>
        <w:tc>
          <w:tcPr>
            <w:tcW w:w="84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vMerge w:val="continue"/>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vMerge w:val="continue"/>
          </w:tcPr>
          <w:p>
            <w:pPr>
              <w:spacing w:after="0"/>
              <w:rPr>
                <w:sz w:val="13"/>
                <w:szCs w:val="13"/>
                <w:color w:val="auto"/>
              </w:rPr>
            </w:pPr>
          </w:p>
        </w:tc>
        <w:tc>
          <w:tcPr>
            <w:tcW w:w="660" w:type="dxa"/>
            <w:vAlign w:val="bottom"/>
            <w:gridSpan w:val="2"/>
            <w:vMerge w:val="continue"/>
          </w:tcPr>
          <w:p>
            <w:pPr>
              <w:spacing w:after="0"/>
              <w:rPr>
                <w:sz w:val="13"/>
                <w:szCs w:val="13"/>
                <w:color w:val="auto"/>
              </w:rPr>
            </w:pPr>
          </w:p>
        </w:tc>
        <w:tc>
          <w:tcPr>
            <w:tcW w:w="840" w:type="dxa"/>
            <w:vAlign w:val="bottom"/>
            <w:gridSpan w:val="2"/>
            <w:vMerge w:val="continue"/>
          </w:tcPr>
          <w:p>
            <w:pPr>
              <w:spacing w:after="0"/>
              <w:rPr>
                <w:sz w:val="13"/>
                <w:szCs w:val="13"/>
                <w:color w:val="auto"/>
              </w:rPr>
            </w:pPr>
          </w:p>
        </w:tc>
        <w:tc>
          <w:tcPr>
            <w:tcW w:w="7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1840" w:type="dxa"/>
            <w:vAlign w:val="bottom"/>
            <w:shd w:val="clear" w:color="auto" w:fill="CCEEFF"/>
          </w:tcPr>
          <w:p>
            <w:pPr>
              <w:ind w:left="180"/>
              <w:spacing w:after="0" w:line="142" w:lineRule="exact"/>
              <w:rPr>
                <w:sz w:val="20"/>
                <w:szCs w:val="20"/>
                <w:color w:val="auto"/>
              </w:rPr>
            </w:pPr>
            <w:r>
              <w:rPr>
                <w:rFonts w:ascii="Arial" w:cs="Arial" w:eastAsia="Arial" w:hAnsi="Arial"/>
                <w:sz w:val="14"/>
                <w:szCs w:val="14"/>
                <w:color w:val="auto"/>
              </w:rPr>
              <w:t>Gross profit</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jc w:val="right"/>
              <w:ind w:right="188"/>
              <w:spacing w:after="0" w:line="142" w:lineRule="exact"/>
              <w:rPr>
                <w:sz w:val="20"/>
                <w:szCs w:val="20"/>
                <w:color w:val="auto"/>
              </w:rPr>
            </w:pPr>
            <w:r>
              <w:rPr>
                <w:rFonts w:ascii="Arial" w:cs="Arial" w:eastAsia="Arial" w:hAnsi="Arial"/>
                <w:sz w:val="14"/>
                <w:szCs w:val="14"/>
                <w:color w:val="auto"/>
                <w:w w:val="97"/>
              </w:rPr>
              <w:t>45,044</w:t>
            </w:r>
          </w:p>
        </w:tc>
        <w:tc>
          <w:tcPr>
            <w:tcW w:w="740" w:type="dxa"/>
            <w:vAlign w:val="bottom"/>
            <w:tcBorders>
              <w:right w:val="single" w:sz="8" w:color="CCEEFF"/>
            </w:tcBorders>
            <w:gridSpan w:val="2"/>
            <w:shd w:val="clear" w:color="auto" w:fill="CCEEFF"/>
          </w:tcPr>
          <w:p>
            <w:pPr>
              <w:jc w:val="right"/>
              <w:ind w:right="28"/>
              <w:spacing w:after="0" w:line="142" w:lineRule="exact"/>
              <w:rPr>
                <w:sz w:val="20"/>
                <w:szCs w:val="20"/>
                <w:color w:val="auto"/>
              </w:rPr>
            </w:pPr>
            <w:r>
              <w:rPr>
                <w:rFonts w:ascii="Arial" w:cs="Arial" w:eastAsia="Arial" w:hAnsi="Arial"/>
                <w:sz w:val="14"/>
                <w:szCs w:val="14"/>
                <w:color w:val="auto"/>
              </w:rPr>
              <w:t>51.6%</w:t>
            </w: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ind w:right="148"/>
              <w:spacing w:after="0" w:line="142" w:lineRule="exact"/>
              <w:rPr>
                <w:sz w:val="20"/>
                <w:szCs w:val="20"/>
                <w:color w:val="auto"/>
              </w:rPr>
            </w:pPr>
            <w:r>
              <w:rPr>
                <w:rFonts w:ascii="Arial" w:cs="Arial" w:eastAsia="Arial" w:hAnsi="Arial"/>
                <w:sz w:val="14"/>
                <w:szCs w:val="14"/>
                <w:color w:val="auto"/>
              </w:rPr>
              <w:t>60,772</w:t>
            </w:r>
          </w:p>
        </w:tc>
        <w:tc>
          <w:tcPr>
            <w:tcW w:w="780" w:type="dxa"/>
            <w:vAlign w:val="bottom"/>
            <w:gridSpan w:val="2"/>
            <w:shd w:val="clear" w:color="auto" w:fill="CCEEFF"/>
          </w:tcPr>
          <w:p>
            <w:pPr>
              <w:jc w:val="right"/>
              <w:ind w:right="28"/>
              <w:spacing w:after="0" w:line="142" w:lineRule="exact"/>
              <w:rPr>
                <w:sz w:val="20"/>
                <w:szCs w:val="20"/>
                <w:color w:val="auto"/>
              </w:rPr>
            </w:pPr>
            <w:r>
              <w:rPr>
                <w:rFonts w:ascii="Arial" w:cs="Arial" w:eastAsia="Arial" w:hAnsi="Arial"/>
                <w:sz w:val="14"/>
                <w:szCs w:val="14"/>
                <w:color w:val="auto"/>
              </w:rPr>
              <w:t>51.5%</w:t>
            </w:r>
          </w:p>
        </w:tc>
        <w:tc>
          <w:tcPr>
            <w:tcW w:w="720" w:type="dxa"/>
            <w:vAlign w:val="bottom"/>
            <w:shd w:val="clear" w:color="auto" w:fill="CCEEFF"/>
          </w:tcPr>
          <w:p>
            <w:pPr>
              <w:jc w:val="right"/>
              <w:ind w:right="48"/>
              <w:spacing w:after="0" w:line="142" w:lineRule="exact"/>
              <w:rPr>
                <w:sz w:val="20"/>
                <w:szCs w:val="20"/>
                <w:color w:val="auto"/>
              </w:rPr>
            </w:pPr>
            <w:r>
              <w:rPr>
                <w:rFonts w:ascii="Arial" w:cs="Arial" w:eastAsia="Arial" w:hAnsi="Arial"/>
                <w:sz w:val="14"/>
                <w:szCs w:val="14"/>
                <w:color w:val="auto"/>
              </w:rPr>
              <w:t>(15,728)</w:t>
            </w:r>
          </w:p>
        </w:tc>
        <w:tc>
          <w:tcPr>
            <w:tcW w:w="840" w:type="dxa"/>
            <w:vAlign w:val="bottom"/>
            <w:tcBorders>
              <w:right w:val="single" w:sz="8" w:color="CCEEFF"/>
            </w:tcBorders>
            <w:gridSpan w:val="2"/>
            <w:shd w:val="clear" w:color="auto" w:fill="CCEEFF"/>
          </w:tcPr>
          <w:p>
            <w:pPr>
              <w:jc w:val="right"/>
              <w:ind w:right="48"/>
              <w:spacing w:after="0" w:line="142" w:lineRule="exact"/>
              <w:rPr>
                <w:sz w:val="20"/>
                <w:szCs w:val="20"/>
                <w:color w:val="auto"/>
              </w:rPr>
            </w:pPr>
            <w:r>
              <w:rPr>
                <w:rFonts w:ascii="Arial" w:cs="Arial" w:eastAsia="Arial" w:hAnsi="Arial"/>
                <w:sz w:val="14"/>
                <w:szCs w:val="14"/>
                <w:color w:val="auto"/>
              </w:rPr>
              <w:t>-25.9%</w:t>
            </w: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ind w:right="68"/>
              <w:spacing w:after="0" w:line="142" w:lineRule="exact"/>
              <w:rPr>
                <w:sz w:val="20"/>
                <w:szCs w:val="20"/>
                <w:color w:val="auto"/>
              </w:rPr>
            </w:pPr>
            <w:r>
              <w:rPr>
                <w:rFonts w:ascii="Arial" w:cs="Arial" w:eastAsia="Arial" w:hAnsi="Arial"/>
                <w:sz w:val="14"/>
                <w:szCs w:val="14"/>
                <w:color w:val="auto"/>
                <w:w w:val="94"/>
              </w:rPr>
              <w:t>155,074</w:t>
            </w:r>
          </w:p>
        </w:tc>
        <w:tc>
          <w:tcPr>
            <w:tcW w:w="74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52.5%</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ind w:right="148"/>
              <w:spacing w:after="0" w:line="142" w:lineRule="exact"/>
              <w:rPr>
                <w:sz w:val="20"/>
                <w:szCs w:val="20"/>
                <w:color w:val="auto"/>
              </w:rPr>
            </w:pPr>
            <w:r>
              <w:rPr>
                <w:rFonts w:ascii="Arial" w:cs="Arial" w:eastAsia="Arial" w:hAnsi="Arial"/>
                <w:sz w:val="14"/>
                <w:szCs w:val="14"/>
                <w:color w:val="auto"/>
                <w:w w:val="94"/>
              </w:rPr>
              <w:t>184,103</w:t>
            </w:r>
          </w:p>
        </w:tc>
        <w:tc>
          <w:tcPr>
            <w:tcW w:w="66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50.5%</w:t>
            </w:r>
          </w:p>
        </w:tc>
        <w:tc>
          <w:tcPr>
            <w:tcW w:w="840" w:type="dxa"/>
            <w:vAlign w:val="bottom"/>
            <w:gridSpan w:val="2"/>
            <w:shd w:val="clear" w:color="auto" w:fill="CCEEFF"/>
          </w:tcPr>
          <w:p>
            <w:pPr>
              <w:jc w:val="right"/>
              <w:ind w:right="48"/>
              <w:spacing w:after="0" w:line="142" w:lineRule="exact"/>
              <w:rPr>
                <w:sz w:val="20"/>
                <w:szCs w:val="20"/>
                <w:color w:val="auto"/>
              </w:rPr>
            </w:pPr>
            <w:r>
              <w:rPr>
                <w:rFonts w:ascii="Arial" w:cs="Arial" w:eastAsia="Arial" w:hAnsi="Arial"/>
                <w:sz w:val="14"/>
                <w:szCs w:val="14"/>
                <w:color w:val="auto"/>
              </w:rPr>
              <w:t>(29,029)</w:t>
            </w:r>
          </w:p>
        </w:tc>
        <w:tc>
          <w:tcPr>
            <w:tcW w:w="72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-15.8%</w:t>
            </w:r>
          </w:p>
        </w:tc>
        <w:tc>
          <w:tcPr>
            <w:tcW w:w="0" w:type="dxa"/>
            <w:vAlign w:val="bottom"/>
          </w:tcPr>
          <w:p>
            <w:pPr>
              <w:spacing w:after="0"/>
              <w:rPr>
                <w:sz w:val="1"/>
                <w:szCs w:val="1"/>
                <w:color w:val="auto"/>
              </w:rPr>
            </w:pPr>
          </w:p>
        </w:tc>
      </w:tr>
      <w:tr>
        <w:trPr>
          <w:trHeight w:val="148"/>
        </w:trPr>
        <w:tc>
          <w:tcPr>
            <w:tcW w:w="1840" w:type="dxa"/>
            <w:vAlign w:val="bottom"/>
          </w:tcPr>
          <w:p>
            <w:pPr>
              <w:spacing w:after="0" w:line="149" w:lineRule="exact"/>
              <w:rPr>
                <w:sz w:val="20"/>
                <w:szCs w:val="20"/>
                <w:color w:val="auto"/>
              </w:rPr>
            </w:pPr>
            <w:r>
              <w:rPr>
                <w:rFonts w:ascii="Arial" w:cs="Arial" w:eastAsia="Arial" w:hAnsi="Arial"/>
                <w:sz w:val="14"/>
                <w:szCs w:val="14"/>
                <w:color w:val="auto"/>
              </w:rPr>
              <w:t>SG&amp;A expenses</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jc w:val="right"/>
              <w:ind w:right="188"/>
              <w:spacing w:after="0" w:line="149" w:lineRule="exact"/>
              <w:rPr>
                <w:sz w:val="20"/>
                <w:szCs w:val="20"/>
                <w:color w:val="auto"/>
              </w:rPr>
            </w:pPr>
            <w:r>
              <w:rPr>
                <w:rFonts w:ascii="Arial" w:cs="Arial" w:eastAsia="Arial" w:hAnsi="Arial"/>
                <w:sz w:val="14"/>
                <w:szCs w:val="14"/>
                <w:color w:val="auto"/>
                <w:w w:val="97"/>
              </w:rPr>
              <w:t>48,848</w:t>
            </w:r>
          </w:p>
        </w:tc>
        <w:tc>
          <w:tcPr>
            <w:tcW w:w="740" w:type="dxa"/>
            <w:vAlign w:val="bottom"/>
            <w:gridSpan w:val="2"/>
          </w:tcPr>
          <w:p>
            <w:pPr>
              <w:jc w:val="right"/>
              <w:ind w:right="28"/>
              <w:spacing w:after="0" w:line="149" w:lineRule="exact"/>
              <w:rPr>
                <w:sz w:val="20"/>
                <w:szCs w:val="20"/>
                <w:color w:val="auto"/>
              </w:rPr>
            </w:pPr>
            <w:r>
              <w:rPr>
                <w:rFonts w:ascii="Arial" w:cs="Arial" w:eastAsia="Arial" w:hAnsi="Arial"/>
                <w:sz w:val="14"/>
                <w:szCs w:val="14"/>
                <w:color w:val="auto"/>
              </w:rPr>
              <w:t>56.0%</w:t>
            </w:r>
          </w:p>
        </w:tc>
        <w:tc>
          <w:tcPr>
            <w:tcW w:w="100" w:type="dxa"/>
            <w:vAlign w:val="bottom"/>
          </w:tcPr>
          <w:p>
            <w:pPr>
              <w:spacing w:after="0"/>
              <w:rPr>
                <w:sz w:val="12"/>
                <w:szCs w:val="12"/>
                <w:color w:val="auto"/>
              </w:rPr>
            </w:pPr>
          </w:p>
        </w:tc>
        <w:tc>
          <w:tcPr>
            <w:tcW w:w="700" w:type="dxa"/>
            <w:vAlign w:val="bottom"/>
          </w:tcPr>
          <w:p>
            <w:pPr>
              <w:jc w:val="right"/>
              <w:ind w:right="148"/>
              <w:spacing w:after="0" w:line="149" w:lineRule="exact"/>
              <w:rPr>
                <w:sz w:val="20"/>
                <w:szCs w:val="20"/>
                <w:color w:val="auto"/>
              </w:rPr>
            </w:pPr>
            <w:r>
              <w:rPr>
                <w:rFonts w:ascii="Arial" w:cs="Arial" w:eastAsia="Arial" w:hAnsi="Arial"/>
                <w:sz w:val="14"/>
                <w:szCs w:val="14"/>
                <w:color w:val="auto"/>
              </w:rPr>
              <w:t>54,695</w:t>
            </w:r>
          </w:p>
        </w:tc>
        <w:tc>
          <w:tcPr>
            <w:tcW w:w="780" w:type="dxa"/>
            <w:vAlign w:val="bottom"/>
            <w:gridSpan w:val="2"/>
          </w:tcPr>
          <w:p>
            <w:pPr>
              <w:jc w:val="right"/>
              <w:ind w:right="28"/>
              <w:spacing w:after="0" w:line="149" w:lineRule="exact"/>
              <w:rPr>
                <w:sz w:val="20"/>
                <w:szCs w:val="20"/>
                <w:color w:val="auto"/>
              </w:rPr>
            </w:pPr>
            <w:r>
              <w:rPr>
                <w:rFonts w:ascii="Arial" w:cs="Arial" w:eastAsia="Arial" w:hAnsi="Arial"/>
                <w:sz w:val="14"/>
                <w:szCs w:val="14"/>
                <w:color w:val="auto"/>
              </w:rPr>
              <w:t>46.3%</w:t>
            </w:r>
          </w:p>
        </w:tc>
        <w:tc>
          <w:tcPr>
            <w:tcW w:w="720" w:type="dxa"/>
            <w:vAlign w:val="bottom"/>
          </w:tcPr>
          <w:p>
            <w:pPr>
              <w:jc w:val="right"/>
              <w:ind w:right="48"/>
              <w:spacing w:after="0" w:line="149" w:lineRule="exact"/>
              <w:rPr>
                <w:sz w:val="20"/>
                <w:szCs w:val="20"/>
                <w:color w:val="auto"/>
              </w:rPr>
            </w:pPr>
            <w:r>
              <w:rPr>
                <w:rFonts w:ascii="Arial" w:cs="Arial" w:eastAsia="Arial" w:hAnsi="Arial"/>
                <w:sz w:val="14"/>
                <w:szCs w:val="14"/>
                <w:color w:val="auto"/>
              </w:rPr>
              <w:t>(5,847)</w:t>
            </w:r>
          </w:p>
        </w:tc>
        <w:tc>
          <w:tcPr>
            <w:tcW w:w="840" w:type="dxa"/>
            <w:vAlign w:val="bottom"/>
            <w:gridSpan w:val="2"/>
          </w:tcPr>
          <w:p>
            <w:pPr>
              <w:jc w:val="right"/>
              <w:ind w:right="48"/>
              <w:spacing w:after="0" w:line="149" w:lineRule="exact"/>
              <w:rPr>
                <w:sz w:val="20"/>
                <w:szCs w:val="20"/>
                <w:color w:val="auto"/>
              </w:rPr>
            </w:pPr>
            <w:r>
              <w:rPr>
                <w:rFonts w:ascii="Arial" w:cs="Arial" w:eastAsia="Arial" w:hAnsi="Arial"/>
                <w:sz w:val="14"/>
                <w:szCs w:val="14"/>
                <w:color w:val="auto"/>
              </w:rPr>
              <w:t>-10.7%</w:t>
            </w:r>
          </w:p>
        </w:tc>
        <w:tc>
          <w:tcPr>
            <w:tcW w:w="80" w:type="dxa"/>
            <w:vAlign w:val="bottom"/>
          </w:tcPr>
          <w:p>
            <w:pPr>
              <w:spacing w:after="0"/>
              <w:rPr>
                <w:sz w:val="12"/>
                <w:szCs w:val="12"/>
                <w:color w:val="auto"/>
              </w:rPr>
            </w:pPr>
          </w:p>
        </w:tc>
        <w:tc>
          <w:tcPr>
            <w:tcW w:w="640" w:type="dxa"/>
            <w:vAlign w:val="bottom"/>
          </w:tcPr>
          <w:p>
            <w:pPr>
              <w:jc w:val="right"/>
              <w:ind w:right="68"/>
              <w:spacing w:after="0" w:line="149" w:lineRule="exact"/>
              <w:rPr>
                <w:sz w:val="20"/>
                <w:szCs w:val="20"/>
                <w:color w:val="auto"/>
              </w:rPr>
            </w:pPr>
            <w:r>
              <w:rPr>
                <w:rFonts w:ascii="Arial" w:cs="Arial" w:eastAsia="Arial" w:hAnsi="Arial"/>
                <w:sz w:val="14"/>
                <w:szCs w:val="14"/>
                <w:color w:val="auto"/>
                <w:w w:val="94"/>
              </w:rPr>
              <w:t>154,709</w:t>
            </w:r>
          </w:p>
        </w:tc>
        <w:tc>
          <w:tcPr>
            <w:tcW w:w="7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52.4%</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ind w:right="148"/>
              <w:spacing w:after="0" w:line="149" w:lineRule="exact"/>
              <w:rPr>
                <w:sz w:val="20"/>
                <w:szCs w:val="20"/>
                <w:color w:val="auto"/>
              </w:rPr>
            </w:pPr>
            <w:r>
              <w:rPr>
                <w:rFonts w:ascii="Arial" w:cs="Arial" w:eastAsia="Arial" w:hAnsi="Arial"/>
                <w:sz w:val="14"/>
                <w:szCs w:val="14"/>
                <w:color w:val="auto"/>
                <w:w w:val="94"/>
              </w:rPr>
              <w:t>160,536</w:t>
            </w:r>
          </w:p>
        </w:tc>
        <w:tc>
          <w:tcPr>
            <w:tcW w:w="6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44.0%</w:t>
            </w:r>
          </w:p>
        </w:tc>
        <w:tc>
          <w:tcPr>
            <w:tcW w:w="840" w:type="dxa"/>
            <w:vAlign w:val="bottom"/>
            <w:gridSpan w:val="2"/>
          </w:tcPr>
          <w:p>
            <w:pPr>
              <w:jc w:val="right"/>
              <w:ind w:right="48"/>
              <w:spacing w:after="0" w:line="149" w:lineRule="exact"/>
              <w:rPr>
                <w:sz w:val="20"/>
                <w:szCs w:val="20"/>
                <w:color w:val="auto"/>
              </w:rPr>
            </w:pPr>
            <w:r>
              <w:rPr>
                <w:rFonts w:ascii="Arial" w:cs="Arial" w:eastAsia="Arial" w:hAnsi="Arial"/>
                <w:sz w:val="14"/>
                <w:szCs w:val="14"/>
                <w:color w:val="auto"/>
              </w:rPr>
              <w:t>(5,827)</w:t>
            </w:r>
          </w:p>
        </w:tc>
        <w:tc>
          <w:tcPr>
            <w:tcW w:w="7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-3.6%</w:t>
            </w:r>
          </w:p>
        </w:tc>
        <w:tc>
          <w:tcPr>
            <w:tcW w:w="0" w:type="dxa"/>
            <w:vAlign w:val="bottom"/>
          </w:tcPr>
          <w:p>
            <w:pPr>
              <w:spacing w:after="0"/>
              <w:rPr>
                <w:sz w:val="1"/>
                <w:szCs w:val="1"/>
                <w:color w:val="auto"/>
              </w:rPr>
            </w:pPr>
          </w:p>
        </w:tc>
      </w:tr>
      <w:tr>
        <w:trPr>
          <w:trHeight w:val="148"/>
        </w:trPr>
        <w:tc>
          <w:tcPr>
            <w:tcW w:w="18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Gain on sale of real estate</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jc w:val="right"/>
              <w:ind w:right="188"/>
              <w:spacing w:after="0" w:line="149" w:lineRule="exact"/>
              <w:rPr>
                <w:sz w:val="20"/>
                <w:szCs w:val="20"/>
                <w:color w:val="auto"/>
              </w:rPr>
            </w:pPr>
            <w:r>
              <w:rPr>
                <w:rFonts w:ascii="Arial" w:cs="Arial" w:eastAsia="Arial" w:hAnsi="Arial"/>
                <w:sz w:val="14"/>
                <w:szCs w:val="14"/>
                <w:color w:val="auto"/>
              </w:rPr>
              <w:t>-</w:t>
            </w:r>
          </w:p>
        </w:tc>
        <w:tc>
          <w:tcPr>
            <w:tcW w:w="740" w:type="dxa"/>
            <w:vAlign w:val="bottom"/>
            <w:tcBorders>
              <w:right w:val="single" w:sz="8" w:color="CCEEFF"/>
            </w:tcBorders>
            <w:gridSpan w:val="2"/>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0.0%</w:t>
            </w: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ind w:right="148"/>
              <w:spacing w:after="0" w:line="149" w:lineRule="exact"/>
              <w:rPr>
                <w:sz w:val="20"/>
                <w:szCs w:val="20"/>
                <w:color w:val="auto"/>
              </w:rPr>
            </w:pPr>
            <w:r>
              <w:rPr>
                <w:rFonts w:ascii="Arial" w:cs="Arial" w:eastAsia="Arial" w:hAnsi="Arial"/>
                <w:sz w:val="14"/>
                <w:szCs w:val="14"/>
                <w:color w:val="auto"/>
              </w:rPr>
              <w:t>4,595</w:t>
            </w:r>
          </w:p>
        </w:tc>
        <w:tc>
          <w:tcPr>
            <w:tcW w:w="780" w:type="dxa"/>
            <w:vAlign w:val="bottom"/>
            <w:gridSpan w:val="2"/>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3.9%</w:t>
            </w:r>
          </w:p>
        </w:tc>
        <w:tc>
          <w:tcPr>
            <w:tcW w:w="72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(4,595)</w:t>
            </w:r>
          </w:p>
        </w:tc>
        <w:tc>
          <w:tcPr>
            <w:tcW w:w="840" w:type="dxa"/>
            <w:vAlign w:val="bottom"/>
            <w:tcBorders>
              <w:right w:val="single" w:sz="8" w:color="CCEEFF"/>
            </w:tcBorders>
            <w:gridSpan w:val="2"/>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-100.0%</w:t>
            </w: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0.0%</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ind w:right="148"/>
              <w:spacing w:after="0" w:line="149" w:lineRule="exact"/>
              <w:rPr>
                <w:sz w:val="20"/>
                <w:szCs w:val="20"/>
                <w:color w:val="auto"/>
              </w:rPr>
            </w:pPr>
            <w:r>
              <w:rPr>
                <w:rFonts w:ascii="Arial" w:cs="Arial" w:eastAsia="Arial" w:hAnsi="Arial"/>
                <w:sz w:val="14"/>
                <w:szCs w:val="14"/>
                <w:color w:val="auto"/>
              </w:rPr>
              <w:t>4,595</w:t>
            </w:r>
          </w:p>
        </w:tc>
        <w:tc>
          <w:tcPr>
            <w:tcW w:w="6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1.3%</w:t>
            </w:r>
          </w:p>
        </w:tc>
        <w:tc>
          <w:tcPr>
            <w:tcW w:w="840" w:type="dxa"/>
            <w:vAlign w:val="bottom"/>
            <w:gridSpan w:val="2"/>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(4,595)</w:t>
            </w:r>
          </w:p>
        </w:tc>
        <w:tc>
          <w:tcPr>
            <w:tcW w:w="7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-100.0%</w:t>
            </w:r>
          </w:p>
        </w:tc>
        <w:tc>
          <w:tcPr>
            <w:tcW w:w="0" w:type="dxa"/>
            <w:vAlign w:val="bottom"/>
          </w:tcPr>
          <w:p>
            <w:pPr>
              <w:spacing w:after="0"/>
              <w:rPr>
                <w:sz w:val="1"/>
                <w:szCs w:val="1"/>
                <w:color w:val="auto"/>
              </w:rPr>
            </w:pPr>
          </w:p>
        </w:tc>
      </w:tr>
      <w:tr>
        <w:trPr>
          <w:trHeight w:val="130"/>
        </w:trPr>
        <w:tc>
          <w:tcPr>
            <w:tcW w:w="1840" w:type="dxa"/>
            <w:vAlign w:val="bottom"/>
          </w:tcPr>
          <w:p>
            <w:pPr>
              <w:spacing w:after="0" w:line="130" w:lineRule="exact"/>
              <w:rPr>
                <w:sz w:val="20"/>
                <w:szCs w:val="20"/>
                <w:color w:val="auto"/>
              </w:rPr>
            </w:pPr>
            <w:r>
              <w:rPr>
                <w:rFonts w:ascii="Arial" w:cs="Arial" w:eastAsia="Arial" w:hAnsi="Arial"/>
                <w:sz w:val="14"/>
                <w:szCs w:val="14"/>
                <w:color w:val="auto"/>
              </w:rPr>
              <w:t>Gain on revaluation of</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vMerge w:val="restart"/>
          </w:tcPr>
          <w:p>
            <w:pPr>
              <w:jc w:val="right"/>
              <w:ind w:right="188"/>
              <w:spacing w:after="0"/>
              <w:rPr>
                <w:sz w:val="20"/>
                <w:szCs w:val="20"/>
                <w:color w:val="auto"/>
              </w:rPr>
            </w:pPr>
            <w:r>
              <w:rPr>
                <w:rFonts w:ascii="Arial" w:cs="Arial" w:eastAsia="Arial" w:hAnsi="Arial"/>
                <w:sz w:val="14"/>
                <w:szCs w:val="14"/>
                <w:color w:val="auto"/>
              </w:rPr>
              <w:t>-</w:t>
            </w:r>
          </w:p>
        </w:tc>
        <w:tc>
          <w:tcPr>
            <w:tcW w:w="740" w:type="dxa"/>
            <w:vAlign w:val="bottom"/>
            <w:gridSpan w:val="2"/>
            <w:vMerge w:val="restart"/>
          </w:tcPr>
          <w:p>
            <w:pPr>
              <w:jc w:val="right"/>
              <w:ind w:right="28"/>
              <w:spacing w:after="0"/>
              <w:rPr>
                <w:sz w:val="20"/>
                <w:szCs w:val="20"/>
                <w:color w:val="auto"/>
              </w:rPr>
            </w:pPr>
            <w:r>
              <w:rPr>
                <w:rFonts w:ascii="Arial" w:cs="Arial" w:eastAsia="Arial" w:hAnsi="Arial"/>
                <w:sz w:val="14"/>
                <w:szCs w:val="14"/>
                <w:color w:val="auto"/>
              </w:rPr>
              <w:t>0.0%</w:t>
            </w:r>
          </w:p>
        </w:tc>
        <w:tc>
          <w:tcPr>
            <w:tcW w:w="100" w:type="dxa"/>
            <w:vAlign w:val="bottom"/>
          </w:tcPr>
          <w:p>
            <w:pPr>
              <w:spacing w:after="0"/>
              <w:rPr>
                <w:sz w:val="11"/>
                <w:szCs w:val="11"/>
                <w:color w:val="auto"/>
              </w:rPr>
            </w:pPr>
          </w:p>
        </w:tc>
        <w:tc>
          <w:tcPr>
            <w:tcW w:w="700" w:type="dxa"/>
            <w:vAlign w:val="bottom"/>
            <w:vMerge w:val="restart"/>
          </w:tcPr>
          <w:p>
            <w:pPr>
              <w:jc w:val="right"/>
              <w:ind w:right="148"/>
              <w:spacing w:after="0"/>
              <w:rPr>
                <w:sz w:val="20"/>
                <w:szCs w:val="20"/>
                <w:color w:val="auto"/>
              </w:rPr>
            </w:pPr>
            <w:r>
              <w:rPr>
                <w:rFonts w:ascii="Arial" w:cs="Arial" w:eastAsia="Arial" w:hAnsi="Arial"/>
                <w:sz w:val="14"/>
                <w:szCs w:val="14"/>
                <w:color w:val="auto"/>
              </w:rPr>
              <w:t>-</w:t>
            </w:r>
          </w:p>
        </w:tc>
        <w:tc>
          <w:tcPr>
            <w:tcW w:w="780" w:type="dxa"/>
            <w:vAlign w:val="bottom"/>
            <w:gridSpan w:val="2"/>
            <w:vMerge w:val="restart"/>
          </w:tcPr>
          <w:p>
            <w:pPr>
              <w:jc w:val="right"/>
              <w:ind w:right="28"/>
              <w:spacing w:after="0"/>
              <w:rPr>
                <w:sz w:val="20"/>
                <w:szCs w:val="20"/>
                <w:color w:val="auto"/>
              </w:rPr>
            </w:pPr>
            <w:r>
              <w:rPr>
                <w:rFonts w:ascii="Arial" w:cs="Arial" w:eastAsia="Arial" w:hAnsi="Arial"/>
                <w:sz w:val="14"/>
                <w:szCs w:val="14"/>
                <w:color w:val="auto"/>
              </w:rPr>
              <w:t>0.0%</w:t>
            </w:r>
          </w:p>
        </w:tc>
        <w:tc>
          <w:tcPr>
            <w:tcW w:w="720" w:type="dxa"/>
            <w:vAlign w:val="bottom"/>
            <w:vMerge w:val="restart"/>
          </w:tcPr>
          <w:p>
            <w:pPr>
              <w:jc w:val="right"/>
              <w:ind w:right="88"/>
              <w:spacing w:after="0"/>
              <w:rPr>
                <w:sz w:val="20"/>
                <w:szCs w:val="20"/>
                <w:color w:val="auto"/>
              </w:rPr>
            </w:pPr>
            <w:r>
              <w:rPr>
                <w:rFonts w:ascii="Arial" w:cs="Arial" w:eastAsia="Arial" w:hAnsi="Arial"/>
                <w:sz w:val="14"/>
                <w:szCs w:val="14"/>
                <w:color w:val="auto"/>
              </w:rPr>
              <w:t>-</w:t>
            </w:r>
          </w:p>
        </w:tc>
        <w:tc>
          <w:tcPr>
            <w:tcW w:w="840" w:type="dxa"/>
            <w:vAlign w:val="bottom"/>
            <w:gridSpan w:val="2"/>
            <w:vMerge w:val="restart"/>
          </w:tcPr>
          <w:p>
            <w:pPr>
              <w:jc w:val="right"/>
              <w:ind w:right="48"/>
              <w:spacing w:after="0"/>
              <w:rPr>
                <w:sz w:val="20"/>
                <w:szCs w:val="20"/>
                <w:color w:val="auto"/>
              </w:rPr>
            </w:pPr>
            <w:r>
              <w:rPr>
                <w:rFonts w:ascii="Arial" w:cs="Arial" w:eastAsia="Arial" w:hAnsi="Arial"/>
                <w:sz w:val="14"/>
                <w:szCs w:val="14"/>
                <w:color w:val="auto"/>
              </w:rPr>
              <w:t>100.0%</w:t>
            </w:r>
          </w:p>
        </w:tc>
        <w:tc>
          <w:tcPr>
            <w:tcW w:w="80" w:type="dxa"/>
            <w:vAlign w:val="bottom"/>
          </w:tcPr>
          <w:p>
            <w:pPr>
              <w:spacing w:after="0"/>
              <w:rPr>
                <w:sz w:val="11"/>
                <w:szCs w:val="11"/>
                <w:color w:val="auto"/>
              </w:rPr>
            </w:pPr>
          </w:p>
        </w:tc>
        <w:tc>
          <w:tcPr>
            <w:tcW w:w="640" w:type="dxa"/>
            <w:vAlign w:val="bottom"/>
            <w:vMerge w:val="restart"/>
          </w:tcPr>
          <w:p>
            <w:pPr>
              <w:jc w:val="right"/>
              <w:ind w:right="68"/>
              <w:spacing w:after="0"/>
              <w:rPr>
                <w:sz w:val="20"/>
                <w:szCs w:val="20"/>
                <w:color w:val="auto"/>
              </w:rPr>
            </w:pPr>
            <w:r>
              <w:rPr>
                <w:rFonts w:ascii="Arial" w:cs="Arial" w:eastAsia="Arial" w:hAnsi="Arial"/>
                <w:sz w:val="14"/>
                <w:szCs w:val="14"/>
                <w:color w:val="auto"/>
              </w:rPr>
              <w:t>1,013</w:t>
            </w:r>
          </w:p>
        </w:tc>
        <w:tc>
          <w:tcPr>
            <w:tcW w:w="740" w:type="dxa"/>
            <w:vAlign w:val="bottom"/>
            <w:gridSpan w:val="2"/>
            <w:vMerge w:val="restart"/>
          </w:tcPr>
          <w:p>
            <w:pPr>
              <w:jc w:val="right"/>
              <w:spacing w:after="0"/>
              <w:rPr>
                <w:sz w:val="20"/>
                <w:szCs w:val="20"/>
                <w:color w:val="auto"/>
              </w:rPr>
            </w:pPr>
            <w:r>
              <w:rPr>
                <w:rFonts w:ascii="Arial" w:cs="Arial" w:eastAsia="Arial" w:hAnsi="Arial"/>
                <w:sz w:val="14"/>
                <w:szCs w:val="14"/>
                <w:color w:val="auto"/>
              </w:rPr>
              <w:t>0.3%</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vMerge w:val="restart"/>
          </w:tcPr>
          <w:p>
            <w:pPr>
              <w:jc w:val="right"/>
              <w:ind w:right="148"/>
              <w:spacing w:after="0"/>
              <w:rPr>
                <w:sz w:val="20"/>
                <w:szCs w:val="20"/>
                <w:color w:val="auto"/>
              </w:rPr>
            </w:pPr>
            <w:r>
              <w:rPr>
                <w:rFonts w:ascii="Arial" w:cs="Arial" w:eastAsia="Arial" w:hAnsi="Arial"/>
                <w:sz w:val="14"/>
                <w:szCs w:val="14"/>
                <w:color w:val="auto"/>
              </w:rPr>
              <w:t>-</w:t>
            </w:r>
          </w:p>
        </w:tc>
        <w:tc>
          <w:tcPr>
            <w:tcW w:w="660" w:type="dxa"/>
            <w:vAlign w:val="bottom"/>
            <w:gridSpan w:val="2"/>
            <w:vMerge w:val="restart"/>
          </w:tcPr>
          <w:p>
            <w:pPr>
              <w:jc w:val="right"/>
              <w:spacing w:after="0"/>
              <w:rPr>
                <w:sz w:val="20"/>
                <w:szCs w:val="20"/>
                <w:color w:val="auto"/>
              </w:rPr>
            </w:pPr>
            <w:r>
              <w:rPr>
                <w:rFonts w:ascii="Arial" w:cs="Arial" w:eastAsia="Arial" w:hAnsi="Arial"/>
                <w:sz w:val="14"/>
                <w:szCs w:val="14"/>
                <w:color w:val="auto"/>
              </w:rPr>
              <w:t>0.0%</w:t>
            </w:r>
          </w:p>
        </w:tc>
        <w:tc>
          <w:tcPr>
            <w:tcW w:w="840" w:type="dxa"/>
            <w:vAlign w:val="bottom"/>
            <w:gridSpan w:val="2"/>
            <w:vMerge w:val="restart"/>
          </w:tcPr>
          <w:p>
            <w:pPr>
              <w:jc w:val="right"/>
              <w:ind w:right="108"/>
              <w:spacing w:after="0"/>
              <w:rPr>
                <w:sz w:val="20"/>
                <w:szCs w:val="20"/>
                <w:color w:val="auto"/>
              </w:rPr>
            </w:pPr>
            <w:r>
              <w:rPr>
                <w:rFonts w:ascii="Arial" w:cs="Arial" w:eastAsia="Arial" w:hAnsi="Arial"/>
                <w:sz w:val="14"/>
                <w:szCs w:val="14"/>
                <w:color w:val="auto"/>
              </w:rPr>
              <w:t>1,013</w:t>
            </w:r>
          </w:p>
        </w:tc>
        <w:tc>
          <w:tcPr>
            <w:tcW w:w="720" w:type="dxa"/>
            <w:vAlign w:val="bottom"/>
            <w:gridSpan w:val="2"/>
            <w:vMerge w:val="restart"/>
          </w:tcPr>
          <w:p>
            <w:pPr>
              <w:jc w:val="right"/>
              <w:spacing w:after="0"/>
              <w:rPr>
                <w:sz w:val="20"/>
                <w:szCs w:val="20"/>
                <w:color w:val="auto"/>
              </w:rPr>
            </w:pPr>
            <w:r>
              <w:rPr>
                <w:rFonts w:ascii="Arial" w:cs="Arial" w:eastAsia="Arial" w:hAnsi="Arial"/>
                <w:sz w:val="14"/>
                <w:szCs w:val="14"/>
                <w:color w:val="auto"/>
              </w:rPr>
              <w:t>100.0%</w:t>
            </w:r>
          </w:p>
        </w:tc>
        <w:tc>
          <w:tcPr>
            <w:tcW w:w="0" w:type="dxa"/>
            <w:vAlign w:val="bottom"/>
          </w:tcPr>
          <w:p>
            <w:pPr>
              <w:spacing w:after="0"/>
              <w:rPr>
                <w:sz w:val="1"/>
                <w:szCs w:val="1"/>
                <w:color w:val="auto"/>
              </w:rPr>
            </w:pPr>
          </w:p>
        </w:tc>
      </w:tr>
      <w:tr>
        <w:trPr>
          <w:trHeight w:val="154"/>
        </w:trPr>
        <w:tc>
          <w:tcPr>
            <w:tcW w:w="1840" w:type="dxa"/>
            <w:vAlign w:val="bottom"/>
          </w:tcPr>
          <w:p>
            <w:pPr>
              <w:spacing w:after="0" w:line="154" w:lineRule="exact"/>
              <w:rPr>
                <w:sz w:val="20"/>
                <w:szCs w:val="20"/>
                <w:color w:val="auto"/>
              </w:rPr>
            </w:pPr>
            <w:r>
              <w:rPr>
                <w:rFonts w:ascii="Arial" w:cs="Arial" w:eastAsia="Arial" w:hAnsi="Arial"/>
                <w:sz w:val="14"/>
                <w:szCs w:val="14"/>
                <w:color w:val="auto"/>
              </w:rPr>
              <w:t>contingent consideration</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vMerge w:val="continue"/>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vMerge w:val="continue"/>
          </w:tcPr>
          <w:p>
            <w:pPr>
              <w:spacing w:after="0"/>
              <w:rPr>
                <w:sz w:val="13"/>
                <w:szCs w:val="13"/>
                <w:color w:val="auto"/>
              </w:rPr>
            </w:pPr>
          </w:p>
        </w:tc>
        <w:tc>
          <w:tcPr>
            <w:tcW w:w="780" w:type="dxa"/>
            <w:vAlign w:val="bottom"/>
            <w:gridSpan w:val="2"/>
            <w:vMerge w:val="continue"/>
          </w:tcPr>
          <w:p>
            <w:pPr>
              <w:spacing w:after="0"/>
              <w:rPr>
                <w:sz w:val="13"/>
                <w:szCs w:val="13"/>
                <w:color w:val="auto"/>
              </w:rPr>
            </w:pPr>
          </w:p>
        </w:tc>
        <w:tc>
          <w:tcPr>
            <w:tcW w:w="720" w:type="dxa"/>
            <w:vAlign w:val="bottom"/>
            <w:vMerge w:val="continue"/>
          </w:tcPr>
          <w:p>
            <w:pPr>
              <w:spacing w:after="0"/>
              <w:rPr>
                <w:sz w:val="13"/>
                <w:szCs w:val="13"/>
                <w:color w:val="auto"/>
              </w:rPr>
            </w:pPr>
          </w:p>
        </w:tc>
        <w:tc>
          <w:tcPr>
            <w:tcW w:w="84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vMerge w:val="continue"/>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vMerge w:val="continue"/>
          </w:tcPr>
          <w:p>
            <w:pPr>
              <w:spacing w:after="0"/>
              <w:rPr>
                <w:sz w:val="13"/>
                <w:szCs w:val="13"/>
                <w:color w:val="auto"/>
              </w:rPr>
            </w:pPr>
          </w:p>
        </w:tc>
        <w:tc>
          <w:tcPr>
            <w:tcW w:w="660" w:type="dxa"/>
            <w:vAlign w:val="bottom"/>
            <w:gridSpan w:val="2"/>
            <w:vMerge w:val="continue"/>
          </w:tcPr>
          <w:p>
            <w:pPr>
              <w:spacing w:after="0"/>
              <w:rPr>
                <w:sz w:val="13"/>
                <w:szCs w:val="13"/>
                <w:color w:val="auto"/>
              </w:rPr>
            </w:pPr>
          </w:p>
        </w:tc>
        <w:tc>
          <w:tcPr>
            <w:tcW w:w="840" w:type="dxa"/>
            <w:vAlign w:val="bottom"/>
            <w:gridSpan w:val="2"/>
            <w:vMerge w:val="continue"/>
          </w:tcPr>
          <w:p>
            <w:pPr>
              <w:spacing w:after="0"/>
              <w:rPr>
                <w:sz w:val="13"/>
                <w:szCs w:val="13"/>
                <w:color w:val="auto"/>
              </w:rPr>
            </w:pPr>
          </w:p>
        </w:tc>
        <w:tc>
          <w:tcPr>
            <w:tcW w:w="7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184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w w:val="98"/>
              </w:rPr>
              <w:t>Income (loss) from operations</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line="129" w:lineRule="exact"/>
              <w:rPr>
                <w:sz w:val="20"/>
                <w:szCs w:val="20"/>
                <w:color w:val="auto"/>
              </w:rPr>
            </w:pPr>
            <w:r>
              <w:rPr>
                <w:rFonts w:ascii="Arial" w:cs="Arial" w:eastAsia="Arial" w:hAnsi="Arial"/>
                <w:sz w:val="14"/>
                <w:szCs w:val="14"/>
                <w:color w:val="auto"/>
                <w:w w:val="76"/>
              </w:rPr>
              <w:t>$</w:t>
            </w:r>
          </w:p>
        </w:tc>
        <w:tc>
          <w:tcPr>
            <w:tcW w:w="700" w:type="dxa"/>
            <w:vAlign w:val="bottom"/>
            <w:shd w:val="clear" w:color="auto" w:fill="CCEEFF"/>
          </w:tcPr>
          <w:p>
            <w:pPr>
              <w:jc w:val="right"/>
              <w:ind w:right="128"/>
              <w:spacing w:after="0" w:line="129" w:lineRule="exact"/>
              <w:rPr>
                <w:sz w:val="20"/>
                <w:szCs w:val="20"/>
                <w:color w:val="auto"/>
              </w:rPr>
            </w:pPr>
            <w:r>
              <w:rPr>
                <w:rFonts w:ascii="Arial" w:cs="Arial" w:eastAsia="Arial" w:hAnsi="Arial"/>
                <w:sz w:val="14"/>
                <w:szCs w:val="14"/>
                <w:color w:val="auto"/>
              </w:rPr>
              <w:t>(3,804)</w:t>
            </w:r>
          </w:p>
        </w:tc>
        <w:tc>
          <w:tcPr>
            <w:tcW w:w="520" w:type="dxa"/>
            <w:vAlign w:val="bottom"/>
            <w:shd w:val="clear" w:color="auto" w:fill="CCEEFF"/>
          </w:tcPr>
          <w:p>
            <w:pPr>
              <w:jc w:val="right"/>
              <w:spacing w:after="0" w:line="129" w:lineRule="exact"/>
              <w:rPr>
                <w:sz w:val="20"/>
                <w:szCs w:val="20"/>
                <w:color w:val="auto"/>
              </w:rPr>
            </w:pPr>
            <w:r>
              <w:rPr>
                <w:rFonts w:ascii="Arial" w:cs="Arial" w:eastAsia="Arial" w:hAnsi="Arial"/>
                <w:sz w:val="14"/>
                <w:szCs w:val="14"/>
                <w:color w:val="auto"/>
              </w:rPr>
              <w:t>-4.4</w:t>
            </w:r>
          </w:p>
        </w:tc>
        <w:tc>
          <w:tcPr>
            <w:tcW w:w="220" w:type="dxa"/>
            <w:vAlign w:val="bottom"/>
            <w:tcBorders>
              <w:right w:val="single" w:sz="8" w:color="CCEEFF"/>
            </w:tcBorders>
            <w:shd w:val="clear" w:color="auto" w:fill="CCEEFF"/>
          </w:tcPr>
          <w:p>
            <w:pPr>
              <w:jc w:val="right"/>
              <w:ind w:right="28"/>
              <w:spacing w:after="0" w:line="142" w:lineRule="exact"/>
              <w:rPr>
                <w:sz w:val="20"/>
                <w:szCs w:val="20"/>
                <w:color w:val="auto"/>
              </w:rPr>
            </w:pPr>
            <w:r>
              <w:rPr>
                <w:rFonts w:ascii="Arial" w:cs="Arial" w:eastAsia="Arial" w:hAnsi="Arial"/>
                <w:sz w:val="14"/>
                <w:szCs w:val="14"/>
                <w:color w:val="auto"/>
                <w:w w:val="79"/>
              </w:rPr>
              <w:t>%</w:t>
            </w:r>
          </w:p>
        </w:tc>
        <w:tc>
          <w:tcPr>
            <w:tcW w:w="100" w:type="dxa"/>
            <w:vAlign w:val="bottom"/>
            <w:shd w:val="clear" w:color="auto" w:fill="CCEEFF"/>
          </w:tcPr>
          <w:p>
            <w:pPr>
              <w:jc w:val="right"/>
              <w:spacing w:after="0" w:line="129" w:lineRule="exact"/>
              <w:rPr>
                <w:sz w:val="20"/>
                <w:szCs w:val="20"/>
                <w:color w:val="auto"/>
              </w:rPr>
            </w:pPr>
            <w:r>
              <w:rPr>
                <w:rFonts w:ascii="Arial" w:cs="Arial" w:eastAsia="Arial" w:hAnsi="Arial"/>
                <w:sz w:val="14"/>
                <w:szCs w:val="14"/>
                <w:color w:val="auto"/>
                <w:w w:val="76"/>
              </w:rPr>
              <w:t>$</w:t>
            </w:r>
          </w:p>
        </w:tc>
        <w:tc>
          <w:tcPr>
            <w:tcW w:w="700" w:type="dxa"/>
            <w:vAlign w:val="bottom"/>
            <w:shd w:val="clear" w:color="auto" w:fill="CCEEFF"/>
          </w:tcPr>
          <w:p>
            <w:pPr>
              <w:jc w:val="right"/>
              <w:ind w:right="148"/>
              <w:spacing w:after="0" w:line="129" w:lineRule="exact"/>
              <w:rPr>
                <w:sz w:val="20"/>
                <w:szCs w:val="20"/>
                <w:color w:val="auto"/>
              </w:rPr>
            </w:pPr>
            <w:r>
              <w:rPr>
                <w:rFonts w:ascii="Arial" w:cs="Arial" w:eastAsia="Arial" w:hAnsi="Arial"/>
                <w:sz w:val="14"/>
                <w:szCs w:val="14"/>
                <w:color w:val="auto"/>
              </w:rPr>
              <w:t>10,672</w:t>
            </w:r>
          </w:p>
        </w:tc>
        <w:tc>
          <w:tcPr>
            <w:tcW w:w="560" w:type="dxa"/>
            <w:vAlign w:val="bottom"/>
            <w:shd w:val="clear" w:color="auto" w:fill="CCEEFF"/>
          </w:tcPr>
          <w:p>
            <w:pPr>
              <w:jc w:val="right"/>
              <w:spacing w:after="0" w:line="129" w:lineRule="exact"/>
              <w:rPr>
                <w:sz w:val="20"/>
                <w:szCs w:val="20"/>
                <w:color w:val="auto"/>
              </w:rPr>
            </w:pPr>
            <w:r>
              <w:rPr>
                <w:rFonts w:ascii="Arial" w:cs="Arial" w:eastAsia="Arial" w:hAnsi="Arial"/>
                <w:sz w:val="14"/>
                <w:szCs w:val="14"/>
                <w:color w:val="auto"/>
              </w:rPr>
              <w:t>9.0</w:t>
            </w:r>
          </w:p>
        </w:tc>
        <w:tc>
          <w:tcPr>
            <w:tcW w:w="220" w:type="dxa"/>
            <w:vAlign w:val="bottom"/>
            <w:shd w:val="clear" w:color="auto" w:fill="CCEEFF"/>
          </w:tcPr>
          <w:p>
            <w:pPr>
              <w:jc w:val="right"/>
              <w:ind w:right="28"/>
              <w:spacing w:after="0" w:line="142" w:lineRule="exact"/>
              <w:rPr>
                <w:sz w:val="20"/>
                <w:szCs w:val="20"/>
                <w:color w:val="auto"/>
              </w:rPr>
            </w:pPr>
            <w:r>
              <w:rPr>
                <w:rFonts w:ascii="Arial" w:cs="Arial" w:eastAsia="Arial" w:hAnsi="Arial"/>
                <w:sz w:val="14"/>
                <w:szCs w:val="14"/>
                <w:color w:val="auto"/>
                <w:w w:val="79"/>
              </w:rPr>
              <w:t>%</w:t>
            </w:r>
          </w:p>
        </w:tc>
        <w:tc>
          <w:tcPr>
            <w:tcW w:w="720" w:type="dxa"/>
            <w:vAlign w:val="bottom"/>
            <w:shd w:val="clear" w:color="auto" w:fill="CCEEFF"/>
          </w:tcPr>
          <w:p>
            <w:pPr>
              <w:jc w:val="right"/>
              <w:ind w:right="48"/>
              <w:spacing w:after="0" w:line="129" w:lineRule="exact"/>
              <w:rPr>
                <w:sz w:val="20"/>
                <w:szCs w:val="20"/>
                <w:color w:val="auto"/>
              </w:rPr>
            </w:pPr>
            <w:r>
              <w:rPr>
                <w:rFonts w:ascii="Arial" w:cs="Arial" w:eastAsia="Arial" w:hAnsi="Arial"/>
                <w:sz w:val="14"/>
                <w:szCs w:val="14"/>
                <w:color w:val="auto"/>
                <w:w w:val="90"/>
              </w:rPr>
              <w:t>$ (14,476)</w:t>
            </w:r>
          </w:p>
        </w:tc>
        <w:tc>
          <w:tcPr>
            <w:tcW w:w="600" w:type="dxa"/>
            <w:vAlign w:val="bottom"/>
            <w:shd w:val="clear" w:color="auto" w:fill="CCEEFF"/>
          </w:tcPr>
          <w:p>
            <w:pPr>
              <w:jc w:val="right"/>
              <w:spacing w:after="0" w:line="129" w:lineRule="exact"/>
              <w:rPr>
                <w:sz w:val="20"/>
                <w:szCs w:val="20"/>
                <w:color w:val="auto"/>
              </w:rPr>
            </w:pPr>
            <w:r>
              <w:rPr>
                <w:rFonts w:ascii="Arial" w:cs="Arial" w:eastAsia="Arial" w:hAnsi="Arial"/>
                <w:sz w:val="14"/>
                <w:szCs w:val="14"/>
                <w:color w:val="auto"/>
              </w:rPr>
              <w:t>-135.6</w:t>
            </w:r>
          </w:p>
        </w:tc>
        <w:tc>
          <w:tcPr>
            <w:tcW w:w="240" w:type="dxa"/>
            <w:vAlign w:val="bottom"/>
            <w:tcBorders>
              <w:right w:val="single" w:sz="8" w:color="CCEEFF"/>
            </w:tcBorders>
            <w:shd w:val="clear" w:color="auto" w:fill="CCEEFF"/>
          </w:tcPr>
          <w:p>
            <w:pPr>
              <w:jc w:val="right"/>
              <w:ind w:right="48"/>
              <w:spacing w:after="0" w:line="142" w:lineRule="exact"/>
              <w:rPr>
                <w:sz w:val="20"/>
                <w:szCs w:val="20"/>
                <w:color w:val="auto"/>
              </w:rPr>
            </w:pPr>
            <w:r>
              <w:rPr>
                <w:rFonts w:ascii="Arial" w:cs="Arial" w:eastAsia="Arial" w:hAnsi="Arial"/>
                <w:sz w:val="14"/>
                <w:szCs w:val="14"/>
                <w:color w:val="auto"/>
                <w:w w:val="79"/>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shd w:val="clear" w:color="auto" w:fill="CCEEFF"/>
          </w:tcPr>
          <w:p>
            <w:pPr>
              <w:jc w:val="right"/>
              <w:ind w:right="68"/>
              <w:spacing w:after="0" w:line="129" w:lineRule="exact"/>
              <w:rPr>
                <w:sz w:val="20"/>
                <w:szCs w:val="20"/>
                <w:color w:val="auto"/>
              </w:rPr>
            </w:pPr>
            <w:r>
              <w:rPr>
                <w:rFonts w:ascii="Arial" w:cs="Arial" w:eastAsia="Arial" w:hAnsi="Arial"/>
                <w:sz w:val="14"/>
                <w:szCs w:val="14"/>
                <w:color w:val="auto"/>
              </w:rPr>
              <w:t>1,378</w:t>
            </w:r>
          </w:p>
        </w:tc>
        <w:tc>
          <w:tcPr>
            <w:tcW w:w="740" w:type="dxa"/>
            <w:vAlign w:val="bottom"/>
            <w:gridSpan w:val="2"/>
            <w:shd w:val="clear" w:color="auto" w:fill="CCEEFF"/>
          </w:tcPr>
          <w:p>
            <w:pPr>
              <w:jc w:val="right"/>
              <w:spacing w:after="0" w:line="129" w:lineRule="exact"/>
              <w:rPr>
                <w:sz w:val="20"/>
                <w:szCs w:val="20"/>
                <w:color w:val="auto"/>
              </w:rPr>
            </w:pPr>
            <w:r>
              <w:rPr>
                <w:rFonts w:ascii="Arial" w:cs="Arial" w:eastAsia="Arial" w:hAnsi="Arial"/>
                <w:sz w:val="14"/>
                <w:szCs w:val="14"/>
                <w:color w:val="auto"/>
              </w:rPr>
              <w:t>0.5%</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CEEFF"/>
          </w:tcPr>
          <w:p>
            <w:pPr>
              <w:jc w:val="right"/>
              <w:ind w:right="148"/>
              <w:spacing w:after="0" w:line="129" w:lineRule="exact"/>
              <w:rPr>
                <w:sz w:val="20"/>
                <w:szCs w:val="20"/>
                <w:color w:val="auto"/>
              </w:rPr>
            </w:pPr>
            <w:r>
              <w:rPr>
                <w:rFonts w:ascii="Arial" w:cs="Arial" w:eastAsia="Arial" w:hAnsi="Arial"/>
                <w:sz w:val="14"/>
                <w:szCs w:val="14"/>
                <w:color w:val="auto"/>
              </w:rPr>
              <w:t>28,162</w:t>
            </w:r>
          </w:p>
        </w:tc>
        <w:tc>
          <w:tcPr>
            <w:tcW w:w="660" w:type="dxa"/>
            <w:vAlign w:val="bottom"/>
            <w:gridSpan w:val="2"/>
            <w:shd w:val="clear" w:color="auto" w:fill="CCEEFF"/>
          </w:tcPr>
          <w:p>
            <w:pPr>
              <w:jc w:val="right"/>
              <w:spacing w:after="0" w:line="129" w:lineRule="exact"/>
              <w:rPr>
                <w:sz w:val="20"/>
                <w:szCs w:val="20"/>
                <w:color w:val="auto"/>
              </w:rPr>
            </w:pPr>
            <w:r>
              <w:rPr>
                <w:rFonts w:ascii="Arial" w:cs="Arial" w:eastAsia="Arial" w:hAnsi="Arial"/>
                <w:sz w:val="14"/>
                <w:szCs w:val="14"/>
                <w:color w:val="auto"/>
              </w:rPr>
              <w:t>7.8%</w:t>
            </w: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48"/>
              <w:spacing w:after="0" w:line="129" w:lineRule="exact"/>
              <w:rPr>
                <w:sz w:val="20"/>
                <w:szCs w:val="20"/>
                <w:color w:val="auto"/>
              </w:rPr>
            </w:pPr>
            <w:r>
              <w:rPr>
                <w:rFonts w:ascii="Arial" w:cs="Arial" w:eastAsia="Arial" w:hAnsi="Arial"/>
                <w:sz w:val="14"/>
                <w:szCs w:val="14"/>
                <w:color w:val="auto"/>
                <w:w w:val="90"/>
              </w:rPr>
              <w:t>$ (26,784)</w:t>
            </w:r>
          </w:p>
        </w:tc>
        <w:tc>
          <w:tcPr>
            <w:tcW w:w="720" w:type="dxa"/>
            <w:vAlign w:val="bottom"/>
            <w:gridSpan w:val="2"/>
            <w:shd w:val="clear" w:color="auto" w:fill="CCEEFF"/>
          </w:tcPr>
          <w:p>
            <w:pPr>
              <w:jc w:val="right"/>
              <w:spacing w:after="0" w:line="129" w:lineRule="exact"/>
              <w:rPr>
                <w:sz w:val="20"/>
                <w:szCs w:val="20"/>
                <w:color w:val="auto"/>
              </w:rPr>
            </w:pPr>
            <w:r>
              <w:rPr>
                <w:rFonts w:ascii="Arial" w:cs="Arial" w:eastAsia="Arial" w:hAnsi="Arial"/>
                <w:sz w:val="14"/>
                <w:szCs w:val="14"/>
                <w:color w:val="auto"/>
              </w:rPr>
              <w:t>-95.1%</w:t>
            </w:r>
          </w:p>
        </w:tc>
        <w:tc>
          <w:tcPr>
            <w:tcW w:w="0" w:type="dxa"/>
            <w:vAlign w:val="bottom"/>
          </w:tcPr>
          <w:p>
            <w:pPr>
              <w:spacing w:after="0"/>
              <w:rPr>
                <w:sz w:val="1"/>
                <w:szCs w:val="1"/>
                <w:color w:val="auto"/>
              </w:rPr>
            </w:pPr>
          </w:p>
        </w:tc>
      </w:tr>
      <w:tr>
        <w:trPr>
          <w:trHeight w:val="20"/>
        </w:trPr>
        <w:tc>
          <w:tcPr>
            <w:tcW w:w="18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Analysis of Quarterly Results:</w:t>
      </w:r>
    </w:p>
    <w:p>
      <w:pPr>
        <w:spacing w:after="0" w:line="22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Total sales revenue for the three months ended August 26, 2023 decreased $30,795 or 26% from the prior year period due to a 28% decline in wholesale sales along with a 23% decrease in retail sales through the Company-owned stores, partially offset by the addition of Noa Home in 2023.</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Gross margins for the three months ended August 26, 2023 are materially unchanged from the prior year period.</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Selling, general and administrative (“SG&amp;A”) expenses as a percentage of sales for the three months ended August 26, 2023 increased 970 basis points from 2022 primarily due to the deleverage of fixed costs caused by lower sales volumes.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three months ended August 27, 2022 we recognized a gain of $4,595 from the sale of the real estate at a former retail location in Houston, Texas.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Analysis of Year-to-Date Results:</w:t>
      </w:r>
    </w:p>
    <w:p>
      <w:pPr>
        <w:spacing w:after="0" w:line="22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Total sales revenue for the nine months ended August 26, 2023 decreased $69,148 or 19% from the prior year period primarily due to a 25% decline in wholesale sales along with a 16% decrease in retail sales through the Company-owned stores partially offset by the addition of Noa Home in 2023.</w:t>
      </w:r>
    </w:p>
    <w:p>
      <w:pPr>
        <w:spacing w:after="0" w:line="146"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Gross margins for the nine months ended August 26, 2023 increased 200 basis points from 2022 primarily due to higher-margin retail sales constituting a larger share of total sales in 2023 as compared to the prior year period coupled with margin improvement in the wholesale segment.</w:t>
      </w:r>
    </w:p>
    <w:p>
      <w:pPr>
        <w:spacing w:after="0" w:line="14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SG&amp;A expenses as a percentage of sales for the nine months ended August 26, 2023 increased 830 basis points from 2022 primarily due to the deleverage of fixed costs caused by lower sales volumes.</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During the nine months ended August 26, 2023 we recognized a gain of $1,013 resulting from the write-down of our contingent consideration obligation associated with the acquisition of Noa Home. See Note 3 to the condensed consolidated financial statements. During the nine months ended August 27, 2022 we recognized a gain of $4,595 from the sale of the real estate at a former retail location in Houston, Texas.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 of 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6" w:name="page27"/>
    <w:bookmarkEnd w:id="26"/>
    <w:p>
      <w:pPr>
        <w:jc w:val="center"/>
        <w:ind w:right="20"/>
        <w:spacing w:after="0"/>
        <w:rPr>
          <w:sz w:val="20"/>
          <w:szCs w:val="20"/>
          <w:color w:val="auto"/>
        </w:rPr>
      </w:pPr>
      <w:r>
        <w:rPr>
          <w:rFonts w:ascii="Arial" w:cs="Arial" w:eastAsia="Arial" w:hAnsi="Arial"/>
          <w:sz w:val="18"/>
          <w:szCs w:val="18"/>
          <w:u w:val="single" w:color="auto"/>
          <w:color w:val="auto"/>
        </w:rPr>
        <w:t>PART I-FINANCIAL INFORMATION-CONTINUED</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8"/>
          <w:szCs w:val="18"/>
          <w:u w:val="single" w:color="auto"/>
          <w:color w:val="auto"/>
        </w:rPr>
        <w:t>BASSETT FURNITURE INDUSTRIES, INCORPORATED AND SUBSIDIARIES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u w:val="single" w:color="auto"/>
          <w:color w:val="auto"/>
        </w:rPr>
        <w:t>AUGUST 26, 2023</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u w:val="single" w:color="auto"/>
          <w:color w:val="auto"/>
        </w:rPr>
        <w:t>(Dollars in thousands except share and per share data)</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Information</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 xml:space="preserve">Beginning in fiscal 2023, we strategically aligned our business into three reportable segments as defined in ASC 280, </w:t>
      </w:r>
      <w:r>
        <w:rPr>
          <w:rFonts w:ascii="Arial" w:cs="Arial" w:eastAsia="Arial" w:hAnsi="Arial"/>
          <w:sz w:val="18"/>
          <w:szCs w:val="18"/>
          <w:i w:val="1"/>
          <w:iCs w:val="1"/>
          <w:color w:val="auto"/>
        </w:rPr>
        <w:t>Segment Reporting</w:t>
      </w:r>
      <w:r>
        <w:rPr>
          <w:rFonts w:ascii="Arial" w:cs="Arial" w:eastAsia="Arial" w:hAnsi="Arial"/>
          <w:sz w:val="18"/>
          <w:szCs w:val="18"/>
          <w:color w:val="auto"/>
        </w:rPr>
        <w:t>, and as described below:</w:t>
      </w:r>
    </w:p>
    <w:p>
      <w:pPr>
        <w:spacing w:after="0" w:line="166" w:lineRule="exact"/>
        <w:rPr>
          <w:sz w:val="20"/>
          <w:szCs w:val="20"/>
          <w:color w:val="auto"/>
        </w:rPr>
      </w:pPr>
    </w:p>
    <w:p>
      <w:pPr>
        <w:jc w:val="both"/>
        <w:ind w:left="660" w:right="20" w:hanging="328"/>
        <w:spacing w:after="0" w:line="266"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b w:val="1"/>
          <w:bCs w:val="1"/>
          <w:color w:val="auto"/>
        </w:rPr>
        <w:t xml:space="preserve">Wholesale. </w:t>
      </w:r>
      <w:r>
        <w:rPr>
          <w:rFonts w:ascii="Arial" w:cs="Arial" w:eastAsia="Arial" w:hAnsi="Arial"/>
          <w:sz w:val="18"/>
          <w:szCs w:val="18"/>
          <w:color w:val="auto"/>
        </w:rPr>
        <w:t>The wholesale home furnishings segment is involved principally in the design, manufacture, sourcing, sale and distribution of</w:t>
      </w:r>
      <w:r>
        <w:rPr>
          <w:rFonts w:ascii="Arial" w:cs="Arial" w:eastAsia="Arial" w:hAnsi="Arial"/>
          <w:sz w:val="18"/>
          <w:szCs w:val="18"/>
          <w:b w:val="1"/>
          <w:bCs w:val="1"/>
          <w:color w:val="auto"/>
        </w:rPr>
        <w:t xml:space="preserve"> </w:t>
      </w:r>
      <w:r>
        <w:rPr>
          <w:rFonts w:ascii="Arial" w:cs="Arial" w:eastAsia="Arial" w:hAnsi="Arial"/>
          <w:sz w:val="18"/>
          <w:szCs w:val="18"/>
          <w:color w:val="auto"/>
        </w:rPr>
        <w:t>furniture products to a network of Bassett stores (Company-owned and licensee-owned retail stores) and independent furniture retailers. Our wholesale segment includes our wood and upholstery operations, which includes Lane Venture.</w:t>
      </w:r>
    </w:p>
    <w:p>
      <w:pPr>
        <w:spacing w:after="0" w:line="175" w:lineRule="exact"/>
        <w:rPr>
          <w:rFonts w:ascii="Arial" w:cs="Arial" w:eastAsia="Arial" w:hAnsi="Arial"/>
          <w:sz w:val="18"/>
          <w:szCs w:val="18"/>
          <w:color w:val="auto"/>
        </w:rPr>
      </w:pPr>
    </w:p>
    <w:p>
      <w:pPr>
        <w:jc w:val="both"/>
        <w:ind w:left="660" w:hanging="328"/>
        <w:spacing w:after="0" w:line="266"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b w:val="1"/>
          <w:bCs w:val="1"/>
          <w:color w:val="auto"/>
        </w:rPr>
        <w:t xml:space="preserve">Retail </w:t>
      </w:r>
      <w:r>
        <w:rPr>
          <w:rFonts w:ascii="Arial" w:cs="Arial" w:eastAsia="Arial" w:hAnsi="Arial"/>
          <w:sz w:val="18"/>
          <w:szCs w:val="18"/>
          <w:color w:val="auto"/>
        </w:rPr>
        <w:t>–</w:t>
      </w:r>
      <w:r>
        <w:rPr>
          <w:rFonts w:ascii="Arial" w:cs="Arial" w:eastAsia="Arial" w:hAnsi="Arial"/>
          <w:sz w:val="18"/>
          <w:szCs w:val="18"/>
          <w:b w:val="1"/>
          <w:bCs w:val="1"/>
          <w:color w:val="auto"/>
        </w:rPr>
        <w:t xml:space="preserve"> Company-owned stores. </w:t>
      </w:r>
      <w:r>
        <w:rPr>
          <w:rFonts w:ascii="Arial" w:cs="Arial" w:eastAsia="Arial" w:hAnsi="Arial"/>
          <w:sz w:val="18"/>
          <w:szCs w:val="18"/>
          <w:color w:val="auto"/>
        </w:rPr>
        <w:t>Our retail segment consists of Company-owned stores and includes the revenues, expenses, assets and</w:t>
      </w:r>
      <w:r>
        <w:rPr>
          <w:rFonts w:ascii="Arial" w:cs="Arial" w:eastAsia="Arial" w:hAnsi="Arial"/>
          <w:sz w:val="18"/>
          <w:szCs w:val="18"/>
          <w:b w:val="1"/>
          <w:bCs w:val="1"/>
          <w:color w:val="auto"/>
        </w:rPr>
        <w:t xml:space="preserve"> </w:t>
      </w:r>
      <w:r>
        <w:rPr>
          <w:rFonts w:ascii="Arial" w:cs="Arial" w:eastAsia="Arial" w:hAnsi="Arial"/>
          <w:sz w:val="18"/>
          <w:szCs w:val="18"/>
          <w:color w:val="auto"/>
        </w:rPr>
        <w:t>liabilities and capital expenditures directly related to these stores and the Company-owned distribution network utilized to deliver products to our retail customers.</w:t>
      </w:r>
    </w:p>
    <w:p>
      <w:pPr>
        <w:spacing w:after="0" w:line="175" w:lineRule="exact"/>
        <w:rPr>
          <w:rFonts w:ascii="Arial" w:cs="Arial" w:eastAsia="Arial" w:hAnsi="Arial"/>
          <w:sz w:val="18"/>
          <w:szCs w:val="18"/>
          <w:color w:val="auto"/>
        </w:rPr>
      </w:pPr>
    </w:p>
    <w:p>
      <w:pPr>
        <w:jc w:val="both"/>
        <w:ind w:left="660" w:hanging="328"/>
        <w:spacing w:after="0" w:line="261"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b w:val="1"/>
          <w:bCs w:val="1"/>
          <w:color w:val="auto"/>
        </w:rPr>
        <w:t xml:space="preserve">Corporate and other </w:t>
      </w:r>
      <w:r>
        <w:rPr>
          <w:rFonts w:ascii="Arial" w:cs="Arial" w:eastAsia="Arial" w:hAnsi="Arial"/>
          <w:sz w:val="18"/>
          <w:szCs w:val="18"/>
          <w:color w:val="auto"/>
        </w:rPr>
        <w:t>– Corporate and other includes the shared costs of corporate functions such as treasury and finance, information technology,</w:t>
      </w:r>
      <w:r>
        <w:rPr>
          <w:rFonts w:ascii="Arial" w:cs="Arial" w:eastAsia="Arial" w:hAnsi="Arial"/>
          <w:sz w:val="18"/>
          <w:szCs w:val="18"/>
          <w:b w:val="1"/>
          <w:bCs w:val="1"/>
          <w:color w:val="auto"/>
        </w:rPr>
        <w:t xml:space="preserve"> </w:t>
      </w:r>
      <w:r>
        <w:rPr>
          <w:rFonts w:ascii="Arial" w:cs="Arial" w:eastAsia="Arial" w:hAnsi="Arial"/>
          <w:sz w:val="18"/>
          <w:szCs w:val="18"/>
          <w:color w:val="auto"/>
        </w:rPr>
        <w:t>accounting, human resources, legal and others, including certain product development and marketing functions benefitting both wholesale and retail operations. We consider our corporate functions to be other business activities and have aggregated them with our other insignificant operating segment, the recently acquired Noa Home.</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Inter-company net sales elimination represents the elimination of wholesale sales to our Company-owned stores. Inter-company income elimination includes the embedded wholesale profit in the Company-owned store inventory that has not been realized. These profits will be recorded when merchandise is delivered to the retail consumer. The inter-company income elimination also includes rent paid by our retail stores occupying Company-owned real estate.</w:t>
      </w:r>
    </w:p>
    <w:p>
      <w:pPr>
        <w:spacing w:after="0" w:line="187"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Prior to the beginning of fiscal 2023, the functions included in Corporate and other were included in our wholesale reportable segment, and Noa Home was included in our retail reportable segment for the fourth quarter of fiscal 2022 following its acquisition on September 2, 2022. We believe that the new alignment of our reporting segments provides our chief operating decision maker with clearer information with which to assess the operating results of our wholesale segment. Noa Home does not meet the requirements to be a separate reportable segment. The segment information presented below for the three and nine months ended August 27, 2022 has been restated to reflect the new alignment of our reportable segments.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Our former logistical services segment which represented the operations of Zenith is now presented as a discontinued operation.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Reconciliation of Segment Results to Consolidated Results of Operations</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To supplement the financial measures prepared in accordance with GAAP, we present gross profit by segment inclusive of the effects of intercompany sales by our wholesale segment to our retail segment. Because these intercompany transactions are not eliminated from our segment presentations and because we do not present gross profit as a measure of segment profitability in the accompanying condensed consolidated financial statements, the presentation of gross profit by segment is considered to be a non-GAAP financial measure. In addition, certain special gains or charges are included in consolidated income from operations are not included in the measures of segment profitability. The reconciliation of this non-GAAP financial measure to the most directly comparable financial measure calculated and presented in accordance with GAAP is presented below along with the effects of various other intercompany eliminations on our consolidated results of operations.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 of 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7" w:name="page28"/>
    <w:bookmarkEnd w:id="27"/>
    <w:p>
      <w:pPr>
        <w:jc w:val="center"/>
        <w:spacing w:after="0"/>
        <w:rPr>
          <w:sz w:val="20"/>
          <w:szCs w:val="20"/>
          <w:color w:val="auto"/>
        </w:rPr>
      </w:pPr>
      <w:r>
        <w:rPr>
          <w:rFonts w:ascii="Arial" w:cs="Arial" w:eastAsia="Arial" w:hAnsi="Arial"/>
          <w:sz w:val="18"/>
          <w:szCs w:val="18"/>
          <w:u w:val="single" w:color="auto"/>
          <w:color w:val="auto"/>
        </w:rPr>
        <w:t>PART I-FINANCIAL INFORMATION-CONTINUED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7"/>
          <w:szCs w:val="17"/>
          <w:u w:val="single" w:color="auto"/>
          <w:color w:val="auto"/>
        </w:rPr>
        <w:t>BASSETT FURNITURE INDUSTRIES, INCORPORATED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AUGUST 26, 2023</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(Dollars in thousands except share and per share data)</w:t>
      </w:r>
    </w:p>
    <w:p>
      <w:pPr>
        <w:sectPr>
          <w:pgSz w:w="11900" w:h="16838" w:orient="portrait"/>
          <w:cols w:equalWidth="0" w:num="1">
            <w:col w:w="11240"/>
          </w:cols>
          <w:pgMar w:left="320" w:top="125" w:right="3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color w:val="auto"/>
        </w:rPr>
        <w:t>Net sales of furniture and accessories</w:t>
      </w:r>
    </w:p>
    <w:p>
      <w:pPr>
        <w:spacing w:after="0" w:line="262" w:lineRule="exact"/>
        <w:rPr>
          <w:sz w:val="20"/>
          <w:szCs w:val="20"/>
          <w:color w:val="auto"/>
        </w:rPr>
      </w:pPr>
    </w:p>
    <w:p>
      <w:pPr>
        <w:ind w:left="180" w:hanging="161"/>
        <w:spacing w:after="0" w:line="277" w:lineRule="auto"/>
        <w:rPr>
          <w:sz w:val="20"/>
          <w:szCs w:val="20"/>
          <w:color w:val="auto"/>
        </w:rPr>
      </w:pPr>
      <w:r>
        <w:rPr>
          <w:rFonts w:ascii="Arial" w:cs="Arial" w:eastAsia="Arial" w:hAnsi="Arial"/>
          <w:sz w:val="18"/>
          <w:szCs w:val="18"/>
          <w:color w:val="auto"/>
        </w:rPr>
        <w:t>Cost of furniture and accessories sold Gross profit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SG&amp;A expense</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Income (loss) from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6"/>
          <w:szCs w:val="16"/>
          <w:color w:val="auto"/>
        </w:rPr>
        <w:t>Net sales of furniture and accessories</w:t>
      </w:r>
    </w:p>
    <w:p>
      <w:pPr>
        <w:spacing w:after="0" w:line="262" w:lineRule="exact"/>
        <w:rPr>
          <w:sz w:val="20"/>
          <w:szCs w:val="20"/>
          <w:color w:val="auto"/>
        </w:rPr>
      </w:pPr>
    </w:p>
    <w:p>
      <w:pPr>
        <w:ind w:left="180" w:hanging="161"/>
        <w:spacing w:after="0" w:line="277" w:lineRule="auto"/>
        <w:rPr>
          <w:sz w:val="20"/>
          <w:szCs w:val="20"/>
          <w:color w:val="auto"/>
        </w:rPr>
      </w:pPr>
      <w:r>
        <w:rPr>
          <w:rFonts w:ascii="Arial" w:cs="Arial" w:eastAsia="Arial" w:hAnsi="Arial"/>
          <w:sz w:val="18"/>
          <w:szCs w:val="18"/>
          <w:color w:val="auto"/>
        </w:rPr>
        <w:t>Cost of furniture and accessories sold Gross profit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SG&amp;A expense</w:t>
      </w:r>
    </w:p>
    <w:p>
      <w:pPr>
        <w:spacing w:after="0" w:line="239" w:lineRule="exact"/>
        <w:rPr>
          <w:sz w:val="20"/>
          <w:szCs w:val="20"/>
          <w:color w:val="auto"/>
        </w:rPr>
      </w:pPr>
    </w:p>
    <w:p>
      <w:pPr>
        <w:ind w:right="840"/>
        <w:spacing w:after="0" w:line="395" w:lineRule="auto"/>
        <w:rPr>
          <w:sz w:val="20"/>
          <w:szCs w:val="20"/>
          <w:color w:val="auto"/>
        </w:rPr>
      </w:pPr>
      <w:r>
        <w:rPr>
          <w:rFonts w:ascii="Arial" w:cs="Arial" w:eastAsia="Arial" w:hAnsi="Arial"/>
          <w:sz w:val="16"/>
          <w:szCs w:val="16"/>
          <w:color w:val="auto"/>
        </w:rPr>
        <w:t>Gain on sale of real estate Income from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color w:val="auto"/>
        </w:rPr>
        <w:t>Net sales of furniture and accessories</w:t>
      </w:r>
    </w:p>
    <w:p>
      <w:pPr>
        <w:spacing w:after="0" w:line="262" w:lineRule="exact"/>
        <w:rPr>
          <w:sz w:val="20"/>
          <w:szCs w:val="20"/>
          <w:color w:val="auto"/>
        </w:rPr>
      </w:pPr>
    </w:p>
    <w:p>
      <w:pPr>
        <w:spacing w:after="0"/>
        <w:rPr>
          <w:sz w:val="20"/>
          <w:szCs w:val="20"/>
          <w:color w:val="auto"/>
        </w:rPr>
      </w:pPr>
      <w:r>
        <w:rPr>
          <w:rFonts w:ascii="Arial" w:cs="Arial" w:eastAsia="Arial" w:hAnsi="Arial"/>
          <w:sz w:val="16"/>
          <w:szCs w:val="16"/>
          <w:color w:val="auto"/>
        </w:rPr>
        <w:t>Cost of furniture and accessories sold</w:t>
      </w:r>
    </w:p>
    <w:p>
      <w:pPr>
        <w:spacing w:after="0" w:line="248" w:lineRule="exact"/>
        <w:rPr>
          <w:sz w:val="20"/>
          <w:szCs w:val="20"/>
          <w:color w:val="auto"/>
        </w:rPr>
      </w:pPr>
    </w:p>
    <w:p>
      <w:pPr>
        <w:ind w:left="180"/>
        <w:spacing w:after="0"/>
        <w:rPr>
          <w:sz w:val="20"/>
          <w:szCs w:val="20"/>
          <w:color w:val="auto"/>
        </w:rPr>
      </w:pPr>
      <w:r>
        <w:rPr>
          <w:rFonts w:ascii="Arial" w:cs="Arial" w:eastAsia="Arial" w:hAnsi="Arial"/>
          <w:sz w:val="18"/>
          <w:szCs w:val="18"/>
          <w:color w:val="auto"/>
        </w:rPr>
        <w:t>Gross profit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SG&amp;A expense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4" w:lineRule="exact"/>
        <w:rPr>
          <w:sz w:val="20"/>
          <w:szCs w:val="20"/>
          <w:color w:val="auto"/>
        </w:rPr>
      </w:pPr>
    </w:p>
    <w:p>
      <w:pPr>
        <w:ind w:left="2840"/>
        <w:spacing w:after="0"/>
        <w:rPr>
          <w:sz w:val="20"/>
          <w:szCs w:val="20"/>
          <w:color w:val="auto"/>
        </w:rPr>
      </w:pPr>
      <w:r>
        <w:rPr>
          <w:rFonts w:ascii="Arial" w:cs="Arial" w:eastAsia="Arial" w:hAnsi="Arial"/>
          <w:sz w:val="18"/>
          <w:szCs w:val="18"/>
          <w:color w:val="auto"/>
        </w:rPr>
        <w:t>Quarter Ended August 26, 2023</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center"/>
              <w:ind w:right="10"/>
              <w:spacing w:after="0" w:line="195" w:lineRule="exact"/>
              <w:rPr>
                <w:sz w:val="20"/>
                <w:szCs w:val="20"/>
                <w:color w:val="auto"/>
              </w:rPr>
            </w:pPr>
            <w:r>
              <w:rPr>
                <w:rFonts w:ascii="Arial" w:cs="Arial" w:eastAsia="Arial" w:hAnsi="Arial"/>
                <w:sz w:val="18"/>
                <w:szCs w:val="18"/>
                <w:color w:val="auto"/>
                <w:w w:val="95"/>
              </w:rPr>
              <w:t>GAAP</w:t>
            </w:r>
          </w:p>
        </w:tc>
        <w:tc>
          <w:tcPr>
            <w:tcW w:w="60" w:type="dxa"/>
            <w:vAlign w:val="bottom"/>
            <w:gridSpan w:val="3"/>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780" w:type="dxa"/>
            <w:vAlign w:val="bottom"/>
            <w:gridSpan w:val="7"/>
          </w:tcPr>
          <w:p>
            <w:pPr>
              <w:jc w:val="right"/>
              <w:ind w:right="1100"/>
              <w:spacing w:after="0"/>
              <w:rPr>
                <w:sz w:val="20"/>
                <w:szCs w:val="20"/>
                <w:color w:val="auto"/>
              </w:rPr>
            </w:pPr>
            <w:r>
              <w:rPr>
                <w:rFonts w:ascii="Arial" w:cs="Arial" w:eastAsia="Arial" w:hAnsi="Arial"/>
                <w:sz w:val="18"/>
                <w:szCs w:val="18"/>
                <w:color w:val="auto"/>
              </w:rPr>
              <w:t>Non-GAAP Presentation</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vMerge w:val="restart"/>
          </w:tcPr>
          <w:p>
            <w:pPr>
              <w:jc w:val="right"/>
              <w:ind w:right="130"/>
              <w:spacing w:after="0"/>
              <w:rPr>
                <w:sz w:val="20"/>
                <w:szCs w:val="20"/>
                <w:color w:val="auto"/>
              </w:rPr>
            </w:pPr>
            <w:r>
              <w:rPr>
                <w:rFonts w:ascii="Arial" w:cs="Arial" w:eastAsia="Arial" w:hAnsi="Arial"/>
                <w:sz w:val="18"/>
                <w:szCs w:val="18"/>
                <w:color w:val="auto"/>
              </w:rPr>
              <w:t>Special</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gridSpan w:val="4"/>
          </w:tcPr>
          <w:p>
            <w:pPr>
              <w:jc w:val="center"/>
              <w:ind w:right="160"/>
              <w:spacing w:after="0"/>
              <w:rPr>
                <w:sz w:val="20"/>
                <w:szCs w:val="20"/>
                <w:color w:val="auto"/>
              </w:rPr>
            </w:pPr>
            <w:r>
              <w:rPr>
                <w:rFonts w:ascii="Arial" w:cs="Arial" w:eastAsia="Arial" w:hAnsi="Arial"/>
                <w:sz w:val="18"/>
                <w:szCs w:val="18"/>
                <w:color w:val="auto"/>
                <w:w w:val="87"/>
              </w:rPr>
              <w:t>Presentation</w:t>
            </w:r>
          </w:p>
        </w:tc>
        <w:tc>
          <w:tcPr>
            <w:tcW w:w="0" w:type="dxa"/>
            <w:vAlign w:val="bottom"/>
          </w:tcPr>
          <w:p>
            <w:pPr>
              <w:spacing w:after="0"/>
              <w:rPr>
                <w:sz w:val="1"/>
                <w:szCs w:val="1"/>
                <w:color w:val="auto"/>
              </w:rPr>
            </w:pPr>
          </w:p>
        </w:tc>
      </w:tr>
      <w:tr>
        <w:trPr>
          <w:trHeight w:val="195"/>
        </w:trPr>
        <w:tc>
          <w:tcPr>
            <w:tcW w:w="6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gridSpan w:val="2"/>
          </w:tcPr>
          <w:p>
            <w:pPr>
              <w:jc w:val="right"/>
              <w:ind w:right="180"/>
              <w:spacing w:after="0" w:line="195" w:lineRule="exact"/>
              <w:rPr>
                <w:sz w:val="20"/>
                <w:szCs w:val="20"/>
                <w:color w:val="auto"/>
              </w:rPr>
            </w:pPr>
            <w:r>
              <w:rPr>
                <w:rFonts w:ascii="Arial" w:cs="Arial" w:eastAsia="Arial" w:hAnsi="Arial"/>
                <w:sz w:val="18"/>
                <w:szCs w:val="18"/>
                <w:color w:val="auto"/>
                <w:w w:val="99"/>
              </w:rPr>
              <w:t>Corporate</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jc w:val="right"/>
              <w:ind w:right="170"/>
              <w:spacing w:after="0"/>
              <w:rPr>
                <w:sz w:val="20"/>
                <w:szCs w:val="20"/>
                <w:color w:val="auto"/>
              </w:rPr>
            </w:pPr>
            <w:r>
              <w:rPr>
                <w:rFonts w:ascii="Arial" w:cs="Arial" w:eastAsia="Arial" w:hAnsi="Arial"/>
                <w:sz w:val="18"/>
                <w:szCs w:val="18"/>
                <w:color w:val="auto"/>
                <w:w w:val="97"/>
              </w:rPr>
              <w:t>Wholesale</w:t>
            </w:r>
          </w:p>
        </w:tc>
        <w:tc>
          <w:tcPr>
            <w:tcW w:w="320" w:type="dxa"/>
            <w:vAlign w:val="bottom"/>
          </w:tcPr>
          <w:p>
            <w:pPr>
              <w:spacing w:after="0"/>
              <w:rPr>
                <w:sz w:val="20"/>
                <w:szCs w:val="20"/>
                <w:color w:val="auto"/>
              </w:rPr>
            </w:pPr>
          </w:p>
        </w:tc>
        <w:tc>
          <w:tcPr>
            <w:tcW w:w="1020" w:type="dxa"/>
            <w:vAlign w:val="bottom"/>
          </w:tcPr>
          <w:p>
            <w:pPr>
              <w:jc w:val="right"/>
              <w:ind w:right="330"/>
              <w:spacing w:after="0"/>
              <w:rPr>
                <w:sz w:val="20"/>
                <w:szCs w:val="20"/>
                <w:color w:val="auto"/>
              </w:rPr>
            </w:pPr>
            <w:r>
              <w:rPr>
                <w:rFonts w:ascii="Arial" w:cs="Arial" w:eastAsia="Arial" w:hAnsi="Arial"/>
                <w:sz w:val="18"/>
                <w:szCs w:val="18"/>
                <w:color w:val="auto"/>
              </w:rPr>
              <w:t>Retail</w:t>
            </w:r>
          </w:p>
        </w:tc>
        <w:tc>
          <w:tcPr>
            <w:tcW w:w="240" w:type="dxa"/>
            <w:vAlign w:val="bottom"/>
          </w:tcPr>
          <w:p>
            <w:pPr>
              <w:spacing w:after="0"/>
              <w:rPr>
                <w:sz w:val="20"/>
                <w:szCs w:val="20"/>
                <w:color w:val="auto"/>
              </w:rPr>
            </w:pPr>
          </w:p>
        </w:tc>
        <w:tc>
          <w:tcPr>
            <w:tcW w:w="1100" w:type="dxa"/>
            <w:vAlign w:val="bottom"/>
            <w:gridSpan w:val="3"/>
          </w:tcPr>
          <w:p>
            <w:pPr>
              <w:jc w:val="right"/>
              <w:ind w:right="340"/>
              <w:spacing w:after="0"/>
              <w:rPr>
                <w:sz w:val="20"/>
                <w:szCs w:val="20"/>
                <w:color w:val="auto"/>
              </w:rPr>
            </w:pPr>
            <w:r>
              <w:rPr>
                <w:rFonts w:ascii="Arial" w:cs="Arial" w:eastAsia="Arial" w:hAnsi="Arial"/>
                <w:sz w:val="18"/>
                <w:szCs w:val="18"/>
                <w:color w:val="auto"/>
              </w:rPr>
              <w:t>&amp; Other</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w w:val="92"/>
              </w:rPr>
              <w:t>Eliminations</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jc w:val="right"/>
              <w:ind w:right="190"/>
              <w:spacing w:after="0"/>
              <w:rPr>
                <w:sz w:val="20"/>
                <w:szCs w:val="20"/>
                <w:color w:val="auto"/>
              </w:rPr>
            </w:pPr>
            <w:r>
              <w:rPr>
                <w:rFonts w:ascii="Arial" w:cs="Arial" w:eastAsia="Arial" w:hAnsi="Arial"/>
                <w:sz w:val="18"/>
                <w:szCs w:val="18"/>
                <w:color w:val="auto"/>
              </w:rPr>
              <w:t>Items</w:t>
            </w:r>
          </w:p>
        </w:tc>
        <w:tc>
          <w:tcPr>
            <w:tcW w:w="280" w:type="dxa"/>
            <w:vAlign w:val="bottom"/>
          </w:tcPr>
          <w:p>
            <w:pPr>
              <w:spacing w:after="0"/>
              <w:rPr>
                <w:sz w:val="20"/>
                <w:szCs w:val="20"/>
                <w:color w:val="auto"/>
              </w:rPr>
            </w:pPr>
          </w:p>
        </w:tc>
        <w:tc>
          <w:tcPr>
            <w:tcW w:w="1180" w:type="dxa"/>
            <w:vAlign w:val="bottom"/>
            <w:gridSpan w:val="5"/>
          </w:tcPr>
          <w:p>
            <w:pPr>
              <w:jc w:val="center"/>
              <w:ind w:right="60"/>
              <w:spacing w:after="0"/>
              <w:rPr>
                <w:sz w:val="20"/>
                <w:szCs w:val="20"/>
                <w:color w:val="auto"/>
              </w:rPr>
            </w:pPr>
            <w:r>
              <w:rPr>
                <w:rFonts w:ascii="Arial" w:cs="Arial" w:eastAsia="Arial" w:hAnsi="Arial"/>
                <w:sz w:val="18"/>
                <w:szCs w:val="18"/>
                <w:color w:val="auto"/>
                <w:w w:val="91"/>
              </w:rPr>
              <w:t>Consolidated</w:t>
            </w:r>
          </w:p>
        </w:tc>
        <w:tc>
          <w:tcPr>
            <w:tcW w:w="0" w:type="dxa"/>
            <w:vAlign w:val="bottom"/>
          </w:tcPr>
          <w:p>
            <w:pPr>
              <w:spacing w:after="0"/>
              <w:rPr>
                <w:sz w:val="1"/>
                <w:szCs w:val="1"/>
                <w:color w:val="auto"/>
              </w:rPr>
            </w:pPr>
          </w:p>
        </w:tc>
      </w:tr>
      <w:tr>
        <w:trPr>
          <w:trHeight w:val="411"/>
        </w:trPr>
        <w:tc>
          <w:tcPr>
            <w:tcW w:w="6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56,660</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52,264</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3"/>
          </w:tcPr>
          <w:p>
            <w:pPr>
              <w:jc w:val="right"/>
              <w:ind w:right="100"/>
              <w:spacing w:after="0"/>
              <w:rPr>
                <w:sz w:val="20"/>
                <w:szCs w:val="20"/>
                <w:color w:val="auto"/>
              </w:rPr>
            </w:pPr>
            <w:r>
              <w:rPr>
                <w:rFonts w:ascii="Arial" w:cs="Arial" w:eastAsia="Arial" w:hAnsi="Arial"/>
                <w:sz w:val="18"/>
                <w:szCs w:val="18"/>
                <w:color w:val="auto"/>
              </w:rPr>
              <w:t>1,796</w:t>
            </w:r>
          </w:p>
        </w:tc>
        <w:tc>
          <w:tcPr>
            <w:tcW w:w="12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320" w:type="dxa"/>
            <w:vAlign w:val="bottom"/>
            <w:gridSpan w:val="3"/>
          </w:tcPr>
          <w:p>
            <w:pPr>
              <w:jc w:val="right"/>
              <w:spacing w:after="0"/>
              <w:rPr>
                <w:sz w:val="20"/>
                <w:szCs w:val="20"/>
                <w:color w:val="auto"/>
              </w:rPr>
            </w:pPr>
            <w:r>
              <w:rPr>
                <w:rFonts w:ascii="Arial" w:cs="Arial" w:eastAsia="Arial" w:hAnsi="Arial"/>
                <w:sz w:val="18"/>
                <w:szCs w:val="18"/>
                <w:color w:val="auto"/>
              </w:rPr>
              <w:t>(23,503( 1)</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spacing w:after="0"/>
              <w:rPr>
                <w:sz w:val="18"/>
                <w:szCs w:val="18"/>
                <w:color w:val="auto"/>
              </w:rPr>
            </w:pP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3"/>
          </w:tcPr>
          <w:p>
            <w:pPr>
              <w:jc w:val="right"/>
              <w:ind w:right="40"/>
              <w:spacing w:after="0"/>
              <w:rPr>
                <w:sz w:val="20"/>
                <w:szCs w:val="20"/>
                <w:color w:val="auto"/>
              </w:rPr>
            </w:pPr>
            <w:r>
              <w:rPr>
                <w:rFonts w:ascii="Arial" w:cs="Arial" w:eastAsia="Arial" w:hAnsi="Arial"/>
                <w:sz w:val="18"/>
                <w:szCs w:val="18"/>
                <w:color w:val="auto"/>
              </w:rPr>
              <w:t>87,217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39,536</w:t>
            </w:r>
          </w:p>
        </w:tc>
        <w:tc>
          <w:tcPr>
            <w:tcW w:w="3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25,318</w:t>
            </w:r>
          </w:p>
        </w:tc>
        <w:tc>
          <w:tcPr>
            <w:tcW w:w="2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8"/>
                <w:szCs w:val="18"/>
                <w:color w:val="auto"/>
              </w:rPr>
              <w:t>881</w:t>
            </w: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(23,562( 2)</w:t>
            </w:r>
          </w:p>
        </w:tc>
        <w:tc>
          <w:tcPr>
            <w:tcW w:w="1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8"/>
                <w:szCs w:val="18"/>
                <w:color w:val="auto"/>
              </w:rPr>
              <w:t>42,173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17,124</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26,946</w:t>
            </w:r>
          </w:p>
        </w:tc>
        <w:tc>
          <w:tcPr>
            <w:tcW w:w="240" w:type="dxa"/>
            <w:vAlign w:val="bottom"/>
          </w:tcPr>
          <w:p>
            <w:pPr>
              <w:spacing w:after="0"/>
              <w:rPr>
                <w:sz w:val="19"/>
                <w:szCs w:val="19"/>
                <w:color w:val="auto"/>
              </w:rPr>
            </w:pPr>
          </w:p>
        </w:tc>
        <w:tc>
          <w:tcPr>
            <w:tcW w:w="1100" w:type="dxa"/>
            <w:vAlign w:val="bottom"/>
            <w:gridSpan w:val="3"/>
          </w:tcPr>
          <w:p>
            <w:pPr>
              <w:jc w:val="right"/>
              <w:ind w:right="100"/>
              <w:spacing w:after="0"/>
              <w:rPr>
                <w:sz w:val="20"/>
                <w:szCs w:val="20"/>
                <w:color w:val="auto"/>
              </w:rPr>
            </w:pPr>
            <w:r>
              <w:rPr>
                <w:rFonts w:ascii="Arial" w:cs="Arial" w:eastAsia="Arial" w:hAnsi="Arial"/>
                <w:sz w:val="18"/>
                <w:szCs w:val="18"/>
                <w:color w:val="auto"/>
              </w:rPr>
              <w:t>915</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59</w:t>
            </w:r>
          </w:p>
        </w:tc>
        <w:tc>
          <w:tcPr>
            <w:tcW w:w="180" w:type="dxa"/>
            <w:vAlign w:val="bottom"/>
            <w:vMerge w:val="restart"/>
          </w:tcPr>
          <w:p>
            <w:pP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60" w:type="dxa"/>
            <w:vAlign w:val="bottom"/>
            <w:gridSpan w:val="3"/>
          </w:tcPr>
          <w:p>
            <w:pPr>
              <w:jc w:val="right"/>
              <w:ind w:right="40"/>
              <w:spacing w:after="0"/>
              <w:rPr>
                <w:sz w:val="20"/>
                <w:szCs w:val="20"/>
                <w:color w:val="auto"/>
              </w:rPr>
            </w:pPr>
            <w:r>
              <w:rPr>
                <w:rFonts w:ascii="Arial" w:cs="Arial" w:eastAsia="Arial" w:hAnsi="Arial"/>
                <w:sz w:val="18"/>
                <w:szCs w:val="18"/>
                <w:color w:val="auto"/>
              </w:rPr>
              <w:t>45,044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7"/>
        </w:trPr>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10,784</w:t>
            </w:r>
          </w:p>
        </w:tc>
        <w:tc>
          <w:tcPr>
            <w:tcW w:w="3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29,982</w:t>
            </w:r>
          </w:p>
        </w:tc>
        <w:tc>
          <w:tcPr>
            <w:tcW w:w="2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8"/>
                <w:szCs w:val="18"/>
                <w:color w:val="auto"/>
              </w:rPr>
              <w:t>8,335</w:t>
            </w: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(253( 3)</w:t>
            </w:r>
          </w:p>
        </w:tc>
        <w:tc>
          <w:tcPr>
            <w:tcW w:w="1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8"/>
                <w:szCs w:val="18"/>
                <w:color w:val="auto"/>
              </w:rPr>
              <w:t>48,848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6,340</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(3,036)</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3"/>
          </w:tcPr>
          <w:p>
            <w:pPr>
              <w:jc w:val="right"/>
              <w:ind w:right="40"/>
              <w:spacing w:after="0"/>
              <w:rPr>
                <w:sz w:val="20"/>
                <w:szCs w:val="20"/>
                <w:color w:val="auto"/>
              </w:rPr>
            </w:pPr>
            <w:r>
              <w:rPr>
                <w:rFonts w:ascii="Arial" w:cs="Arial" w:eastAsia="Arial" w:hAnsi="Arial"/>
                <w:sz w:val="18"/>
                <w:szCs w:val="18"/>
                <w:color w:val="auto"/>
              </w:rPr>
              <w:t>(7,420)</w:t>
            </w:r>
          </w:p>
        </w:tc>
        <w:tc>
          <w:tcPr>
            <w:tcW w:w="12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312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spacing w:after="0"/>
              <w:rPr>
                <w:sz w:val="18"/>
                <w:szCs w:val="18"/>
                <w:color w:val="auto"/>
              </w:rPr>
            </w:pP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3"/>
          </w:tcPr>
          <w:p>
            <w:pPr>
              <w:jc w:val="right"/>
              <w:ind w:right="40"/>
              <w:spacing w:after="0"/>
              <w:rPr>
                <w:sz w:val="20"/>
                <w:szCs w:val="20"/>
                <w:color w:val="auto"/>
              </w:rPr>
            </w:pPr>
            <w:r>
              <w:rPr>
                <w:rFonts w:ascii="Arial" w:cs="Arial" w:eastAsia="Arial" w:hAnsi="Arial"/>
                <w:sz w:val="18"/>
                <w:szCs w:val="18"/>
                <w:color w:val="auto"/>
              </w:rPr>
              <w:t>(3,804)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gridSpan w:val="2"/>
          </w:tcPr>
          <w:p>
            <w:pPr>
              <w:spacing w:after="0" w:line="20" w:lineRule="exact"/>
              <w:rPr>
                <w:sz w:val="1"/>
                <w:szCs w:val="1"/>
                <w:color w:val="auto"/>
              </w:rPr>
            </w:pPr>
          </w:p>
        </w:tc>
        <w:tc>
          <w:tcPr>
            <w:tcW w:w="1420" w:type="dxa"/>
            <w:vAlign w:val="bottom"/>
            <w:tcBorders>
              <w:top w:val="single" w:sz="8" w:color="auto"/>
              <w:bottom w:val="single" w:sz="8" w:color="auto"/>
            </w:tcBorders>
            <w:gridSpan w:val="5"/>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gridSpan w:val="7"/>
          </w:tcPr>
          <w:p>
            <w:pPr>
              <w:jc w:val="center"/>
              <w:ind w:left="30"/>
              <w:spacing w:after="0"/>
              <w:rPr>
                <w:sz w:val="20"/>
                <w:szCs w:val="20"/>
                <w:color w:val="auto"/>
              </w:rPr>
            </w:pPr>
            <w:r>
              <w:rPr>
                <w:rFonts w:ascii="Arial" w:cs="Arial" w:eastAsia="Arial" w:hAnsi="Arial"/>
                <w:sz w:val="18"/>
                <w:szCs w:val="18"/>
                <w:color w:val="auto"/>
                <w:w w:val="90"/>
              </w:rPr>
              <w:t>Quarter Ended August 27, 2022</w:t>
            </w: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jc w:val="center"/>
              <w:ind w:right="10"/>
              <w:spacing w:after="0" w:line="195" w:lineRule="exact"/>
              <w:rPr>
                <w:sz w:val="20"/>
                <w:szCs w:val="20"/>
                <w:color w:val="auto"/>
              </w:rPr>
            </w:pPr>
            <w:r>
              <w:rPr>
                <w:rFonts w:ascii="Arial" w:cs="Arial" w:eastAsia="Arial" w:hAnsi="Arial"/>
                <w:sz w:val="18"/>
                <w:szCs w:val="18"/>
                <w:color w:val="auto"/>
                <w:w w:val="95"/>
              </w:rPr>
              <w:t>GAAP</w:t>
            </w:r>
          </w:p>
        </w:tc>
        <w:tc>
          <w:tcPr>
            <w:tcW w:w="20" w:type="dxa"/>
            <w:vAlign w:val="bottom"/>
          </w:tcPr>
          <w:p>
            <w:pPr>
              <w:spacing w:after="0"/>
              <w:rPr>
                <w:sz w:val="16"/>
                <w:szCs w:val="16"/>
                <w:color w:val="auto"/>
              </w:rPr>
            </w:pPr>
          </w:p>
        </w:tc>
        <w:tc>
          <w:tcPr>
            <w:tcW w:w="4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80" w:type="dxa"/>
            <w:vAlign w:val="bottom"/>
            <w:gridSpan w:val="4"/>
          </w:tcPr>
          <w:p>
            <w:pPr>
              <w:jc w:val="center"/>
              <w:ind w:left="670"/>
              <w:spacing w:after="0"/>
              <w:rPr>
                <w:sz w:val="20"/>
                <w:szCs w:val="20"/>
                <w:color w:val="auto"/>
              </w:rPr>
            </w:pPr>
            <w:r>
              <w:rPr>
                <w:rFonts w:ascii="Arial" w:cs="Arial" w:eastAsia="Arial" w:hAnsi="Arial"/>
                <w:sz w:val="18"/>
                <w:szCs w:val="18"/>
                <w:color w:val="auto"/>
                <w:w w:val="92"/>
              </w:rPr>
              <w:t>Non-GAAP Presentation</w:t>
            </w:r>
          </w:p>
        </w:tc>
        <w:tc>
          <w:tcPr>
            <w:tcW w:w="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vMerge w:val="restart"/>
          </w:tcPr>
          <w:p>
            <w:pPr>
              <w:jc w:val="center"/>
              <w:ind w:right="170"/>
              <w:spacing w:after="0"/>
              <w:rPr>
                <w:sz w:val="20"/>
                <w:szCs w:val="20"/>
                <w:color w:val="auto"/>
              </w:rPr>
            </w:pPr>
            <w:r>
              <w:rPr>
                <w:rFonts w:ascii="Arial" w:cs="Arial" w:eastAsia="Arial" w:hAnsi="Arial"/>
                <w:sz w:val="18"/>
                <w:szCs w:val="18"/>
                <w:color w:val="auto"/>
                <w:w w:val="88"/>
              </w:rPr>
              <w:t>Special</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gridSpan w:val="4"/>
          </w:tcPr>
          <w:p>
            <w:pPr>
              <w:jc w:val="center"/>
              <w:ind w:right="160"/>
              <w:spacing w:after="0"/>
              <w:rPr>
                <w:sz w:val="20"/>
                <w:szCs w:val="20"/>
                <w:color w:val="auto"/>
              </w:rPr>
            </w:pPr>
            <w:r>
              <w:rPr>
                <w:rFonts w:ascii="Arial" w:cs="Arial" w:eastAsia="Arial" w:hAnsi="Arial"/>
                <w:sz w:val="18"/>
                <w:szCs w:val="18"/>
                <w:color w:val="auto"/>
                <w:w w:val="87"/>
              </w:rPr>
              <w:t>Presentation</w:t>
            </w:r>
          </w:p>
        </w:tc>
        <w:tc>
          <w:tcPr>
            <w:tcW w:w="0" w:type="dxa"/>
            <w:vAlign w:val="bottom"/>
          </w:tcPr>
          <w:p>
            <w:pPr>
              <w:spacing w:after="0"/>
              <w:rPr>
                <w:sz w:val="1"/>
                <w:szCs w:val="1"/>
                <w:color w:val="auto"/>
              </w:rPr>
            </w:pPr>
          </w:p>
        </w:tc>
      </w:tr>
      <w:tr>
        <w:trPr>
          <w:trHeight w:val="195"/>
        </w:trPr>
        <w:tc>
          <w:tcPr>
            <w:tcW w:w="6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center"/>
              <w:ind w:right="110"/>
              <w:spacing w:after="0" w:line="195" w:lineRule="exact"/>
              <w:rPr>
                <w:sz w:val="20"/>
                <w:szCs w:val="20"/>
                <w:color w:val="auto"/>
              </w:rPr>
            </w:pPr>
            <w:r>
              <w:rPr>
                <w:rFonts w:ascii="Arial" w:cs="Arial" w:eastAsia="Arial" w:hAnsi="Arial"/>
                <w:sz w:val="18"/>
                <w:szCs w:val="18"/>
                <w:color w:val="auto"/>
                <w:w w:val="89"/>
              </w:rPr>
              <w:t>Corporate</w:t>
            </w:r>
          </w:p>
        </w:tc>
        <w:tc>
          <w:tcPr>
            <w:tcW w:w="180" w:type="dxa"/>
            <w:vAlign w:val="bottom"/>
            <w:gridSpan w:val="2"/>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jc w:val="right"/>
              <w:ind w:right="230"/>
              <w:spacing w:after="0"/>
              <w:rPr>
                <w:sz w:val="20"/>
                <w:szCs w:val="20"/>
                <w:color w:val="auto"/>
              </w:rPr>
            </w:pPr>
            <w:r>
              <w:rPr>
                <w:rFonts w:ascii="Arial" w:cs="Arial" w:eastAsia="Arial" w:hAnsi="Arial"/>
                <w:sz w:val="18"/>
                <w:szCs w:val="18"/>
                <w:color w:val="auto"/>
                <w:w w:val="90"/>
              </w:rPr>
              <w:t>Wholesale</w:t>
            </w:r>
          </w:p>
        </w:tc>
        <w:tc>
          <w:tcPr>
            <w:tcW w:w="320" w:type="dxa"/>
            <w:vAlign w:val="bottom"/>
          </w:tcPr>
          <w:p>
            <w:pPr>
              <w:spacing w:after="0"/>
              <w:rPr>
                <w:sz w:val="20"/>
                <w:szCs w:val="20"/>
                <w:color w:val="auto"/>
              </w:rPr>
            </w:pPr>
          </w:p>
        </w:tc>
        <w:tc>
          <w:tcPr>
            <w:tcW w:w="1020" w:type="dxa"/>
            <w:vAlign w:val="bottom"/>
          </w:tcPr>
          <w:p>
            <w:pPr>
              <w:jc w:val="center"/>
              <w:ind w:right="330"/>
              <w:spacing w:after="0"/>
              <w:rPr>
                <w:sz w:val="20"/>
                <w:szCs w:val="20"/>
                <w:color w:val="auto"/>
              </w:rPr>
            </w:pPr>
            <w:r>
              <w:rPr>
                <w:rFonts w:ascii="Arial" w:cs="Arial" w:eastAsia="Arial" w:hAnsi="Arial"/>
                <w:sz w:val="18"/>
                <w:szCs w:val="18"/>
                <w:color w:val="auto"/>
                <w:w w:val="95"/>
              </w:rPr>
              <w:t>Retail</w:t>
            </w:r>
          </w:p>
        </w:tc>
        <w:tc>
          <w:tcPr>
            <w:tcW w:w="240" w:type="dxa"/>
            <w:vAlign w:val="bottom"/>
          </w:tcPr>
          <w:p>
            <w:pPr>
              <w:spacing w:after="0"/>
              <w:rPr>
                <w:sz w:val="20"/>
                <w:szCs w:val="20"/>
                <w:color w:val="auto"/>
              </w:rPr>
            </w:pPr>
          </w:p>
        </w:tc>
        <w:tc>
          <w:tcPr>
            <w:tcW w:w="1100" w:type="dxa"/>
            <w:vAlign w:val="bottom"/>
            <w:gridSpan w:val="3"/>
          </w:tcPr>
          <w:p>
            <w:pPr>
              <w:jc w:val="center"/>
              <w:ind w:right="380"/>
              <w:spacing w:after="0"/>
              <w:rPr>
                <w:sz w:val="20"/>
                <w:szCs w:val="20"/>
                <w:color w:val="auto"/>
              </w:rPr>
            </w:pPr>
            <w:r>
              <w:rPr>
                <w:rFonts w:ascii="Arial" w:cs="Arial" w:eastAsia="Arial" w:hAnsi="Arial"/>
                <w:sz w:val="18"/>
                <w:szCs w:val="18"/>
                <w:color w:val="auto"/>
                <w:w w:val="96"/>
              </w:rPr>
              <w:t>&amp; Other</w:t>
            </w:r>
          </w:p>
        </w:tc>
        <w:tc>
          <w:tcPr>
            <w:tcW w:w="120" w:type="dxa"/>
            <w:vAlign w:val="bottom"/>
          </w:tcPr>
          <w:p>
            <w:pPr>
              <w:spacing w:after="0"/>
              <w:rPr>
                <w:sz w:val="20"/>
                <w:szCs w:val="20"/>
                <w:color w:val="auto"/>
              </w:rPr>
            </w:pPr>
          </w:p>
        </w:tc>
        <w:tc>
          <w:tcPr>
            <w:tcW w:w="1120" w:type="dxa"/>
            <w:vAlign w:val="bottom"/>
            <w:gridSpan w:val="2"/>
          </w:tcPr>
          <w:p>
            <w:pPr>
              <w:spacing w:after="0"/>
              <w:rPr>
                <w:sz w:val="20"/>
                <w:szCs w:val="20"/>
                <w:color w:val="auto"/>
              </w:rPr>
            </w:pPr>
            <w:r>
              <w:rPr>
                <w:rFonts w:ascii="Arial" w:cs="Arial" w:eastAsia="Arial" w:hAnsi="Arial"/>
                <w:sz w:val="18"/>
                <w:szCs w:val="18"/>
                <w:color w:val="auto"/>
              </w:rPr>
              <w:t>Eliminations</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jc w:val="center"/>
              <w:ind w:right="170"/>
              <w:spacing w:after="0"/>
              <w:rPr>
                <w:sz w:val="20"/>
                <w:szCs w:val="20"/>
                <w:color w:val="auto"/>
              </w:rPr>
            </w:pPr>
            <w:r>
              <w:rPr>
                <w:rFonts w:ascii="Arial" w:cs="Arial" w:eastAsia="Arial" w:hAnsi="Arial"/>
                <w:sz w:val="18"/>
                <w:szCs w:val="18"/>
                <w:color w:val="auto"/>
                <w:w w:val="90"/>
              </w:rPr>
              <w:t>Items</w:t>
            </w:r>
          </w:p>
        </w:tc>
        <w:tc>
          <w:tcPr>
            <w:tcW w:w="280" w:type="dxa"/>
            <w:vAlign w:val="bottom"/>
          </w:tcPr>
          <w:p>
            <w:pPr>
              <w:spacing w:after="0"/>
              <w:rPr>
                <w:sz w:val="20"/>
                <w:szCs w:val="20"/>
                <w:color w:val="auto"/>
              </w:rPr>
            </w:pPr>
          </w:p>
        </w:tc>
        <w:tc>
          <w:tcPr>
            <w:tcW w:w="1180" w:type="dxa"/>
            <w:vAlign w:val="bottom"/>
            <w:gridSpan w:val="5"/>
          </w:tcPr>
          <w:p>
            <w:pPr>
              <w:jc w:val="center"/>
              <w:ind w:right="60"/>
              <w:spacing w:after="0"/>
              <w:rPr>
                <w:sz w:val="20"/>
                <w:szCs w:val="20"/>
                <w:color w:val="auto"/>
              </w:rPr>
            </w:pPr>
            <w:r>
              <w:rPr>
                <w:rFonts w:ascii="Arial" w:cs="Arial" w:eastAsia="Arial" w:hAnsi="Arial"/>
                <w:sz w:val="18"/>
                <w:szCs w:val="18"/>
                <w:color w:val="auto"/>
                <w:w w:val="91"/>
              </w:rPr>
              <w:t>Consolidated</w:t>
            </w:r>
          </w:p>
        </w:tc>
        <w:tc>
          <w:tcPr>
            <w:tcW w:w="0" w:type="dxa"/>
            <w:vAlign w:val="bottom"/>
          </w:tcPr>
          <w:p>
            <w:pPr>
              <w:spacing w:after="0"/>
              <w:rPr>
                <w:sz w:val="1"/>
                <w:szCs w:val="1"/>
                <w:color w:val="auto"/>
              </w:rPr>
            </w:pPr>
          </w:p>
        </w:tc>
      </w:tr>
      <w:tr>
        <w:trPr>
          <w:trHeight w:val="411"/>
        </w:trPr>
        <w:tc>
          <w:tcPr>
            <w:tcW w:w="6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6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70"/>
              <w:spacing w:after="0"/>
              <w:rPr>
                <w:sz w:val="20"/>
                <w:szCs w:val="20"/>
                <w:color w:val="auto"/>
              </w:rPr>
            </w:pPr>
            <w:r>
              <w:rPr>
                <w:rFonts w:ascii="Arial" w:cs="Arial" w:eastAsia="Arial" w:hAnsi="Arial"/>
                <w:sz w:val="18"/>
                <w:szCs w:val="18"/>
                <w:color w:val="auto"/>
              </w:rPr>
              <w:t>78,959</w:t>
            </w:r>
          </w:p>
        </w:tc>
        <w:tc>
          <w:tcPr>
            <w:tcW w:w="3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70,886</w:t>
            </w:r>
          </w:p>
        </w:tc>
        <w:tc>
          <w:tcPr>
            <w:tcW w:w="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(31,833(</w:t>
            </w:r>
          </w:p>
        </w:tc>
        <w:tc>
          <w:tcPr>
            <w:tcW w:w="180" w:type="dxa"/>
            <w:vAlign w:val="bottom"/>
          </w:tcPr>
          <w:p>
            <w:pPr>
              <w:spacing w:after="0"/>
              <w:rPr>
                <w:sz w:val="20"/>
                <w:szCs w:val="20"/>
                <w:color w:val="auto"/>
              </w:rPr>
            </w:pPr>
            <w:r>
              <w:rPr>
                <w:rFonts w:ascii="Arial" w:cs="Arial" w:eastAsia="Arial" w:hAnsi="Arial"/>
                <w:sz w:val="18"/>
                <w:szCs w:val="18"/>
                <w:color w:val="auto"/>
                <w:w w:val="99"/>
              </w:rPr>
              <w:t>1)</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3"/>
          </w:tcPr>
          <w:p>
            <w:pPr>
              <w:jc w:val="right"/>
              <w:ind w:right="40"/>
              <w:spacing w:after="0"/>
              <w:rPr>
                <w:sz w:val="20"/>
                <w:szCs w:val="20"/>
                <w:color w:val="auto"/>
              </w:rPr>
            </w:pPr>
            <w:r>
              <w:rPr>
                <w:rFonts w:ascii="Arial" w:cs="Arial" w:eastAsia="Arial" w:hAnsi="Arial"/>
                <w:sz w:val="18"/>
                <w:szCs w:val="18"/>
                <w:color w:val="auto"/>
              </w:rPr>
              <w:t>118,012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54,446</w:t>
            </w:r>
          </w:p>
        </w:tc>
        <w:tc>
          <w:tcPr>
            <w:tcW w:w="3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34,324</w:t>
            </w:r>
          </w:p>
        </w:tc>
        <w:tc>
          <w:tcPr>
            <w:tcW w:w="2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(31,530(</w:t>
            </w: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2)</w:t>
            </w:r>
          </w:p>
        </w:tc>
        <w:tc>
          <w:tcPr>
            <w:tcW w:w="1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8"/>
                <w:szCs w:val="18"/>
                <w:color w:val="auto"/>
              </w:rPr>
              <w:t>57,240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jc w:val="right"/>
              <w:ind w:right="70"/>
              <w:spacing w:after="0" w:line="195" w:lineRule="exact"/>
              <w:rPr>
                <w:sz w:val="20"/>
                <w:szCs w:val="20"/>
                <w:color w:val="auto"/>
              </w:rPr>
            </w:pPr>
            <w:r>
              <w:rPr>
                <w:rFonts w:ascii="Arial" w:cs="Arial" w:eastAsia="Arial" w:hAnsi="Arial"/>
                <w:sz w:val="18"/>
                <w:szCs w:val="18"/>
                <w:color w:val="auto"/>
              </w:rPr>
              <w:t>24,513</w:t>
            </w:r>
          </w:p>
        </w:tc>
        <w:tc>
          <w:tcPr>
            <w:tcW w:w="320" w:type="dxa"/>
            <w:vAlign w:val="bottom"/>
          </w:tcPr>
          <w:p>
            <w:pPr>
              <w:spacing w:after="0"/>
              <w:rPr>
                <w:sz w:val="16"/>
                <w:szCs w:val="16"/>
                <w:color w:val="auto"/>
              </w:rPr>
            </w:pPr>
          </w:p>
        </w:tc>
        <w:tc>
          <w:tcPr>
            <w:tcW w:w="1020" w:type="dxa"/>
            <w:vAlign w:val="bottom"/>
          </w:tcPr>
          <w:p>
            <w:pPr>
              <w:jc w:val="right"/>
              <w:ind w:right="70"/>
              <w:spacing w:after="0" w:line="195" w:lineRule="exact"/>
              <w:rPr>
                <w:sz w:val="20"/>
                <w:szCs w:val="20"/>
                <w:color w:val="auto"/>
              </w:rPr>
            </w:pPr>
            <w:r>
              <w:rPr>
                <w:rFonts w:ascii="Arial" w:cs="Arial" w:eastAsia="Arial" w:hAnsi="Arial"/>
                <w:sz w:val="18"/>
                <w:szCs w:val="18"/>
                <w:color w:val="auto"/>
              </w:rPr>
              <w:t>36,562</w:t>
            </w:r>
          </w:p>
        </w:tc>
        <w:tc>
          <w:tcPr>
            <w:tcW w:w="240" w:type="dxa"/>
            <w:vAlign w:val="bottom"/>
          </w:tcPr>
          <w:p>
            <w:pPr>
              <w:spacing w:after="0"/>
              <w:rPr>
                <w:sz w:val="16"/>
                <w:szCs w:val="16"/>
                <w:color w:val="auto"/>
              </w:rPr>
            </w:pPr>
          </w:p>
        </w:tc>
        <w:tc>
          <w:tcPr>
            <w:tcW w:w="1000" w:type="dxa"/>
            <w:vAlign w:val="bottom"/>
            <w:gridSpan w:val="2"/>
          </w:tcPr>
          <w:p>
            <w:pPr>
              <w:jc w:val="right"/>
              <w:ind w:right="80"/>
              <w:spacing w:after="0" w:line="195"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jc w:val="right"/>
              <w:spacing w:after="0" w:line="195" w:lineRule="exact"/>
              <w:rPr>
                <w:sz w:val="20"/>
                <w:szCs w:val="20"/>
                <w:color w:val="auto"/>
              </w:rPr>
            </w:pPr>
            <w:r>
              <w:rPr>
                <w:rFonts w:ascii="Arial" w:cs="Arial" w:eastAsia="Arial" w:hAnsi="Arial"/>
                <w:sz w:val="18"/>
                <w:szCs w:val="18"/>
                <w:color w:val="auto"/>
              </w:rPr>
              <w:t>(303)</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jc w:val="right"/>
              <w:spacing w:after="0" w:line="195"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gridSpan w:val="3"/>
          </w:tcPr>
          <w:p>
            <w:pPr>
              <w:jc w:val="right"/>
              <w:ind w:right="40"/>
              <w:spacing w:after="0" w:line="195" w:lineRule="exact"/>
              <w:rPr>
                <w:sz w:val="20"/>
                <w:szCs w:val="20"/>
                <w:color w:val="auto"/>
              </w:rPr>
            </w:pPr>
            <w:r>
              <w:rPr>
                <w:rFonts w:ascii="Arial" w:cs="Arial" w:eastAsia="Arial" w:hAnsi="Arial"/>
                <w:sz w:val="18"/>
                <w:szCs w:val="18"/>
                <w:color w:val="auto"/>
              </w:rPr>
              <w:t>60,772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jc w:val="right"/>
              <w:ind w:right="70"/>
              <w:spacing w:after="0"/>
              <w:rPr>
                <w:sz w:val="20"/>
                <w:szCs w:val="20"/>
                <w:color w:val="auto"/>
              </w:rPr>
            </w:pPr>
            <w:r>
              <w:rPr>
                <w:rFonts w:ascii="Arial" w:cs="Arial" w:eastAsia="Arial" w:hAnsi="Arial"/>
                <w:sz w:val="18"/>
                <w:szCs w:val="18"/>
                <w:color w:val="auto"/>
              </w:rPr>
              <w:t>14,524</w:t>
            </w:r>
          </w:p>
        </w:tc>
        <w:tc>
          <w:tcPr>
            <w:tcW w:w="320" w:type="dxa"/>
            <w:vAlign w:val="bottom"/>
          </w:tcPr>
          <w:p>
            <w:pPr>
              <w:spacing w:after="0"/>
              <w:rPr>
                <w:sz w:val="20"/>
                <w:szCs w:val="20"/>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32,673</w:t>
            </w:r>
          </w:p>
        </w:tc>
        <w:tc>
          <w:tcPr>
            <w:tcW w:w="240" w:type="dxa"/>
            <w:vAlign w:val="bottom"/>
          </w:tcPr>
          <w:p>
            <w:pPr>
              <w:spacing w:after="0"/>
              <w:rPr>
                <w:sz w:val="20"/>
                <w:szCs w:val="20"/>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7,839</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(341(</w:t>
            </w:r>
          </w:p>
        </w:tc>
        <w:tc>
          <w:tcPr>
            <w:tcW w:w="180" w:type="dxa"/>
            <w:vAlign w:val="bottom"/>
          </w:tcPr>
          <w:p>
            <w:pPr>
              <w:spacing w:after="0"/>
              <w:rPr>
                <w:sz w:val="20"/>
                <w:szCs w:val="20"/>
                <w:color w:val="auto"/>
              </w:rPr>
            </w:pPr>
            <w:r>
              <w:rPr>
                <w:rFonts w:ascii="Arial" w:cs="Arial" w:eastAsia="Arial" w:hAnsi="Arial"/>
                <w:sz w:val="18"/>
                <w:szCs w:val="18"/>
                <w:color w:val="auto"/>
                <w:w w:val="99"/>
              </w:rPr>
              <w:t>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gridSpan w:val="3"/>
          </w:tcPr>
          <w:p>
            <w:pPr>
              <w:jc w:val="right"/>
              <w:ind w:right="40"/>
              <w:spacing w:after="0"/>
              <w:rPr>
                <w:sz w:val="20"/>
                <w:szCs w:val="20"/>
                <w:color w:val="auto"/>
              </w:rPr>
            </w:pPr>
            <w:r>
              <w:rPr>
                <w:rFonts w:ascii="Arial" w:cs="Arial" w:eastAsia="Arial" w:hAnsi="Arial"/>
                <w:sz w:val="18"/>
                <w:szCs w:val="18"/>
                <w:color w:val="auto"/>
              </w:rPr>
              <w:t>54,695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4,595</w:t>
            </w:r>
          </w:p>
        </w:tc>
        <w:tc>
          <w:tcPr>
            <w:tcW w:w="2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4,595</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16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70"/>
              <w:spacing w:after="0"/>
              <w:rPr>
                <w:sz w:val="20"/>
                <w:szCs w:val="20"/>
                <w:color w:val="auto"/>
              </w:rPr>
            </w:pPr>
            <w:r>
              <w:rPr>
                <w:rFonts w:ascii="Arial" w:cs="Arial" w:eastAsia="Arial" w:hAnsi="Arial"/>
                <w:sz w:val="18"/>
                <w:szCs w:val="18"/>
                <w:color w:val="auto"/>
              </w:rPr>
              <w:t>9,989</w:t>
            </w:r>
          </w:p>
        </w:tc>
        <w:tc>
          <w:tcPr>
            <w:tcW w:w="3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3,889</w:t>
            </w:r>
          </w:p>
        </w:tc>
        <w:tc>
          <w:tcPr>
            <w:tcW w:w="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(7,839)</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38</w:t>
            </w:r>
          </w:p>
        </w:tc>
        <w:tc>
          <w:tcPr>
            <w:tcW w:w="1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4,595</w:t>
            </w:r>
          </w:p>
        </w:tc>
        <w:tc>
          <w:tcPr>
            <w:tcW w:w="2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10,672</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760" w:type="dxa"/>
            <w:vAlign w:val="bottom"/>
            <w:tcBorders>
              <w:top w:val="single" w:sz="8" w:color="auto"/>
              <w:bottom w:val="single" w:sz="8" w:color="auto"/>
            </w:tcBorders>
            <w:gridSpan w:val="8"/>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gridSpan w:val="8"/>
          </w:tcPr>
          <w:p>
            <w:pPr>
              <w:jc w:val="center"/>
              <w:spacing w:after="0"/>
              <w:rPr>
                <w:sz w:val="20"/>
                <w:szCs w:val="20"/>
                <w:color w:val="auto"/>
              </w:rPr>
            </w:pPr>
            <w:r>
              <w:rPr>
                <w:rFonts w:ascii="Arial" w:cs="Arial" w:eastAsia="Arial" w:hAnsi="Arial"/>
                <w:sz w:val="18"/>
                <w:szCs w:val="18"/>
                <w:color w:val="auto"/>
                <w:w w:val="91"/>
              </w:rPr>
              <w:t>Nine Months Ended August 26, 2023</w:t>
            </w: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jc w:val="center"/>
              <w:ind w:right="10"/>
              <w:spacing w:after="0" w:line="195" w:lineRule="exact"/>
              <w:rPr>
                <w:sz w:val="20"/>
                <w:szCs w:val="20"/>
                <w:color w:val="auto"/>
              </w:rPr>
            </w:pPr>
            <w:r>
              <w:rPr>
                <w:rFonts w:ascii="Arial" w:cs="Arial" w:eastAsia="Arial" w:hAnsi="Arial"/>
                <w:sz w:val="18"/>
                <w:szCs w:val="18"/>
                <w:color w:val="auto"/>
                <w:w w:val="95"/>
              </w:rPr>
              <w:t>GAAP</w:t>
            </w:r>
          </w:p>
        </w:tc>
        <w:tc>
          <w:tcPr>
            <w:tcW w:w="60" w:type="dxa"/>
            <w:vAlign w:val="bottom"/>
            <w:gridSpan w:val="3"/>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80" w:type="dxa"/>
            <w:vAlign w:val="bottom"/>
            <w:gridSpan w:val="4"/>
          </w:tcPr>
          <w:p>
            <w:pPr>
              <w:jc w:val="center"/>
              <w:ind w:left="670"/>
              <w:spacing w:after="0"/>
              <w:rPr>
                <w:sz w:val="20"/>
                <w:szCs w:val="20"/>
                <w:color w:val="auto"/>
              </w:rPr>
            </w:pPr>
            <w:r>
              <w:rPr>
                <w:rFonts w:ascii="Arial" w:cs="Arial" w:eastAsia="Arial" w:hAnsi="Arial"/>
                <w:sz w:val="18"/>
                <w:szCs w:val="18"/>
                <w:color w:val="auto"/>
                <w:w w:val="92"/>
              </w:rPr>
              <w:t>Non-GAAP Presentation</w:t>
            </w:r>
          </w:p>
        </w:tc>
        <w:tc>
          <w:tcPr>
            <w:tcW w:w="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vMerge w:val="restart"/>
          </w:tcPr>
          <w:p>
            <w:pPr>
              <w:jc w:val="center"/>
              <w:ind w:right="170"/>
              <w:spacing w:after="0"/>
              <w:rPr>
                <w:sz w:val="20"/>
                <w:szCs w:val="20"/>
                <w:color w:val="auto"/>
              </w:rPr>
            </w:pPr>
            <w:r>
              <w:rPr>
                <w:rFonts w:ascii="Arial" w:cs="Arial" w:eastAsia="Arial" w:hAnsi="Arial"/>
                <w:sz w:val="18"/>
                <w:szCs w:val="18"/>
                <w:color w:val="auto"/>
                <w:w w:val="88"/>
              </w:rPr>
              <w:t>Special</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gridSpan w:val="4"/>
          </w:tcPr>
          <w:p>
            <w:pPr>
              <w:jc w:val="center"/>
              <w:ind w:right="160"/>
              <w:spacing w:after="0"/>
              <w:rPr>
                <w:sz w:val="20"/>
                <w:szCs w:val="20"/>
                <w:color w:val="auto"/>
              </w:rPr>
            </w:pPr>
            <w:r>
              <w:rPr>
                <w:rFonts w:ascii="Arial" w:cs="Arial" w:eastAsia="Arial" w:hAnsi="Arial"/>
                <w:sz w:val="18"/>
                <w:szCs w:val="18"/>
                <w:color w:val="auto"/>
                <w:w w:val="87"/>
              </w:rPr>
              <w:t>Presentation</w:t>
            </w:r>
          </w:p>
        </w:tc>
        <w:tc>
          <w:tcPr>
            <w:tcW w:w="0" w:type="dxa"/>
            <w:vAlign w:val="bottom"/>
          </w:tcPr>
          <w:p>
            <w:pPr>
              <w:spacing w:after="0"/>
              <w:rPr>
                <w:sz w:val="1"/>
                <w:szCs w:val="1"/>
                <w:color w:val="auto"/>
              </w:rPr>
            </w:pPr>
          </w:p>
        </w:tc>
      </w:tr>
      <w:tr>
        <w:trPr>
          <w:trHeight w:val="195"/>
        </w:trPr>
        <w:tc>
          <w:tcPr>
            <w:tcW w:w="6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center"/>
              <w:ind w:right="110"/>
              <w:spacing w:after="0" w:line="195" w:lineRule="exact"/>
              <w:rPr>
                <w:sz w:val="20"/>
                <w:szCs w:val="20"/>
                <w:color w:val="auto"/>
              </w:rPr>
            </w:pPr>
            <w:r>
              <w:rPr>
                <w:rFonts w:ascii="Arial" w:cs="Arial" w:eastAsia="Arial" w:hAnsi="Arial"/>
                <w:sz w:val="18"/>
                <w:szCs w:val="18"/>
                <w:color w:val="auto"/>
                <w:w w:val="89"/>
              </w:rPr>
              <w:t>Corporate</w:t>
            </w:r>
          </w:p>
        </w:tc>
        <w:tc>
          <w:tcPr>
            <w:tcW w:w="180" w:type="dxa"/>
            <w:vAlign w:val="bottom"/>
            <w:gridSpan w:val="2"/>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jc w:val="right"/>
              <w:ind w:right="230"/>
              <w:spacing w:after="0"/>
              <w:rPr>
                <w:sz w:val="20"/>
                <w:szCs w:val="20"/>
                <w:color w:val="auto"/>
              </w:rPr>
            </w:pPr>
            <w:r>
              <w:rPr>
                <w:rFonts w:ascii="Arial" w:cs="Arial" w:eastAsia="Arial" w:hAnsi="Arial"/>
                <w:sz w:val="18"/>
                <w:szCs w:val="18"/>
                <w:color w:val="auto"/>
                <w:w w:val="90"/>
              </w:rPr>
              <w:t>Wholesale</w:t>
            </w:r>
          </w:p>
        </w:tc>
        <w:tc>
          <w:tcPr>
            <w:tcW w:w="320" w:type="dxa"/>
            <w:vAlign w:val="bottom"/>
          </w:tcPr>
          <w:p>
            <w:pPr>
              <w:spacing w:after="0"/>
              <w:rPr>
                <w:sz w:val="20"/>
                <w:szCs w:val="20"/>
                <w:color w:val="auto"/>
              </w:rPr>
            </w:pPr>
          </w:p>
        </w:tc>
        <w:tc>
          <w:tcPr>
            <w:tcW w:w="1020" w:type="dxa"/>
            <w:vAlign w:val="bottom"/>
          </w:tcPr>
          <w:p>
            <w:pPr>
              <w:jc w:val="center"/>
              <w:ind w:right="330"/>
              <w:spacing w:after="0"/>
              <w:rPr>
                <w:sz w:val="20"/>
                <w:szCs w:val="20"/>
                <w:color w:val="auto"/>
              </w:rPr>
            </w:pPr>
            <w:r>
              <w:rPr>
                <w:rFonts w:ascii="Arial" w:cs="Arial" w:eastAsia="Arial" w:hAnsi="Arial"/>
                <w:sz w:val="18"/>
                <w:szCs w:val="18"/>
                <w:color w:val="auto"/>
                <w:w w:val="95"/>
              </w:rPr>
              <w:t>Retail</w:t>
            </w:r>
          </w:p>
        </w:tc>
        <w:tc>
          <w:tcPr>
            <w:tcW w:w="240" w:type="dxa"/>
            <w:vAlign w:val="bottom"/>
          </w:tcPr>
          <w:p>
            <w:pPr>
              <w:spacing w:after="0"/>
              <w:rPr>
                <w:sz w:val="20"/>
                <w:szCs w:val="20"/>
                <w:color w:val="auto"/>
              </w:rPr>
            </w:pPr>
          </w:p>
        </w:tc>
        <w:tc>
          <w:tcPr>
            <w:tcW w:w="1100" w:type="dxa"/>
            <w:vAlign w:val="bottom"/>
            <w:gridSpan w:val="3"/>
          </w:tcPr>
          <w:p>
            <w:pPr>
              <w:jc w:val="center"/>
              <w:ind w:right="380"/>
              <w:spacing w:after="0"/>
              <w:rPr>
                <w:sz w:val="20"/>
                <w:szCs w:val="20"/>
                <w:color w:val="auto"/>
              </w:rPr>
            </w:pPr>
            <w:r>
              <w:rPr>
                <w:rFonts w:ascii="Arial" w:cs="Arial" w:eastAsia="Arial" w:hAnsi="Arial"/>
                <w:sz w:val="18"/>
                <w:szCs w:val="18"/>
                <w:color w:val="auto"/>
                <w:w w:val="96"/>
              </w:rPr>
              <w:t>&amp; Other</w:t>
            </w:r>
          </w:p>
        </w:tc>
        <w:tc>
          <w:tcPr>
            <w:tcW w:w="120" w:type="dxa"/>
            <w:vAlign w:val="bottom"/>
          </w:tcPr>
          <w:p>
            <w:pPr>
              <w:spacing w:after="0"/>
              <w:rPr>
                <w:sz w:val="20"/>
                <w:szCs w:val="20"/>
                <w:color w:val="auto"/>
              </w:rPr>
            </w:pPr>
          </w:p>
        </w:tc>
        <w:tc>
          <w:tcPr>
            <w:tcW w:w="1120" w:type="dxa"/>
            <w:vAlign w:val="bottom"/>
            <w:gridSpan w:val="2"/>
          </w:tcPr>
          <w:p>
            <w:pPr>
              <w:spacing w:after="0"/>
              <w:rPr>
                <w:sz w:val="20"/>
                <w:szCs w:val="20"/>
                <w:color w:val="auto"/>
              </w:rPr>
            </w:pPr>
            <w:r>
              <w:rPr>
                <w:rFonts w:ascii="Arial" w:cs="Arial" w:eastAsia="Arial" w:hAnsi="Arial"/>
                <w:sz w:val="18"/>
                <w:szCs w:val="18"/>
                <w:color w:val="auto"/>
              </w:rPr>
              <w:t>Eliminations</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jc w:val="center"/>
              <w:ind w:right="170"/>
              <w:spacing w:after="0"/>
              <w:rPr>
                <w:sz w:val="20"/>
                <w:szCs w:val="20"/>
                <w:color w:val="auto"/>
              </w:rPr>
            </w:pPr>
            <w:r>
              <w:rPr>
                <w:rFonts w:ascii="Arial" w:cs="Arial" w:eastAsia="Arial" w:hAnsi="Arial"/>
                <w:sz w:val="18"/>
                <w:szCs w:val="18"/>
                <w:color w:val="auto"/>
                <w:w w:val="90"/>
              </w:rPr>
              <w:t>Items</w:t>
            </w:r>
          </w:p>
        </w:tc>
        <w:tc>
          <w:tcPr>
            <w:tcW w:w="280" w:type="dxa"/>
            <w:vAlign w:val="bottom"/>
          </w:tcPr>
          <w:p>
            <w:pPr>
              <w:spacing w:after="0"/>
              <w:rPr>
                <w:sz w:val="20"/>
                <w:szCs w:val="20"/>
                <w:color w:val="auto"/>
              </w:rPr>
            </w:pPr>
          </w:p>
        </w:tc>
        <w:tc>
          <w:tcPr>
            <w:tcW w:w="1180" w:type="dxa"/>
            <w:vAlign w:val="bottom"/>
            <w:gridSpan w:val="5"/>
          </w:tcPr>
          <w:p>
            <w:pPr>
              <w:jc w:val="center"/>
              <w:ind w:right="60"/>
              <w:spacing w:after="0"/>
              <w:rPr>
                <w:sz w:val="20"/>
                <w:szCs w:val="20"/>
                <w:color w:val="auto"/>
              </w:rPr>
            </w:pPr>
            <w:r>
              <w:rPr>
                <w:rFonts w:ascii="Arial" w:cs="Arial" w:eastAsia="Arial" w:hAnsi="Arial"/>
                <w:sz w:val="18"/>
                <w:szCs w:val="18"/>
                <w:color w:val="auto"/>
                <w:w w:val="91"/>
              </w:rPr>
              <w:t>Consolidated</w:t>
            </w:r>
          </w:p>
        </w:tc>
        <w:tc>
          <w:tcPr>
            <w:tcW w:w="0" w:type="dxa"/>
            <w:vAlign w:val="bottom"/>
          </w:tcPr>
          <w:p>
            <w:pPr>
              <w:spacing w:after="0"/>
              <w:rPr>
                <w:sz w:val="1"/>
                <w:szCs w:val="1"/>
                <w:color w:val="auto"/>
              </w:rPr>
            </w:pPr>
          </w:p>
        </w:tc>
      </w:tr>
      <w:tr>
        <w:trPr>
          <w:trHeight w:val="411"/>
        </w:trPr>
        <w:tc>
          <w:tcPr>
            <w:tcW w:w="6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6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70"/>
              <w:spacing w:after="0"/>
              <w:rPr>
                <w:sz w:val="20"/>
                <w:szCs w:val="20"/>
                <w:color w:val="auto"/>
              </w:rPr>
            </w:pPr>
            <w:r>
              <w:rPr>
                <w:rFonts w:ascii="Arial" w:cs="Arial" w:eastAsia="Arial" w:hAnsi="Arial"/>
                <w:sz w:val="18"/>
                <w:szCs w:val="18"/>
                <w:color w:val="auto"/>
              </w:rPr>
              <w:t>188,318</w:t>
            </w:r>
          </w:p>
        </w:tc>
        <w:tc>
          <w:tcPr>
            <w:tcW w:w="3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178,004</w:t>
            </w:r>
          </w:p>
        </w:tc>
        <w:tc>
          <w:tcPr>
            <w:tcW w:w="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7,044</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(77,932(</w:t>
            </w:r>
          </w:p>
        </w:tc>
        <w:tc>
          <w:tcPr>
            <w:tcW w:w="180" w:type="dxa"/>
            <w:vAlign w:val="bottom"/>
          </w:tcPr>
          <w:p>
            <w:pPr>
              <w:spacing w:after="0"/>
              <w:rPr>
                <w:sz w:val="20"/>
                <w:szCs w:val="20"/>
                <w:color w:val="auto"/>
              </w:rPr>
            </w:pPr>
            <w:r>
              <w:rPr>
                <w:rFonts w:ascii="Arial" w:cs="Arial" w:eastAsia="Arial" w:hAnsi="Arial"/>
                <w:sz w:val="18"/>
                <w:szCs w:val="18"/>
                <w:color w:val="auto"/>
                <w:w w:val="99"/>
              </w:rPr>
              <w:t>1)</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295,434</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130,693</w:t>
            </w:r>
          </w:p>
        </w:tc>
        <w:tc>
          <w:tcPr>
            <w:tcW w:w="3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84,550</w:t>
            </w:r>
          </w:p>
        </w:tc>
        <w:tc>
          <w:tcPr>
            <w:tcW w:w="2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3,212</w:t>
            </w: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(78,095(</w:t>
            </w: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2)</w:t>
            </w:r>
          </w:p>
        </w:tc>
        <w:tc>
          <w:tcPr>
            <w:tcW w:w="1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140,360</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1"/>
        </w:trPr>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jc w:val="right"/>
              <w:ind w:right="70"/>
              <w:spacing w:after="0"/>
              <w:rPr>
                <w:sz w:val="20"/>
                <w:szCs w:val="20"/>
                <w:color w:val="auto"/>
              </w:rPr>
            </w:pPr>
            <w:r>
              <w:rPr>
                <w:rFonts w:ascii="Arial" w:cs="Arial" w:eastAsia="Arial" w:hAnsi="Arial"/>
                <w:sz w:val="18"/>
                <w:szCs w:val="18"/>
                <w:color w:val="auto"/>
              </w:rPr>
              <w:t>57,625</w:t>
            </w:r>
          </w:p>
        </w:tc>
        <w:tc>
          <w:tcPr>
            <w:tcW w:w="320" w:type="dxa"/>
            <w:vAlign w:val="bottom"/>
          </w:tcPr>
          <w:p>
            <w:pPr>
              <w:spacing w:after="0"/>
              <w:rPr>
                <w:sz w:val="24"/>
                <w:szCs w:val="24"/>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93,454</w:t>
            </w:r>
          </w:p>
        </w:tc>
        <w:tc>
          <w:tcPr>
            <w:tcW w:w="240" w:type="dxa"/>
            <w:vAlign w:val="bottom"/>
          </w:tcPr>
          <w:p>
            <w:pPr>
              <w:spacing w:after="0"/>
              <w:rPr>
                <w:sz w:val="24"/>
                <w:szCs w:val="24"/>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3,832</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163</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155,074</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jc w:val="right"/>
              <w:ind w:right="70"/>
              <w:spacing w:after="0"/>
              <w:rPr>
                <w:sz w:val="20"/>
                <w:szCs w:val="20"/>
                <w:color w:val="auto"/>
              </w:rPr>
            </w:pPr>
            <w:r>
              <w:rPr>
                <w:rFonts w:ascii="Arial" w:cs="Arial" w:eastAsia="Arial" w:hAnsi="Arial"/>
                <w:sz w:val="18"/>
                <w:szCs w:val="18"/>
                <w:color w:val="auto"/>
              </w:rPr>
              <w:t>35,286</w:t>
            </w:r>
          </w:p>
        </w:tc>
        <w:tc>
          <w:tcPr>
            <w:tcW w:w="320" w:type="dxa"/>
            <w:vAlign w:val="bottom"/>
          </w:tcPr>
          <w:p>
            <w:pPr>
              <w:spacing w:after="0"/>
              <w:rPr>
                <w:sz w:val="19"/>
                <w:szCs w:val="19"/>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94,205</w:t>
            </w:r>
          </w:p>
        </w:tc>
        <w:tc>
          <w:tcPr>
            <w:tcW w:w="240" w:type="dxa"/>
            <w:vAlign w:val="bottom"/>
          </w:tcPr>
          <w:p>
            <w:pPr>
              <w:spacing w:after="0"/>
              <w:rPr>
                <w:sz w:val="19"/>
                <w:szCs w:val="19"/>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25,972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(754(</w:t>
            </w:r>
          </w:p>
        </w:tc>
        <w:tc>
          <w:tcPr>
            <w:tcW w:w="180" w:type="dxa"/>
            <w:vAlign w:val="bottom"/>
          </w:tcPr>
          <w:p>
            <w:pPr>
              <w:spacing w:after="0"/>
              <w:rPr>
                <w:sz w:val="20"/>
                <w:szCs w:val="20"/>
                <w:color w:val="auto"/>
              </w:rPr>
            </w:pPr>
            <w:r>
              <w:rPr>
                <w:rFonts w:ascii="Arial" w:cs="Arial" w:eastAsia="Arial" w:hAnsi="Arial"/>
                <w:sz w:val="18"/>
                <w:szCs w:val="18"/>
                <w:color w:val="auto"/>
                <w:w w:val="99"/>
              </w:rPr>
              <w:t>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154,709</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-2038985</wp:posOffset>
            </wp:positionH>
            <wp:positionV relativeFrom="paragraph">
              <wp:posOffset>-5629910</wp:posOffset>
            </wp:positionV>
            <wp:extent cx="7132320" cy="27432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274320"/>
                    </a:xfrm>
                    <a:prstGeom prst="rect">
                      <a:avLst/>
                    </a:prstGeom>
                    <a:noFill/>
                  </pic:spPr>
                </pic:pic>
              </a:graphicData>
            </a:graphic>
          </wp:anchor>
        </w:drawing>
        <w:drawing>
          <wp:anchor simplePos="0" relativeHeight="251657728" behindDoc="1" locked="0" layoutInCell="0" allowOverlap="1">
            <wp:simplePos x="0" y="0"/>
            <wp:positionH relativeFrom="column">
              <wp:posOffset>-2038985</wp:posOffset>
            </wp:positionH>
            <wp:positionV relativeFrom="paragraph">
              <wp:posOffset>-5073015</wp:posOffset>
            </wp:positionV>
            <wp:extent cx="7132320" cy="13716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-2038985</wp:posOffset>
            </wp:positionH>
            <wp:positionV relativeFrom="paragraph">
              <wp:posOffset>-4652645</wp:posOffset>
            </wp:positionV>
            <wp:extent cx="7132320" cy="16319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-2038985</wp:posOffset>
            </wp:positionH>
            <wp:positionV relativeFrom="paragraph">
              <wp:posOffset>-3503930</wp:posOffset>
            </wp:positionV>
            <wp:extent cx="7132320" cy="27432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274320"/>
                    </a:xfrm>
                    <a:prstGeom prst="rect">
                      <a:avLst/>
                    </a:prstGeom>
                    <a:noFill/>
                  </pic:spPr>
                </pic:pic>
              </a:graphicData>
            </a:graphic>
          </wp:anchor>
        </w:drawing>
        <w:drawing>
          <wp:anchor simplePos="0" relativeHeight="251657728" behindDoc="1" locked="0" layoutInCell="0" allowOverlap="1">
            <wp:simplePos x="0" y="0"/>
            <wp:positionH relativeFrom="column">
              <wp:posOffset>-2038985</wp:posOffset>
            </wp:positionH>
            <wp:positionV relativeFrom="paragraph">
              <wp:posOffset>-2947035</wp:posOffset>
            </wp:positionV>
            <wp:extent cx="7132320" cy="13716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-2038985</wp:posOffset>
            </wp:positionH>
            <wp:positionV relativeFrom="paragraph">
              <wp:posOffset>-2535555</wp:posOffset>
            </wp:positionV>
            <wp:extent cx="7132320" cy="28257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282575"/>
                    </a:xfrm>
                    <a:prstGeom prst="rect">
                      <a:avLst/>
                    </a:prstGeom>
                    <a:noFill/>
                  </pic:spPr>
                </pic:pic>
              </a:graphicData>
            </a:graphic>
          </wp:anchor>
        </w:drawing>
        <w:drawing>
          <wp:anchor simplePos="0" relativeHeight="251657728" behindDoc="1" locked="0" layoutInCell="0" allowOverlap="1">
            <wp:simplePos x="0" y="0"/>
            <wp:positionH relativeFrom="column">
              <wp:posOffset>-2038985</wp:posOffset>
            </wp:positionH>
            <wp:positionV relativeFrom="paragraph">
              <wp:posOffset>-1103630</wp:posOffset>
            </wp:positionV>
            <wp:extent cx="7132320" cy="27432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274320"/>
                    </a:xfrm>
                    <a:prstGeom prst="rect">
                      <a:avLst/>
                    </a:prstGeom>
                    <a:noFill/>
                  </pic:spPr>
                </pic:pic>
              </a:graphicData>
            </a:graphic>
          </wp:anchor>
        </w:drawing>
        <w:drawing>
          <wp:anchor simplePos="0" relativeHeight="251657728" behindDoc="1" locked="0" layoutInCell="0" allowOverlap="1">
            <wp:simplePos x="0" y="0"/>
            <wp:positionH relativeFrom="column">
              <wp:posOffset>-2038985</wp:posOffset>
            </wp:positionH>
            <wp:positionV relativeFrom="paragraph">
              <wp:posOffset>-546735</wp:posOffset>
            </wp:positionV>
            <wp:extent cx="7132320" cy="27432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spacing w:after="0" w:line="10" w:lineRule="exact"/>
        <w:rPr>
          <w:sz w:val="20"/>
          <w:szCs w:val="20"/>
          <w:color w:val="auto"/>
        </w:rPr>
      </w:pPr>
    </w:p>
    <w:p>
      <w:pPr>
        <w:sectPr>
          <w:pgSz w:w="11900" w:h="16838" w:orient="portrait"/>
          <w:cols w:equalWidth="0" w:num="2">
            <w:col w:w="2720" w:space="500"/>
            <w:col w:w="8020"/>
          </w:cols>
          <w:pgMar w:left="320" w:top="125" w:right="339" w:bottom="0" w:gutter="0" w:footer="0" w:header="0"/>
          <w:type w:val="continuous"/>
        </w:sectPr>
      </w:pPr>
    </w:p>
    <w:tbl>
      <w:tblPr>
        <w:tblLayout w:type="fixed"/>
        <w:tblInd w:w="0" w:type="dxa"/>
        <w:tblCellMar>
          <w:top w:w="0" w:type="dxa"/>
          <w:left w:w="0" w:type="dxa"/>
          <w:bottom w:w="0" w:type="dxa"/>
          <w:right w:w="0" w:type="dxa"/>
        </w:tblCellMar>
      </w:tblPr>
      <w:tr>
        <w:trPr>
          <w:trHeight w:val="207"/>
        </w:trPr>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Gain revaluation of contingent</w:t>
            </w:r>
          </w:p>
        </w:tc>
        <w:tc>
          <w:tcPr>
            <w:tcW w:w="140" w:type="dxa"/>
            <w:vAlign w:val="bottom"/>
            <w:shd w:val="clear" w:color="auto" w:fill="CCEEFF"/>
          </w:tcPr>
          <w:p>
            <w:pPr>
              <w:spacing w:after="0"/>
              <w:rPr>
                <w:sz w:val="17"/>
                <w:szCs w:val="17"/>
                <w:color w:val="auto"/>
              </w:rPr>
            </w:pPr>
          </w:p>
        </w:tc>
        <w:tc>
          <w:tcPr>
            <w:tcW w:w="108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7"/>
                <w:szCs w:val="17"/>
                <w:color w:val="auto"/>
              </w:rPr>
            </w:pPr>
          </w:p>
        </w:tc>
        <w:tc>
          <w:tcPr>
            <w:tcW w:w="102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7"/>
                <w:szCs w:val="17"/>
                <w:color w:val="auto"/>
              </w:rPr>
            </w:pPr>
          </w:p>
        </w:tc>
        <w:tc>
          <w:tcPr>
            <w:tcW w:w="11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1,013</w:t>
            </w:r>
          </w:p>
        </w:tc>
        <w:tc>
          <w:tcPr>
            <w:tcW w:w="2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(5)</w:t>
            </w:r>
          </w:p>
        </w:tc>
        <w:tc>
          <w:tcPr>
            <w:tcW w:w="100" w:type="dxa"/>
            <w:vAlign w:val="bottom"/>
            <w:shd w:val="clear" w:color="auto" w:fill="CCEEFF"/>
          </w:tcPr>
          <w:p>
            <w:pPr>
              <w:spacing w:after="0"/>
              <w:rPr>
                <w:sz w:val="17"/>
                <w:szCs w:val="17"/>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1,013</w:t>
            </w:r>
          </w:p>
        </w:tc>
        <w:tc>
          <w:tcPr>
            <w:tcW w:w="20" w:type="dxa"/>
            <w:vAlign w:val="bottom"/>
            <w:vMerge w:val="restart"/>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32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consideration</w:t>
            </w:r>
          </w:p>
        </w:tc>
        <w:tc>
          <w:tcPr>
            <w:tcW w:w="1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vMerge w:val="continue"/>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vMerge w:val="continue"/>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gridSpan w:val="2"/>
            <w:vMerge w:val="continue"/>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vMerge w:val="continue"/>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vMerge w:val="continue"/>
            <w:shd w:val="clear" w:color="auto" w:fill="CCEEFF"/>
          </w:tcPr>
          <w:p>
            <w:pPr>
              <w:spacing w:after="0"/>
              <w:rPr>
                <w:sz w:val="18"/>
                <w:szCs w:val="18"/>
                <w:color w:val="auto"/>
              </w:rPr>
            </w:pPr>
          </w:p>
        </w:tc>
        <w:tc>
          <w:tcPr>
            <w:tcW w:w="28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vMerge w:val="continue"/>
            <w:shd w:val="clear" w:color="auto" w:fill="CCEEFF"/>
          </w:tcPr>
          <w:p>
            <w:pPr>
              <w:spacing w:after="0"/>
              <w:rPr>
                <w:sz w:val="18"/>
                <w:szCs w:val="18"/>
                <w:color w:val="auto"/>
              </w:rPr>
            </w:pPr>
          </w:p>
        </w:tc>
        <w:tc>
          <w:tcPr>
            <w:tcW w:w="20" w:type="dxa"/>
            <w:vAlign w:val="bottom"/>
            <w:tcBorders>
              <w:bottom w:val="single" w:sz="8" w:color="CCEEFF"/>
            </w:tcBorders>
            <w:vMerge w:val="continue"/>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220" w:type="dxa"/>
            <w:vAlign w:val="bottom"/>
          </w:tcPr>
          <w:p>
            <w:pPr>
              <w:spacing w:after="0"/>
              <w:rPr>
                <w:sz w:val="20"/>
                <w:szCs w:val="20"/>
                <w:color w:val="auto"/>
              </w:rPr>
            </w:pPr>
            <w:r>
              <w:rPr>
                <w:rFonts w:ascii="Arial" w:cs="Arial" w:eastAsia="Arial" w:hAnsi="Arial"/>
                <w:sz w:val="18"/>
                <w:szCs w:val="18"/>
                <w:color w:val="auto"/>
              </w:rPr>
              <w:t>Income from operations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22,339</w:t>
            </w:r>
          </w:p>
        </w:tc>
        <w:tc>
          <w:tcPr>
            <w:tcW w:w="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(751)</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(22,140)</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917</w:t>
            </w:r>
          </w:p>
        </w:tc>
        <w:tc>
          <w:tcPr>
            <w:tcW w:w="200" w:type="dxa"/>
            <w:vAlign w:val="bottom"/>
          </w:tcPr>
          <w:p>
            <w:pPr>
              <w:spacing w:after="0"/>
              <w:rPr>
                <w:sz w:val="18"/>
                <w:szCs w:val="18"/>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1,013</w:t>
            </w:r>
          </w:p>
        </w:tc>
        <w:tc>
          <w:tcPr>
            <w:tcW w:w="2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1,378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gridSpan w:val="2"/>
          </w:tcPr>
          <w:p>
            <w:pPr>
              <w:spacing w:after="0" w:line="20" w:lineRule="exact"/>
              <w:rPr>
                <w:sz w:val="1"/>
                <w:szCs w:val="1"/>
                <w:color w:val="auto"/>
              </w:rPr>
            </w:pPr>
          </w:p>
        </w:tc>
        <w:tc>
          <w:tcPr>
            <w:tcW w:w="1600" w:type="dxa"/>
            <w:vAlign w:val="bottom"/>
            <w:tcBorders>
              <w:top w:val="single" w:sz="8" w:color="auto"/>
              <w:bottom w:val="single" w:sz="8" w:color="auto"/>
            </w:tcBorders>
            <w:gridSpan w:val="4"/>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32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gridSpan w:val="6"/>
          </w:tcPr>
          <w:p>
            <w:pPr>
              <w:jc w:val="right"/>
              <w:spacing w:after="0"/>
              <w:rPr>
                <w:sz w:val="20"/>
                <w:szCs w:val="20"/>
                <w:color w:val="auto"/>
              </w:rPr>
            </w:pPr>
            <w:r>
              <w:rPr>
                <w:rFonts w:ascii="Arial" w:cs="Arial" w:eastAsia="Arial" w:hAnsi="Arial"/>
                <w:sz w:val="18"/>
                <w:szCs w:val="18"/>
                <w:color w:val="auto"/>
                <w:w w:val="92"/>
              </w:rPr>
              <w:t>Nine Months Ended August 27, 2022</w:t>
            </w:r>
          </w:p>
        </w:tc>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3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jc w:val="center"/>
              <w:ind w:right="10"/>
              <w:spacing w:after="0" w:line="195" w:lineRule="exact"/>
              <w:rPr>
                <w:sz w:val="20"/>
                <w:szCs w:val="20"/>
                <w:color w:val="auto"/>
              </w:rPr>
            </w:pPr>
            <w:r>
              <w:rPr>
                <w:rFonts w:ascii="Arial" w:cs="Arial" w:eastAsia="Arial" w:hAnsi="Arial"/>
                <w:sz w:val="18"/>
                <w:szCs w:val="18"/>
                <w:color w:val="auto"/>
                <w:w w:val="95"/>
              </w:rPr>
              <w:t>GAAP</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60" w:type="dxa"/>
            <w:vAlign w:val="bottom"/>
            <w:gridSpan w:val="4"/>
          </w:tcPr>
          <w:p>
            <w:pPr>
              <w:jc w:val="right"/>
              <w:spacing w:after="0"/>
              <w:rPr>
                <w:sz w:val="20"/>
                <w:szCs w:val="20"/>
                <w:color w:val="auto"/>
              </w:rPr>
            </w:pPr>
            <w:r>
              <w:rPr>
                <w:rFonts w:ascii="Arial" w:cs="Arial" w:eastAsia="Arial" w:hAnsi="Arial"/>
                <w:sz w:val="18"/>
                <w:szCs w:val="18"/>
                <w:color w:val="auto"/>
              </w:rPr>
              <w:t>Non-GAAP Presentation</w:t>
            </w:r>
          </w:p>
        </w:tc>
        <w:tc>
          <w:tcPr>
            <w:tcW w:w="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vMerge w:val="restart"/>
          </w:tcPr>
          <w:p>
            <w:pPr>
              <w:jc w:val="right"/>
              <w:ind w:right="230"/>
              <w:spacing w:after="0"/>
              <w:rPr>
                <w:sz w:val="20"/>
                <w:szCs w:val="20"/>
                <w:color w:val="auto"/>
              </w:rPr>
            </w:pPr>
            <w:r>
              <w:rPr>
                <w:rFonts w:ascii="Arial" w:cs="Arial" w:eastAsia="Arial" w:hAnsi="Arial"/>
                <w:sz w:val="18"/>
                <w:szCs w:val="18"/>
                <w:color w:val="auto"/>
              </w:rPr>
              <w:t>Special</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3"/>
          </w:tcPr>
          <w:p>
            <w:pPr>
              <w:jc w:val="center"/>
              <w:ind w:right="200"/>
              <w:spacing w:after="0"/>
              <w:rPr>
                <w:sz w:val="20"/>
                <w:szCs w:val="20"/>
                <w:color w:val="auto"/>
              </w:rPr>
            </w:pPr>
            <w:r>
              <w:rPr>
                <w:rFonts w:ascii="Arial" w:cs="Arial" w:eastAsia="Arial" w:hAnsi="Arial"/>
                <w:sz w:val="18"/>
                <w:szCs w:val="18"/>
                <w:color w:val="auto"/>
                <w:w w:val="87"/>
              </w:rPr>
              <w:t>Presentation</w:t>
            </w:r>
          </w:p>
        </w:tc>
        <w:tc>
          <w:tcPr>
            <w:tcW w:w="0" w:type="dxa"/>
            <w:vAlign w:val="bottom"/>
          </w:tcPr>
          <w:p>
            <w:pPr>
              <w:spacing w:after="0"/>
              <w:rPr>
                <w:sz w:val="1"/>
                <w:szCs w:val="1"/>
                <w:color w:val="auto"/>
              </w:rPr>
            </w:pPr>
          </w:p>
        </w:tc>
      </w:tr>
      <w:tr>
        <w:trPr>
          <w:trHeight w:val="195"/>
        </w:trPr>
        <w:tc>
          <w:tcPr>
            <w:tcW w:w="32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jc w:val="right"/>
              <w:ind w:right="110"/>
              <w:spacing w:after="0" w:line="195" w:lineRule="exact"/>
              <w:rPr>
                <w:sz w:val="20"/>
                <w:szCs w:val="20"/>
                <w:color w:val="auto"/>
              </w:rPr>
            </w:pPr>
            <w:r>
              <w:rPr>
                <w:rFonts w:ascii="Arial" w:cs="Arial" w:eastAsia="Arial" w:hAnsi="Arial"/>
                <w:sz w:val="18"/>
                <w:szCs w:val="18"/>
                <w:color w:val="auto"/>
                <w:w w:val="92"/>
              </w:rPr>
              <w:t>Corporate</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jc w:val="right"/>
              <w:ind w:right="190"/>
              <w:spacing w:after="0"/>
              <w:rPr>
                <w:sz w:val="20"/>
                <w:szCs w:val="20"/>
                <w:color w:val="auto"/>
              </w:rPr>
            </w:pPr>
            <w:r>
              <w:rPr>
                <w:rFonts w:ascii="Arial" w:cs="Arial" w:eastAsia="Arial" w:hAnsi="Arial"/>
                <w:sz w:val="18"/>
                <w:szCs w:val="18"/>
                <w:color w:val="auto"/>
                <w:w w:val="92"/>
              </w:rPr>
              <w:t>Wholesale</w:t>
            </w:r>
          </w:p>
        </w:tc>
        <w:tc>
          <w:tcPr>
            <w:tcW w:w="320" w:type="dxa"/>
            <w:vAlign w:val="bottom"/>
          </w:tcPr>
          <w:p>
            <w:pPr>
              <w:spacing w:after="0"/>
              <w:rPr>
                <w:sz w:val="20"/>
                <w:szCs w:val="20"/>
                <w:color w:val="auto"/>
              </w:rPr>
            </w:pPr>
          </w:p>
        </w:tc>
        <w:tc>
          <w:tcPr>
            <w:tcW w:w="1020" w:type="dxa"/>
            <w:vAlign w:val="bottom"/>
          </w:tcPr>
          <w:p>
            <w:pPr>
              <w:jc w:val="right"/>
              <w:ind w:right="370"/>
              <w:spacing w:after="0"/>
              <w:rPr>
                <w:sz w:val="20"/>
                <w:szCs w:val="20"/>
                <w:color w:val="auto"/>
              </w:rPr>
            </w:pPr>
            <w:r>
              <w:rPr>
                <w:rFonts w:ascii="Arial" w:cs="Arial" w:eastAsia="Arial" w:hAnsi="Arial"/>
                <w:sz w:val="18"/>
                <w:szCs w:val="18"/>
                <w:color w:val="auto"/>
              </w:rPr>
              <w:t>Retail</w:t>
            </w:r>
          </w:p>
        </w:tc>
        <w:tc>
          <w:tcPr>
            <w:tcW w:w="240" w:type="dxa"/>
            <w:vAlign w:val="bottom"/>
          </w:tcPr>
          <w:p>
            <w:pPr>
              <w:spacing w:after="0"/>
              <w:rPr>
                <w:sz w:val="20"/>
                <w:szCs w:val="20"/>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8"/>
                <w:szCs w:val="18"/>
                <w:color w:val="auto"/>
              </w:rPr>
              <w:t>&amp; Other</w:t>
            </w:r>
          </w:p>
        </w:tc>
        <w:tc>
          <w:tcPr>
            <w:tcW w:w="160" w:type="dxa"/>
            <w:vAlign w:val="bottom"/>
          </w:tcPr>
          <w:p>
            <w:pPr>
              <w:spacing w:after="0"/>
              <w:rPr>
                <w:sz w:val="20"/>
                <w:szCs w:val="20"/>
                <w:color w:val="auto"/>
              </w:rPr>
            </w:pPr>
          </w:p>
        </w:tc>
        <w:tc>
          <w:tcPr>
            <w:tcW w:w="1100" w:type="dxa"/>
            <w:vAlign w:val="bottom"/>
          </w:tcPr>
          <w:p>
            <w:pPr>
              <w:jc w:val="right"/>
              <w:ind w:right="90"/>
              <w:spacing w:after="0"/>
              <w:rPr>
                <w:sz w:val="20"/>
                <w:szCs w:val="20"/>
                <w:color w:val="auto"/>
              </w:rPr>
            </w:pPr>
            <w:r>
              <w:rPr>
                <w:rFonts w:ascii="Arial" w:cs="Arial" w:eastAsia="Arial" w:hAnsi="Arial"/>
                <w:sz w:val="18"/>
                <w:szCs w:val="18"/>
                <w:color w:val="auto"/>
                <w:w w:val="92"/>
              </w:rPr>
              <w:t>Eliminations</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jc w:val="right"/>
              <w:ind w:right="290"/>
              <w:spacing w:after="0"/>
              <w:rPr>
                <w:sz w:val="20"/>
                <w:szCs w:val="20"/>
                <w:color w:val="auto"/>
              </w:rPr>
            </w:pPr>
            <w:r>
              <w:rPr>
                <w:rFonts w:ascii="Arial" w:cs="Arial" w:eastAsia="Arial" w:hAnsi="Arial"/>
                <w:sz w:val="18"/>
                <w:szCs w:val="18"/>
                <w:color w:val="auto"/>
              </w:rPr>
              <w:t>Items</w:t>
            </w:r>
          </w:p>
        </w:tc>
        <w:tc>
          <w:tcPr>
            <w:tcW w:w="280" w:type="dxa"/>
            <w:vAlign w:val="bottom"/>
          </w:tcPr>
          <w:p>
            <w:pPr>
              <w:spacing w:after="0"/>
              <w:rPr>
                <w:sz w:val="20"/>
                <w:szCs w:val="20"/>
                <w:color w:val="auto"/>
              </w:rPr>
            </w:pPr>
          </w:p>
        </w:tc>
        <w:tc>
          <w:tcPr>
            <w:tcW w:w="1220" w:type="dxa"/>
            <w:vAlign w:val="bottom"/>
            <w:gridSpan w:val="4"/>
          </w:tcPr>
          <w:p>
            <w:pPr>
              <w:jc w:val="center"/>
              <w:ind w:right="100"/>
              <w:spacing w:after="0"/>
              <w:rPr>
                <w:sz w:val="20"/>
                <w:szCs w:val="20"/>
                <w:color w:val="auto"/>
              </w:rPr>
            </w:pPr>
            <w:r>
              <w:rPr>
                <w:rFonts w:ascii="Arial" w:cs="Arial" w:eastAsia="Arial" w:hAnsi="Arial"/>
                <w:sz w:val="18"/>
                <w:szCs w:val="18"/>
                <w:color w:val="auto"/>
                <w:w w:val="91"/>
              </w:rPr>
              <w:t>Consolidated</w:t>
            </w:r>
          </w:p>
        </w:tc>
        <w:tc>
          <w:tcPr>
            <w:tcW w:w="0" w:type="dxa"/>
            <w:vAlign w:val="bottom"/>
          </w:tcPr>
          <w:p>
            <w:pPr>
              <w:spacing w:after="0"/>
              <w:rPr>
                <w:sz w:val="1"/>
                <w:szCs w:val="1"/>
                <w:color w:val="auto"/>
              </w:rPr>
            </w:pPr>
          </w:p>
        </w:tc>
      </w:tr>
      <w:tr>
        <w:trPr>
          <w:trHeight w:val="209"/>
        </w:trPr>
        <w:tc>
          <w:tcPr>
            <w:tcW w:w="3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Net sales of furniture and accessories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249,945</w:t>
            </w:r>
          </w:p>
        </w:tc>
        <w:tc>
          <w:tcPr>
            <w:tcW w:w="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210,613</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(95,976(</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364,582</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jc w:val="right"/>
              <w:spacing w:after="0" w:line="201"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220" w:type="dxa"/>
            <w:vAlign w:val="bottom"/>
          </w:tcPr>
          <w:p>
            <w:pPr>
              <w:spacing w:after="0"/>
              <w:rPr>
                <w:sz w:val="20"/>
                <w:szCs w:val="20"/>
                <w:color w:val="auto"/>
              </w:rPr>
            </w:pPr>
            <w:r>
              <w:rPr>
                <w:rFonts w:ascii="Arial" w:cs="Arial" w:eastAsia="Arial" w:hAnsi="Arial"/>
                <w:sz w:val="18"/>
                <w:szCs w:val="18"/>
                <w:color w:val="auto"/>
              </w:rPr>
              <w:t>Cost of furniture and accessories sold</w:t>
            </w:r>
          </w:p>
        </w:tc>
        <w:tc>
          <w:tcPr>
            <w:tcW w:w="1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175,197</w:t>
            </w:r>
          </w:p>
        </w:tc>
        <w:tc>
          <w:tcPr>
            <w:tcW w:w="3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100,016</w:t>
            </w:r>
          </w:p>
        </w:tc>
        <w:tc>
          <w:tcPr>
            <w:tcW w:w="2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(94,734(</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2)</w:t>
            </w:r>
          </w:p>
        </w:tc>
        <w:tc>
          <w:tcPr>
            <w:tcW w:w="2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180,479</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32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Gross profit</w:t>
            </w: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74,748</w:t>
            </w: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110,597</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(1,242)</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184,103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jc w:val="right"/>
              <w:spacing w:after="0" w:line="201"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220" w:type="dxa"/>
            <w:vAlign w:val="bottom"/>
          </w:tcPr>
          <w:p>
            <w:pPr>
              <w:spacing w:after="0"/>
              <w:rPr>
                <w:sz w:val="20"/>
                <w:szCs w:val="20"/>
                <w:color w:val="auto"/>
              </w:rPr>
            </w:pPr>
            <w:r>
              <w:rPr>
                <w:rFonts w:ascii="Arial" w:cs="Arial" w:eastAsia="Arial" w:hAnsi="Arial"/>
                <w:sz w:val="18"/>
                <w:szCs w:val="18"/>
                <w:color w:val="auto"/>
              </w:rPr>
              <w:t>SG&amp;A expense</w:t>
            </w:r>
          </w:p>
        </w:tc>
        <w:tc>
          <w:tcPr>
            <w:tcW w:w="140" w:type="dxa"/>
            <w:vAlign w:val="bottom"/>
          </w:tcPr>
          <w:p>
            <w:pPr>
              <w:spacing w:after="0"/>
              <w:rPr>
                <w:sz w:val="20"/>
                <w:szCs w:val="20"/>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43,092</w:t>
            </w:r>
          </w:p>
        </w:tc>
        <w:tc>
          <w:tcPr>
            <w:tcW w:w="320" w:type="dxa"/>
            <w:vAlign w:val="bottom"/>
          </w:tcPr>
          <w:p>
            <w:pPr>
              <w:spacing w:after="0"/>
              <w:rPr>
                <w:sz w:val="20"/>
                <w:szCs w:val="20"/>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96,793</w:t>
            </w:r>
          </w:p>
        </w:tc>
        <w:tc>
          <w:tcPr>
            <w:tcW w:w="240" w:type="dxa"/>
            <w:vAlign w:val="bottom"/>
          </w:tcPr>
          <w:p>
            <w:pPr>
              <w:spacing w:after="0"/>
              <w:rPr>
                <w:sz w:val="20"/>
                <w:szCs w:val="20"/>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21,633</w:t>
            </w:r>
          </w:p>
        </w:tc>
        <w:tc>
          <w:tcPr>
            <w:tcW w:w="1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(982(</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3)</w:t>
            </w:r>
          </w:p>
        </w:tc>
        <w:tc>
          <w:tcPr>
            <w:tcW w:w="2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160,536</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32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Gain on sale of real estate</w:t>
            </w:r>
          </w:p>
        </w:tc>
        <w:tc>
          <w:tcPr>
            <w:tcW w:w="140" w:type="dxa"/>
            <w:vAlign w:val="bottom"/>
            <w:tcBorders>
              <w:bottom w:val="single" w:sz="8" w:color="auto"/>
            </w:tcBorders>
            <w:shd w:val="clear" w:color="auto" w:fill="CCEEFF"/>
          </w:tcPr>
          <w:p>
            <w:pPr>
              <w:spacing w:after="0"/>
              <w:rPr>
                <w:sz w:val="24"/>
                <w:szCs w:val="24"/>
                <w:color w:val="auto"/>
              </w:rPr>
            </w:pPr>
          </w:p>
        </w:tc>
        <w:tc>
          <w:tcPr>
            <w:tcW w:w="10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shd w:val="clear" w:color="auto" w:fill="CCEEFF"/>
          </w:tcPr>
          <w:p>
            <w:pPr>
              <w:spacing w:after="0"/>
              <w:rPr>
                <w:sz w:val="24"/>
                <w:szCs w:val="24"/>
                <w:color w:val="auto"/>
              </w:rPr>
            </w:pPr>
          </w:p>
        </w:tc>
        <w:tc>
          <w:tcPr>
            <w:tcW w:w="10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shd w:val="clear" w:color="auto" w:fill="CCEEFF"/>
          </w:tcPr>
          <w:p>
            <w:pPr>
              <w:spacing w:after="0"/>
              <w:rPr>
                <w:sz w:val="24"/>
                <w:szCs w:val="24"/>
                <w:color w:val="auto"/>
              </w:rPr>
            </w:pPr>
          </w:p>
        </w:tc>
        <w:tc>
          <w:tcPr>
            <w:tcW w:w="1100" w:type="dxa"/>
            <w:vAlign w:val="bottom"/>
            <w:tcBorders>
              <w:bottom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shd w:val="clear" w:color="auto" w:fill="CCEEFF"/>
          </w:tcPr>
          <w:p>
            <w:pPr>
              <w:spacing w:after="0"/>
              <w:rPr>
                <w:sz w:val="24"/>
                <w:szCs w:val="2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spacing w:after="0"/>
              <w:rPr>
                <w:sz w:val="24"/>
                <w:szCs w:val="24"/>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4,595</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(4)</w:t>
            </w:r>
          </w:p>
        </w:tc>
        <w:tc>
          <w:tcPr>
            <w:tcW w:w="100" w:type="dxa"/>
            <w:vAlign w:val="bottom"/>
            <w:tcBorders>
              <w:bottom w:val="single" w:sz="8" w:color="auto"/>
            </w:tcBorders>
            <w:shd w:val="clear" w:color="auto" w:fill="CCEEFF"/>
          </w:tcPr>
          <w:p>
            <w:pPr>
              <w:spacing w:after="0"/>
              <w:rPr>
                <w:sz w:val="24"/>
                <w:szCs w:val="24"/>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4,595</w:t>
            </w:r>
          </w:p>
        </w:tc>
        <w:tc>
          <w:tcPr>
            <w:tcW w:w="2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3220" w:type="dxa"/>
            <w:vAlign w:val="bottom"/>
          </w:tcPr>
          <w:p>
            <w:pPr>
              <w:spacing w:after="0"/>
              <w:rPr>
                <w:sz w:val="20"/>
                <w:szCs w:val="20"/>
                <w:color w:val="auto"/>
              </w:rPr>
            </w:pPr>
            <w:r>
              <w:rPr>
                <w:rFonts w:ascii="Arial" w:cs="Arial" w:eastAsia="Arial" w:hAnsi="Arial"/>
                <w:sz w:val="18"/>
                <w:szCs w:val="18"/>
                <w:color w:val="auto"/>
              </w:rPr>
              <w:t>Income from operations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31,656</w:t>
            </w:r>
          </w:p>
        </w:tc>
        <w:tc>
          <w:tcPr>
            <w:tcW w:w="3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13,804</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(21,633)</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(260)</w:t>
            </w:r>
          </w:p>
        </w:tc>
        <w:tc>
          <w:tcPr>
            <w:tcW w:w="2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28,162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5" w:right="339" w:bottom="0" w:gutter="0" w:footer="0" w:header="0"/>
          <w:type w:val="continuous"/>
        </w:sectPr>
      </w:pPr>
    </w:p>
    <w:p>
      <w:pPr>
        <w:spacing w:after="0" w:line="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 of 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571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5715"/>
                    </a:xfrm>
                    <a:prstGeom prst="rect">
                      <a:avLst/>
                    </a:prstGeom>
                    <a:noFill/>
                  </pic:spPr>
                </pic:pic>
              </a:graphicData>
            </a:graphic>
          </wp:anchor>
        </w:drawing>
      </w:r>
    </w:p>
    <w:p>
      <w:pPr>
        <w:sectPr>
          <w:pgSz w:w="11900" w:h="16838" w:orient="portrait"/>
          <w:cols w:equalWidth="0" w:num="1">
            <w:col w:w="11240"/>
          </w:cols>
          <w:pgMar w:left="320" w:top="125" w:right="339" w:bottom="0" w:gutter="0" w:footer="0" w:header="0"/>
          <w:type w:val="continuous"/>
        </w:sectPr>
      </w:pPr>
    </w:p>
    <w:bookmarkStart w:id="28" w:name="page29"/>
    <w:bookmarkEnd w:id="28"/>
    <w:p>
      <w:pPr>
        <w:jc w:val="center"/>
        <w:spacing w:after="0"/>
        <w:rPr>
          <w:sz w:val="20"/>
          <w:szCs w:val="20"/>
          <w:color w:val="auto"/>
        </w:rPr>
      </w:pPr>
      <w:r>
        <w:rPr>
          <w:rFonts w:ascii="Arial" w:cs="Arial" w:eastAsia="Arial" w:hAnsi="Arial"/>
          <w:sz w:val="18"/>
          <w:szCs w:val="18"/>
          <w:u w:val="single" w:color="auto"/>
          <w:color w:val="auto"/>
        </w:rPr>
        <w:t>PART I-FINANCIAL INFORMATION-CONTINUED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BASSETT FURNITURE INDUSTRIES, INCORPORATED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AUGUST 26, 2023</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(Dollars in thousands except share and per share data)</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color w:val="auto"/>
        </w:rPr>
        <w:t>Notes to segment consolidation table:</w:t>
      </w:r>
    </w:p>
    <w:p>
      <w:pPr>
        <w:spacing w:after="0" w:line="225" w:lineRule="exact"/>
        <w:rPr>
          <w:sz w:val="20"/>
          <w:szCs w:val="20"/>
          <w:color w:val="auto"/>
        </w:rPr>
      </w:pPr>
    </w:p>
    <w:p>
      <w:pPr>
        <w:ind w:left="1140" w:hanging="322"/>
        <w:spacing w:after="0"/>
        <w:tabs>
          <w:tab w:leader="none" w:pos="11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Represents the elimination of sales from our wholesale segment to our Company-owned BHF stores.</w:t>
      </w:r>
    </w:p>
    <w:p>
      <w:pPr>
        <w:spacing w:after="0" w:line="23" w:lineRule="exact"/>
        <w:rPr>
          <w:rFonts w:ascii="Arial" w:cs="Arial" w:eastAsia="Arial" w:hAnsi="Arial"/>
          <w:sz w:val="18"/>
          <w:szCs w:val="18"/>
          <w:color w:val="auto"/>
        </w:rPr>
      </w:pPr>
    </w:p>
    <w:p>
      <w:pPr>
        <w:ind w:left="1140" w:right="360" w:hanging="322"/>
        <w:spacing w:after="0" w:line="250" w:lineRule="auto"/>
        <w:tabs>
          <w:tab w:leader="none" w:pos="11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Represents the elimination of purchases by our Company-owned BHF stores from our wholesale segment, as well as the change for the period in the elimination of intercompany profit in ending retail inventory.</w:t>
      </w:r>
    </w:p>
    <w:p>
      <w:pPr>
        <w:ind w:left="1140" w:hanging="322"/>
        <w:spacing w:after="0"/>
        <w:tabs>
          <w:tab w:leader="none" w:pos="11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Represents the elimination of rent paid by our retail stores occupying Company-owned real estate.</w:t>
      </w:r>
    </w:p>
    <w:p>
      <w:pPr>
        <w:spacing w:after="0" w:line="9" w:lineRule="exact"/>
        <w:rPr>
          <w:rFonts w:ascii="Arial" w:cs="Arial" w:eastAsia="Arial" w:hAnsi="Arial"/>
          <w:sz w:val="18"/>
          <w:szCs w:val="18"/>
          <w:color w:val="auto"/>
        </w:rPr>
      </w:pPr>
    </w:p>
    <w:p>
      <w:pPr>
        <w:ind w:left="1140" w:hanging="322"/>
        <w:spacing w:after="0"/>
        <w:tabs>
          <w:tab w:leader="none" w:pos="11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Represents the gain on the sale of the real estate at a former retail location.</w:t>
      </w:r>
    </w:p>
    <w:p>
      <w:pPr>
        <w:spacing w:after="0" w:line="9" w:lineRule="exact"/>
        <w:rPr>
          <w:rFonts w:ascii="Arial" w:cs="Arial" w:eastAsia="Arial" w:hAnsi="Arial"/>
          <w:sz w:val="18"/>
          <w:szCs w:val="18"/>
          <w:color w:val="auto"/>
        </w:rPr>
      </w:pPr>
    </w:p>
    <w:p>
      <w:pPr>
        <w:ind w:left="1140" w:hanging="322"/>
        <w:spacing w:after="0"/>
        <w:tabs>
          <w:tab w:leader="none" w:pos="11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Represents the gain resulting from the write-down of the contingent consideration payable on the acquisition of Noa Home.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Wholesale Segment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Results for the wholesale segment for the three and nine months ended August 26, 2023 and August 27, 2022 are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560" w:type="dxa"/>
            <w:vAlign w:val="bottom"/>
            <w:gridSpan w:val="5"/>
          </w:tcPr>
          <w:p>
            <w:pPr>
              <w:jc w:val="right"/>
              <w:ind w:right="319"/>
              <w:spacing w:after="0"/>
              <w:rPr>
                <w:sz w:val="20"/>
                <w:szCs w:val="20"/>
                <w:color w:val="auto"/>
              </w:rPr>
            </w:pPr>
            <w:r>
              <w:rPr>
                <w:rFonts w:ascii="Arial" w:cs="Arial" w:eastAsia="Arial" w:hAnsi="Arial"/>
                <w:sz w:val="16"/>
                <w:szCs w:val="16"/>
                <w:color w:val="auto"/>
              </w:rPr>
              <w:t>Quarter Ended</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40" w:type="dxa"/>
            <w:vAlign w:val="bottom"/>
            <w:gridSpan w:val="3"/>
          </w:tcPr>
          <w:p>
            <w:pPr>
              <w:jc w:val="right"/>
              <w:ind w:right="680"/>
              <w:spacing w:after="0"/>
              <w:rPr>
                <w:sz w:val="20"/>
                <w:szCs w:val="20"/>
                <w:color w:val="auto"/>
              </w:rPr>
            </w:pPr>
            <w:r>
              <w:rPr>
                <w:rFonts w:ascii="Arial" w:cs="Arial" w:eastAsia="Arial" w:hAnsi="Arial"/>
                <w:sz w:val="16"/>
                <w:szCs w:val="16"/>
                <w:color w:val="auto"/>
              </w:rPr>
              <w:t>Change</w:t>
            </w: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740" w:type="dxa"/>
            <w:vAlign w:val="bottom"/>
            <w:gridSpan w:val="5"/>
          </w:tcPr>
          <w:p>
            <w:pPr>
              <w:jc w:val="right"/>
              <w:ind w:right="219"/>
              <w:spacing w:after="0"/>
              <w:rPr>
                <w:sz w:val="20"/>
                <w:szCs w:val="20"/>
                <w:color w:val="auto"/>
              </w:rPr>
            </w:pPr>
            <w:r>
              <w:rPr>
                <w:rFonts w:ascii="Arial" w:cs="Arial" w:eastAsia="Arial" w:hAnsi="Arial"/>
                <w:sz w:val="16"/>
                <w:szCs w:val="16"/>
                <w:color w:val="auto"/>
              </w:rPr>
              <w:t>Nine Months Ended</w:t>
            </w: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4"/>
          </w:tcPr>
          <w:p>
            <w:pPr>
              <w:ind w:left="340"/>
              <w:spacing w:after="0"/>
              <w:rPr>
                <w:sz w:val="20"/>
                <w:szCs w:val="20"/>
                <w:color w:val="auto"/>
              </w:rPr>
            </w:pPr>
            <w:r>
              <w:rPr>
                <w:rFonts w:ascii="Arial" w:cs="Arial" w:eastAsia="Arial" w:hAnsi="Arial"/>
                <w:sz w:val="16"/>
                <w:szCs w:val="16"/>
                <w:color w:val="auto"/>
              </w:rPr>
              <w:t>Change</w:t>
            </w:r>
          </w:p>
        </w:tc>
        <w:tc>
          <w:tcPr>
            <w:tcW w:w="0" w:type="dxa"/>
            <w:vAlign w:val="bottom"/>
          </w:tcPr>
          <w:p>
            <w:pPr>
              <w:spacing w:after="0"/>
              <w:rPr>
                <w:sz w:val="1"/>
                <w:szCs w:val="1"/>
                <w:color w:val="auto"/>
              </w:rPr>
            </w:pPr>
          </w:p>
        </w:tc>
      </w:tr>
      <w:tr>
        <w:trPr>
          <w:trHeight w:val="199"/>
        </w:trPr>
        <w:tc>
          <w:tcPr>
            <w:tcW w:w="16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460" w:type="dxa"/>
            <w:vAlign w:val="bottom"/>
            <w:tcBorders>
              <w:top w:val="single" w:sz="8" w:color="auto"/>
            </w:tcBorders>
            <w:gridSpan w:val="4"/>
          </w:tcPr>
          <w:p>
            <w:pPr>
              <w:jc w:val="right"/>
              <w:ind w:right="360"/>
              <w:spacing w:after="0"/>
              <w:rPr>
                <w:sz w:val="20"/>
                <w:szCs w:val="20"/>
                <w:color w:val="auto"/>
              </w:rPr>
            </w:pPr>
            <w:r>
              <w:rPr>
                <w:rFonts w:ascii="Arial" w:cs="Arial" w:eastAsia="Arial" w:hAnsi="Arial"/>
                <w:sz w:val="16"/>
                <w:szCs w:val="16"/>
                <w:color w:val="auto"/>
                <w:w w:val="92"/>
              </w:rPr>
              <w:t>August 26, 2023</w:t>
            </w:r>
          </w:p>
        </w:tc>
        <w:tc>
          <w:tcPr>
            <w:tcW w:w="100" w:type="dxa"/>
            <w:vAlign w:val="bottom"/>
            <w:tcBorders>
              <w:top w:val="single" w:sz="8" w:color="auto"/>
            </w:tcBorders>
          </w:tcPr>
          <w:p>
            <w:pPr>
              <w:spacing w:after="0"/>
              <w:rPr>
                <w:sz w:val="17"/>
                <w:szCs w:val="17"/>
                <w:color w:val="auto"/>
              </w:rPr>
            </w:pPr>
          </w:p>
        </w:tc>
        <w:tc>
          <w:tcPr>
            <w:tcW w:w="1360" w:type="dxa"/>
            <w:vAlign w:val="bottom"/>
            <w:tcBorders>
              <w:top w:val="single" w:sz="8" w:color="auto"/>
            </w:tcBorders>
            <w:gridSpan w:val="3"/>
          </w:tcPr>
          <w:p>
            <w:pPr>
              <w:ind w:left="40"/>
              <w:spacing w:after="0"/>
              <w:rPr>
                <w:sz w:val="20"/>
                <w:szCs w:val="20"/>
                <w:color w:val="auto"/>
              </w:rPr>
            </w:pPr>
            <w:r>
              <w:rPr>
                <w:rFonts w:ascii="Arial" w:cs="Arial" w:eastAsia="Arial" w:hAnsi="Arial"/>
                <w:sz w:val="16"/>
                <w:szCs w:val="16"/>
                <w:color w:val="auto"/>
              </w:rPr>
              <w:t>August 27, 2022</w:t>
            </w:r>
          </w:p>
        </w:tc>
        <w:tc>
          <w:tcPr>
            <w:tcW w:w="120" w:type="dxa"/>
            <w:vAlign w:val="bottom"/>
          </w:tcPr>
          <w:p>
            <w:pPr>
              <w:spacing w:after="0"/>
              <w:rPr>
                <w:sz w:val="17"/>
                <w:szCs w:val="17"/>
                <w:color w:val="auto"/>
              </w:rPr>
            </w:pPr>
          </w:p>
        </w:tc>
        <w:tc>
          <w:tcPr>
            <w:tcW w:w="760" w:type="dxa"/>
            <w:vAlign w:val="bottom"/>
            <w:tcBorders>
              <w:top w:val="single" w:sz="8" w:color="auto"/>
            </w:tcBorders>
            <w:gridSpan w:val="2"/>
          </w:tcPr>
          <w:p>
            <w:pPr>
              <w:jc w:val="right"/>
              <w:ind w:right="139"/>
              <w:spacing w:after="0"/>
              <w:rPr>
                <w:sz w:val="20"/>
                <w:szCs w:val="20"/>
                <w:color w:val="auto"/>
              </w:rPr>
            </w:pPr>
            <w:r>
              <w:rPr>
                <w:rFonts w:ascii="Arial" w:cs="Arial" w:eastAsia="Arial" w:hAnsi="Arial"/>
                <w:sz w:val="16"/>
                <w:szCs w:val="16"/>
                <w:color w:val="auto"/>
              </w:rPr>
              <w:t>Dollars</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Percent</w:t>
            </w:r>
          </w:p>
        </w:tc>
        <w:tc>
          <w:tcPr>
            <w:tcW w:w="24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560" w:type="dxa"/>
            <w:vAlign w:val="bottom"/>
            <w:tcBorders>
              <w:top w:val="single" w:sz="8" w:color="auto"/>
            </w:tcBorders>
            <w:gridSpan w:val="4"/>
          </w:tcPr>
          <w:p>
            <w:pPr>
              <w:ind w:left="80"/>
              <w:spacing w:after="0"/>
              <w:rPr>
                <w:sz w:val="20"/>
                <w:szCs w:val="20"/>
                <w:color w:val="auto"/>
              </w:rPr>
            </w:pPr>
            <w:r>
              <w:rPr>
                <w:rFonts w:ascii="Arial" w:cs="Arial" w:eastAsia="Arial" w:hAnsi="Arial"/>
                <w:sz w:val="16"/>
                <w:szCs w:val="16"/>
                <w:color w:val="auto"/>
              </w:rPr>
              <w:t>August 26, 2023</w:t>
            </w:r>
          </w:p>
        </w:tc>
        <w:tc>
          <w:tcPr>
            <w:tcW w:w="100" w:type="dxa"/>
            <w:vAlign w:val="bottom"/>
            <w:tcBorders>
              <w:top w:val="single" w:sz="8" w:color="auto"/>
            </w:tcBorders>
          </w:tcPr>
          <w:p>
            <w:pPr>
              <w:spacing w:after="0"/>
              <w:rPr>
                <w:sz w:val="17"/>
                <w:szCs w:val="17"/>
                <w:color w:val="auto"/>
              </w:rPr>
            </w:pPr>
          </w:p>
        </w:tc>
        <w:tc>
          <w:tcPr>
            <w:tcW w:w="1440" w:type="dxa"/>
            <w:vAlign w:val="bottom"/>
            <w:tcBorders>
              <w:top w:val="single" w:sz="8" w:color="auto"/>
            </w:tcBorders>
            <w:gridSpan w:val="3"/>
          </w:tcPr>
          <w:p>
            <w:pPr>
              <w:jc w:val="right"/>
              <w:ind w:right="300"/>
              <w:spacing w:after="0"/>
              <w:rPr>
                <w:sz w:val="20"/>
                <w:szCs w:val="20"/>
                <w:color w:val="auto"/>
              </w:rPr>
            </w:pPr>
            <w:r>
              <w:rPr>
                <w:rFonts w:ascii="Arial" w:cs="Arial" w:eastAsia="Arial" w:hAnsi="Arial"/>
                <w:sz w:val="16"/>
                <w:szCs w:val="16"/>
                <w:color w:val="auto"/>
                <w:w w:val="96"/>
              </w:rPr>
              <w:t>August 27, 2022</w:t>
            </w:r>
          </w:p>
        </w:tc>
        <w:tc>
          <w:tcPr>
            <w:tcW w:w="100" w:type="dxa"/>
            <w:vAlign w:val="bottom"/>
          </w:tcPr>
          <w:p>
            <w:pPr>
              <w:spacing w:after="0"/>
              <w:rPr>
                <w:sz w:val="17"/>
                <w:szCs w:val="17"/>
                <w:color w:val="auto"/>
              </w:rPr>
            </w:pPr>
          </w:p>
        </w:tc>
        <w:tc>
          <w:tcPr>
            <w:tcW w:w="760" w:type="dxa"/>
            <w:vAlign w:val="bottom"/>
            <w:tcBorders>
              <w:top w:val="single" w:sz="8" w:color="auto"/>
            </w:tcBorders>
            <w:gridSpan w:val="2"/>
          </w:tcPr>
          <w:p>
            <w:pPr>
              <w:jc w:val="right"/>
              <w:ind w:right="119"/>
              <w:spacing w:after="0"/>
              <w:rPr>
                <w:sz w:val="20"/>
                <w:szCs w:val="20"/>
                <w:color w:val="auto"/>
              </w:rPr>
            </w:pPr>
            <w:r>
              <w:rPr>
                <w:rFonts w:ascii="Arial" w:cs="Arial" w:eastAsia="Arial" w:hAnsi="Arial"/>
                <w:sz w:val="16"/>
                <w:szCs w:val="16"/>
                <w:color w:val="auto"/>
              </w:rPr>
              <w:t>Dollars</w:t>
            </w:r>
          </w:p>
        </w:tc>
        <w:tc>
          <w:tcPr>
            <w:tcW w:w="620" w:type="dxa"/>
            <w:vAlign w:val="bottom"/>
            <w:tcBorders>
              <w:top w:val="single" w:sz="8" w:color="auto"/>
            </w:tcBorders>
          </w:tcPr>
          <w:p>
            <w:pPr>
              <w:ind w:left="100"/>
              <w:spacing w:after="0"/>
              <w:rPr>
                <w:sz w:val="20"/>
                <w:szCs w:val="20"/>
                <w:color w:val="auto"/>
              </w:rPr>
            </w:pPr>
            <w:r>
              <w:rPr>
                <w:rFonts w:ascii="Arial" w:cs="Arial" w:eastAsia="Arial" w:hAnsi="Arial"/>
                <w:sz w:val="16"/>
                <w:szCs w:val="16"/>
                <w:color w:val="auto"/>
                <w:w w:val="90"/>
              </w:rPr>
              <w:t>Percent</w:t>
            </w:r>
          </w:p>
        </w:tc>
        <w:tc>
          <w:tcPr>
            <w:tcW w:w="16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6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680" w:type="dxa"/>
            <w:vAlign w:val="bottom"/>
            <w:shd w:val="clear" w:color="auto" w:fill="CCEEFF"/>
          </w:tcPr>
          <w:p>
            <w:pPr>
              <w:spacing w:after="0"/>
              <w:rPr>
                <w:sz w:val="20"/>
                <w:szCs w:val="20"/>
                <w:color w:val="auto"/>
              </w:rPr>
            </w:pPr>
            <w:r>
              <w:rPr>
                <w:rFonts w:ascii="Arial" w:cs="Arial" w:eastAsia="Arial" w:hAnsi="Arial"/>
                <w:sz w:val="16"/>
                <w:szCs w:val="16"/>
                <w:color w:val="auto"/>
              </w:rPr>
              <w:t>Net sales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56,660</w:t>
            </w:r>
          </w:p>
        </w:tc>
        <w:tc>
          <w:tcPr>
            <w:tcW w:w="80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100.0%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78,959</w:t>
            </w:r>
          </w:p>
        </w:tc>
        <w:tc>
          <w:tcPr>
            <w:tcW w:w="82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100.0%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93"/>
              </w:rPr>
              <w:t>(22,299)</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-28.2%</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188,318</w:t>
            </w:r>
          </w:p>
        </w:tc>
        <w:tc>
          <w:tcPr>
            <w:tcW w:w="90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100.0%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249,945</w:t>
            </w:r>
          </w:p>
        </w:tc>
        <w:tc>
          <w:tcPr>
            <w:tcW w:w="80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100.0%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90"/>
              </w:rPr>
              <w:t>(61,627)</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-24.7%</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6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680" w:type="dxa"/>
            <w:vAlign w:val="bottom"/>
          </w:tcPr>
          <w:p>
            <w:pPr>
              <w:spacing w:after="0"/>
              <w:rPr>
                <w:sz w:val="20"/>
                <w:szCs w:val="20"/>
                <w:color w:val="auto"/>
              </w:rPr>
            </w:pPr>
            <w:r>
              <w:rPr>
                <w:rFonts w:ascii="Arial" w:cs="Arial" w:eastAsia="Arial" w:hAnsi="Arial"/>
                <w:sz w:val="16"/>
                <w:szCs w:val="16"/>
                <w:color w:val="auto"/>
              </w:rPr>
              <w:t>Gross profit (1)</w:t>
            </w:r>
          </w:p>
        </w:tc>
        <w:tc>
          <w:tcPr>
            <w:tcW w:w="100" w:type="dxa"/>
            <w:vAlign w:val="bottom"/>
          </w:tcPr>
          <w:p>
            <w:pPr>
              <w:spacing w:after="0"/>
              <w:rPr>
                <w:sz w:val="17"/>
                <w:szCs w:val="17"/>
                <w:color w:val="auto"/>
              </w:rPr>
            </w:pPr>
          </w:p>
        </w:tc>
        <w:tc>
          <w:tcPr>
            <w:tcW w:w="660" w:type="dxa"/>
            <w:vAlign w:val="bottom"/>
          </w:tcPr>
          <w:p>
            <w:pPr>
              <w:jc w:val="right"/>
              <w:ind w:right="119"/>
              <w:spacing w:after="0"/>
              <w:rPr>
                <w:sz w:val="20"/>
                <w:szCs w:val="20"/>
                <w:color w:val="auto"/>
              </w:rPr>
            </w:pPr>
            <w:r>
              <w:rPr>
                <w:rFonts w:ascii="Arial" w:cs="Arial" w:eastAsia="Arial" w:hAnsi="Arial"/>
                <w:sz w:val="16"/>
                <w:szCs w:val="16"/>
                <w:color w:val="auto"/>
                <w:w w:val="89"/>
              </w:rPr>
              <w:t>17,124</w:t>
            </w:r>
          </w:p>
        </w:tc>
        <w:tc>
          <w:tcPr>
            <w:tcW w:w="800" w:type="dxa"/>
            <w:vAlign w:val="bottom"/>
            <w:gridSpan w:val="3"/>
          </w:tcPr>
          <w:p>
            <w:pPr>
              <w:jc w:val="right"/>
              <w:ind w:right="100"/>
              <w:spacing w:after="0"/>
              <w:rPr>
                <w:sz w:val="20"/>
                <w:szCs w:val="20"/>
                <w:color w:val="auto"/>
              </w:rPr>
            </w:pPr>
            <w:r>
              <w:rPr>
                <w:rFonts w:ascii="Arial" w:cs="Arial" w:eastAsia="Arial" w:hAnsi="Arial"/>
                <w:sz w:val="16"/>
                <w:szCs w:val="16"/>
                <w:color w:val="auto"/>
              </w:rPr>
              <w:t>30.2%</w:t>
            </w:r>
          </w:p>
        </w:tc>
        <w:tc>
          <w:tcPr>
            <w:tcW w:w="100" w:type="dxa"/>
            <w:vAlign w:val="bottom"/>
          </w:tcPr>
          <w:p>
            <w:pPr>
              <w:spacing w:after="0"/>
              <w:rPr>
                <w:sz w:val="17"/>
                <w:szCs w:val="17"/>
                <w:color w:val="auto"/>
              </w:rPr>
            </w:pPr>
          </w:p>
        </w:tc>
        <w:tc>
          <w:tcPr>
            <w:tcW w:w="660" w:type="dxa"/>
            <w:vAlign w:val="bottom"/>
          </w:tcPr>
          <w:p>
            <w:pPr>
              <w:jc w:val="right"/>
              <w:ind w:right="119"/>
              <w:spacing w:after="0"/>
              <w:rPr>
                <w:sz w:val="20"/>
                <w:szCs w:val="20"/>
                <w:color w:val="auto"/>
              </w:rPr>
            </w:pPr>
            <w:r>
              <w:rPr>
                <w:rFonts w:ascii="Arial" w:cs="Arial" w:eastAsia="Arial" w:hAnsi="Arial"/>
                <w:sz w:val="16"/>
                <w:szCs w:val="16"/>
                <w:color w:val="auto"/>
                <w:w w:val="89"/>
              </w:rPr>
              <w:t>24,513</w:t>
            </w:r>
          </w:p>
        </w:tc>
        <w:tc>
          <w:tcPr>
            <w:tcW w:w="820" w:type="dxa"/>
            <w:vAlign w:val="bottom"/>
            <w:gridSpan w:val="3"/>
          </w:tcPr>
          <w:p>
            <w:pPr>
              <w:jc w:val="right"/>
              <w:ind w:right="120"/>
              <w:spacing w:after="0"/>
              <w:rPr>
                <w:sz w:val="20"/>
                <w:szCs w:val="20"/>
                <w:color w:val="auto"/>
              </w:rPr>
            </w:pPr>
            <w:r>
              <w:rPr>
                <w:rFonts w:ascii="Arial" w:cs="Arial" w:eastAsia="Arial" w:hAnsi="Arial"/>
                <w:sz w:val="16"/>
                <w:szCs w:val="16"/>
                <w:color w:val="auto"/>
              </w:rPr>
              <w:t>31.0%</w:t>
            </w:r>
          </w:p>
        </w:tc>
        <w:tc>
          <w:tcPr>
            <w:tcW w:w="80" w:type="dxa"/>
            <w:vAlign w:val="bottom"/>
          </w:tcPr>
          <w:p>
            <w:pPr>
              <w:spacing w:after="0"/>
              <w:rPr>
                <w:sz w:val="17"/>
                <w:szCs w:val="17"/>
                <w:color w:val="auto"/>
              </w:rPr>
            </w:pP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(7,389)</w:t>
            </w:r>
          </w:p>
        </w:tc>
        <w:tc>
          <w:tcPr>
            <w:tcW w:w="860" w:type="dxa"/>
            <w:vAlign w:val="bottom"/>
            <w:gridSpan w:val="2"/>
          </w:tcPr>
          <w:p>
            <w:pPr>
              <w:jc w:val="right"/>
              <w:ind w:right="120"/>
              <w:spacing w:after="0"/>
              <w:rPr>
                <w:sz w:val="20"/>
                <w:szCs w:val="20"/>
                <w:color w:val="auto"/>
              </w:rPr>
            </w:pPr>
            <w:r>
              <w:rPr>
                <w:rFonts w:ascii="Arial" w:cs="Arial" w:eastAsia="Arial" w:hAnsi="Arial"/>
                <w:sz w:val="16"/>
                <w:szCs w:val="16"/>
                <w:color w:val="auto"/>
              </w:rPr>
              <w:t>-30.1%</w:t>
            </w:r>
          </w:p>
        </w:tc>
        <w:tc>
          <w:tcPr>
            <w:tcW w:w="80" w:type="dxa"/>
            <w:vAlign w:val="bottom"/>
          </w:tcPr>
          <w:p>
            <w:pPr>
              <w:spacing w:after="0"/>
              <w:rPr>
                <w:sz w:val="17"/>
                <w:szCs w:val="17"/>
                <w:color w:val="auto"/>
              </w:rPr>
            </w:pPr>
          </w:p>
        </w:tc>
        <w:tc>
          <w:tcPr>
            <w:tcW w:w="660" w:type="dxa"/>
            <w:vAlign w:val="bottom"/>
          </w:tcPr>
          <w:p>
            <w:pPr>
              <w:jc w:val="right"/>
              <w:ind w:right="39"/>
              <w:spacing w:after="0"/>
              <w:rPr>
                <w:sz w:val="20"/>
                <w:szCs w:val="20"/>
                <w:color w:val="auto"/>
              </w:rPr>
            </w:pPr>
            <w:r>
              <w:rPr>
                <w:rFonts w:ascii="Arial" w:cs="Arial" w:eastAsia="Arial" w:hAnsi="Arial"/>
                <w:sz w:val="16"/>
                <w:szCs w:val="16"/>
                <w:color w:val="auto"/>
              </w:rPr>
              <w:t>57,625</w:t>
            </w:r>
          </w:p>
        </w:tc>
        <w:tc>
          <w:tcPr>
            <w:tcW w:w="900" w:type="dxa"/>
            <w:vAlign w:val="bottom"/>
            <w:gridSpan w:val="3"/>
          </w:tcPr>
          <w:p>
            <w:pPr>
              <w:jc w:val="right"/>
              <w:ind w:right="100"/>
              <w:spacing w:after="0"/>
              <w:rPr>
                <w:sz w:val="20"/>
                <w:szCs w:val="20"/>
                <w:color w:val="auto"/>
              </w:rPr>
            </w:pPr>
            <w:r>
              <w:rPr>
                <w:rFonts w:ascii="Arial" w:cs="Arial" w:eastAsia="Arial" w:hAnsi="Arial"/>
                <w:sz w:val="16"/>
                <w:szCs w:val="16"/>
                <w:color w:val="auto"/>
              </w:rPr>
              <w:t>30.6%</w:t>
            </w:r>
          </w:p>
        </w:tc>
        <w:tc>
          <w:tcPr>
            <w:tcW w:w="100" w:type="dxa"/>
            <w:vAlign w:val="bottom"/>
          </w:tcPr>
          <w:p>
            <w:pPr>
              <w:spacing w:after="0"/>
              <w:rPr>
                <w:sz w:val="17"/>
                <w:szCs w:val="17"/>
                <w:color w:val="auto"/>
              </w:rPr>
            </w:pPr>
          </w:p>
        </w:tc>
        <w:tc>
          <w:tcPr>
            <w:tcW w:w="740" w:type="dxa"/>
            <w:vAlign w:val="bottom"/>
          </w:tcPr>
          <w:p>
            <w:pPr>
              <w:jc w:val="right"/>
              <w:ind w:right="119"/>
              <w:spacing w:after="0"/>
              <w:rPr>
                <w:sz w:val="20"/>
                <w:szCs w:val="20"/>
                <w:color w:val="auto"/>
              </w:rPr>
            </w:pPr>
            <w:r>
              <w:rPr>
                <w:rFonts w:ascii="Arial" w:cs="Arial" w:eastAsia="Arial" w:hAnsi="Arial"/>
                <w:sz w:val="16"/>
                <w:szCs w:val="16"/>
                <w:color w:val="auto"/>
              </w:rPr>
              <w:t>74,748</w:t>
            </w:r>
          </w:p>
        </w:tc>
        <w:tc>
          <w:tcPr>
            <w:tcW w:w="800" w:type="dxa"/>
            <w:vAlign w:val="bottom"/>
            <w:gridSpan w:val="3"/>
          </w:tcPr>
          <w:p>
            <w:pPr>
              <w:jc w:val="right"/>
              <w:ind w:right="100"/>
              <w:spacing w:after="0"/>
              <w:rPr>
                <w:sz w:val="20"/>
                <w:szCs w:val="20"/>
                <w:color w:val="auto"/>
              </w:rPr>
            </w:pPr>
            <w:r>
              <w:rPr>
                <w:rFonts w:ascii="Arial" w:cs="Arial" w:eastAsia="Arial" w:hAnsi="Arial"/>
                <w:sz w:val="16"/>
                <w:szCs w:val="16"/>
                <w:color w:val="auto"/>
              </w:rPr>
              <w:t>29.9%</w:t>
            </w:r>
          </w:p>
        </w:tc>
        <w:tc>
          <w:tcPr>
            <w:tcW w:w="100" w:type="dxa"/>
            <w:vAlign w:val="bottom"/>
          </w:tcPr>
          <w:p>
            <w:pPr>
              <w:spacing w:after="0"/>
              <w:rPr>
                <w:sz w:val="17"/>
                <w:szCs w:val="17"/>
                <w:color w:val="auto"/>
              </w:rPr>
            </w:pPr>
          </w:p>
        </w:tc>
        <w:tc>
          <w:tcPr>
            <w:tcW w:w="660" w:type="dxa"/>
            <w:vAlign w:val="bottom"/>
          </w:tcPr>
          <w:p>
            <w:pPr>
              <w:jc w:val="right"/>
              <w:ind w:right="19"/>
              <w:spacing w:after="0"/>
              <w:rPr>
                <w:sz w:val="20"/>
                <w:szCs w:val="20"/>
                <w:color w:val="auto"/>
              </w:rPr>
            </w:pPr>
            <w:r>
              <w:rPr>
                <w:rFonts w:ascii="Arial" w:cs="Arial" w:eastAsia="Arial" w:hAnsi="Arial"/>
                <w:sz w:val="16"/>
                <w:szCs w:val="16"/>
                <w:color w:val="auto"/>
                <w:w w:val="90"/>
              </w:rPr>
              <w:t>(17,123)</w:t>
            </w:r>
          </w:p>
        </w:tc>
        <w:tc>
          <w:tcPr>
            <w:tcW w:w="760" w:type="dxa"/>
            <w:vAlign w:val="bottom"/>
            <w:gridSpan w:val="2"/>
          </w:tcPr>
          <w:p>
            <w:pPr>
              <w:jc w:val="right"/>
              <w:spacing w:after="0"/>
              <w:rPr>
                <w:sz w:val="20"/>
                <w:szCs w:val="20"/>
                <w:color w:val="auto"/>
              </w:rPr>
            </w:pPr>
            <w:r>
              <w:rPr>
                <w:rFonts w:ascii="Arial" w:cs="Arial" w:eastAsia="Arial" w:hAnsi="Arial"/>
                <w:sz w:val="16"/>
                <w:szCs w:val="16"/>
                <w:color w:val="auto"/>
              </w:rPr>
              <w:t>-22.9%</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680" w:type="dxa"/>
            <w:vAlign w:val="bottom"/>
            <w:shd w:val="clear" w:color="auto" w:fill="CCEEFF"/>
          </w:tcPr>
          <w:p>
            <w:pPr>
              <w:spacing w:after="0"/>
              <w:rPr>
                <w:sz w:val="20"/>
                <w:szCs w:val="20"/>
                <w:color w:val="auto"/>
              </w:rPr>
            </w:pPr>
            <w:r>
              <w:rPr>
                <w:rFonts w:ascii="Arial" w:cs="Arial" w:eastAsia="Arial" w:hAnsi="Arial"/>
                <w:sz w:val="16"/>
                <w:szCs w:val="16"/>
                <w:color w:val="auto"/>
              </w:rPr>
              <w:t>SG&amp;A expenses</w:t>
            </w: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10,784</w:t>
            </w:r>
          </w:p>
        </w:tc>
        <w:tc>
          <w:tcPr>
            <w:tcW w:w="80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19.0%</w:t>
            </w: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14,524</w:t>
            </w:r>
          </w:p>
        </w:tc>
        <w:tc>
          <w:tcPr>
            <w:tcW w:w="82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18.4%</w:t>
            </w: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(3,740)</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-25.8%</w:t>
            </w: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35,286</w:t>
            </w:r>
          </w:p>
        </w:tc>
        <w:tc>
          <w:tcPr>
            <w:tcW w:w="90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18.7%</w:t>
            </w: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43,092</w:t>
            </w:r>
          </w:p>
        </w:tc>
        <w:tc>
          <w:tcPr>
            <w:tcW w:w="80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17.2%</w:t>
            </w: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(7,806)</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-18.1%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6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680" w:type="dxa"/>
            <w:vAlign w:val="bottom"/>
          </w:tcPr>
          <w:p>
            <w:pPr>
              <w:spacing w:after="0"/>
              <w:rPr>
                <w:sz w:val="20"/>
                <w:szCs w:val="20"/>
                <w:color w:val="auto"/>
              </w:rPr>
            </w:pPr>
            <w:r>
              <w:rPr>
                <w:rFonts w:ascii="Arial" w:cs="Arial" w:eastAsia="Arial" w:hAnsi="Arial"/>
                <w:sz w:val="16"/>
                <w:szCs w:val="16"/>
                <w:color w:val="auto"/>
                <w:w w:val="98"/>
              </w:rPr>
              <w:t>Income from operations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ind w:right="119"/>
              <w:spacing w:after="0"/>
              <w:rPr>
                <w:sz w:val="20"/>
                <w:szCs w:val="20"/>
                <w:color w:val="auto"/>
              </w:rPr>
            </w:pPr>
            <w:r>
              <w:rPr>
                <w:rFonts w:ascii="Arial" w:cs="Arial" w:eastAsia="Arial" w:hAnsi="Arial"/>
                <w:sz w:val="16"/>
                <w:szCs w:val="16"/>
                <w:color w:val="auto"/>
              </w:rPr>
              <w:t>6,340</w:t>
            </w:r>
          </w:p>
        </w:tc>
        <w:tc>
          <w:tcPr>
            <w:tcW w:w="800" w:type="dxa"/>
            <w:vAlign w:val="bottom"/>
            <w:gridSpan w:val="3"/>
          </w:tcPr>
          <w:p>
            <w:pPr>
              <w:jc w:val="right"/>
              <w:ind w:right="100"/>
              <w:spacing w:after="0" w:line="195" w:lineRule="exact"/>
              <w:rPr>
                <w:sz w:val="20"/>
                <w:szCs w:val="20"/>
                <w:color w:val="auto"/>
              </w:rPr>
            </w:pPr>
            <w:r>
              <w:rPr>
                <w:rFonts w:ascii="Arial" w:cs="Arial" w:eastAsia="Arial" w:hAnsi="Arial"/>
                <w:sz w:val="13"/>
                <w:szCs w:val="13"/>
                <w:color w:val="auto"/>
              </w:rPr>
              <w:t>11.2</w:t>
            </w:r>
            <w:r>
              <w:rPr>
                <w:rFonts w:ascii="Arial" w:cs="Arial" w:eastAsia="Arial" w:hAnsi="Arial"/>
                <w:sz w:val="22"/>
                <w:szCs w:val="22"/>
                <w:color w:val="auto"/>
                <w:vertAlign w:val="subscript"/>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ind w:right="119"/>
              <w:spacing w:after="0"/>
              <w:rPr>
                <w:sz w:val="20"/>
                <w:szCs w:val="20"/>
                <w:color w:val="auto"/>
              </w:rPr>
            </w:pPr>
            <w:r>
              <w:rPr>
                <w:rFonts w:ascii="Arial" w:cs="Arial" w:eastAsia="Arial" w:hAnsi="Arial"/>
                <w:sz w:val="16"/>
                <w:szCs w:val="16"/>
                <w:color w:val="auto"/>
              </w:rPr>
              <w:t>9,989</w:t>
            </w:r>
          </w:p>
        </w:tc>
        <w:tc>
          <w:tcPr>
            <w:tcW w:w="820" w:type="dxa"/>
            <w:vAlign w:val="bottom"/>
            <w:gridSpan w:val="3"/>
          </w:tcPr>
          <w:p>
            <w:pPr>
              <w:jc w:val="right"/>
              <w:ind w:right="120"/>
              <w:spacing w:after="0" w:line="195" w:lineRule="exact"/>
              <w:rPr>
                <w:sz w:val="20"/>
                <w:szCs w:val="20"/>
                <w:color w:val="auto"/>
              </w:rPr>
            </w:pPr>
            <w:r>
              <w:rPr>
                <w:rFonts w:ascii="Arial" w:cs="Arial" w:eastAsia="Arial" w:hAnsi="Arial"/>
                <w:sz w:val="13"/>
                <w:szCs w:val="13"/>
                <w:color w:val="auto"/>
              </w:rPr>
              <w:t>12.7</w:t>
            </w:r>
            <w:r>
              <w:rPr>
                <w:rFonts w:ascii="Arial" w:cs="Arial" w:eastAsia="Arial" w:hAnsi="Arial"/>
                <w:sz w:val="22"/>
                <w:szCs w:val="22"/>
                <w:color w:val="auto"/>
                <w:vertAlign w:val="subscript"/>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(3,649)</w:t>
            </w:r>
          </w:p>
        </w:tc>
        <w:tc>
          <w:tcPr>
            <w:tcW w:w="860" w:type="dxa"/>
            <w:vAlign w:val="bottom"/>
            <w:gridSpan w:val="2"/>
          </w:tcPr>
          <w:p>
            <w:pPr>
              <w:jc w:val="right"/>
              <w:ind w:right="120"/>
              <w:spacing w:after="0" w:line="195" w:lineRule="exact"/>
              <w:rPr>
                <w:sz w:val="20"/>
                <w:szCs w:val="20"/>
                <w:color w:val="auto"/>
              </w:rPr>
            </w:pPr>
            <w:r>
              <w:rPr>
                <w:rFonts w:ascii="Arial" w:cs="Arial" w:eastAsia="Arial" w:hAnsi="Arial"/>
                <w:sz w:val="13"/>
                <w:szCs w:val="13"/>
                <w:color w:val="auto"/>
              </w:rPr>
              <w:t>-36.5</w:t>
            </w:r>
            <w:r>
              <w:rPr>
                <w:rFonts w:ascii="Arial" w:cs="Arial" w:eastAsia="Arial" w:hAnsi="Arial"/>
                <w:sz w:val="22"/>
                <w:szCs w:val="22"/>
                <w:color w:val="auto"/>
                <w:vertAlign w:val="subscript"/>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ind w:right="39"/>
              <w:spacing w:after="0"/>
              <w:rPr>
                <w:sz w:val="20"/>
                <w:szCs w:val="20"/>
                <w:color w:val="auto"/>
              </w:rPr>
            </w:pPr>
            <w:r>
              <w:rPr>
                <w:rFonts w:ascii="Arial" w:cs="Arial" w:eastAsia="Arial" w:hAnsi="Arial"/>
                <w:sz w:val="16"/>
                <w:szCs w:val="16"/>
                <w:color w:val="auto"/>
              </w:rPr>
              <w:t>22,339</w:t>
            </w:r>
          </w:p>
        </w:tc>
        <w:tc>
          <w:tcPr>
            <w:tcW w:w="900" w:type="dxa"/>
            <w:vAlign w:val="bottom"/>
            <w:gridSpan w:val="3"/>
          </w:tcPr>
          <w:p>
            <w:pPr>
              <w:jc w:val="right"/>
              <w:ind w:right="100"/>
              <w:spacing w:after="0" w:line="195" w:lineRule="exact"/>
              <w:rPr>
                <w:sz w:val="20"/>
                <w:szCs w:val="20"/>
                <w:color w:val="auto"/>
              </w:rPr>
            </w:pPr>
            <w:r>
              <w:rPr>
                <w:rFonts w:ascii="Arial" w:cs="Arial" w:eastAsia="Arial" w:hAnsi="Arial"/>
                <w:sz w:val="13"/>
                <w:szCs w:val="13"/>
                <w:color w:val="auto"/>
              </w:rPr>
              <w:t>11.9</w:t>
            </w:r>
            <w:r>
              <w:rPr>
                <w:rFonts w:ascii="Arial" w:cs="Arial" w:eastAsia="Arial" w:hAnsi="Arial"/>
                <w:sz w:val="22"/>
                <w:szCs w:val="22"/>
                <w:color w:val="auto"/>
                <w:vertAlign w:val="subscript"/>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ind w:right="119"/>
              <w:spacing w:after="0"/>
              <w:rPr>
                <w:sz w:val="20"/>
                <w:szCs w:val="20"/>
                <w:color w:val="auto"/>
              </w:rPr>
            </w:pPr>
            <w:r>
              <w:rPr>
                <w:rFonts w:ascii="Arial" w:cs="Arial" w:eastAsia="Arial" w:hAnsi="Arial"/>
                <w:sz w:val="16"/>
                <w:szCs w:val="16"/>
                <w:color w:val="auto"/>
              </w:rPr>
              <w:t>31,656</w:t>
            </w:r>
          </w:p>
        </w:tc>
        <w:tc>
          <w:tcPr>
            <w:tcW w:w="800" w:type="dxa"/>
            <w:vAlign w:val="bottom"/>
            <w:gridSpan w:val="3"/>
          </w:tcPr>
          <w:p>
            <w:pPr>
              <w:jc w:val="right"/>
              <w:ind w:right="100"/>
              <w:spacing w:after="0" w:line="195" w:lineRule="exact"/>
              <w:rPr>
                <w:sz w:val="20"/>
                <w:szCs w:val="20"/>
                <w:color w:val="auto"/>
              </w:rPr>
            </w:pPr>
            <w:r>
              <w:rPr>
                <w:rFonts w:ascii="Arial" w:cs="Arial" w:eastAsia="Arial" w:hAnsi="Arial"/>
                <w:sz w:val="13"/>
                <w:szCs w:val="13"/>
                <w:color w:val="auto"/>
              </w:rPr>
              <w:t>12.7</w:t>
            </w:r>
            <w:r>
              <w:rPr>
                <w:rFonts w:ascii="Arial" w:cs="Arial" w:eastAsia="Arial" w:hAnsi="Arial"/>
                <w:sz w:val="22"/>
                <w:szCs w:val="22"/>
                <w:color w:val="auto"/>
                <w:vertAlign w:val="subscript"/>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ind w:right="19"/>
              <w:spacing w:after="0"/>
              <w:rPr>
                <w:sz w:val="20"/>
                <w:szCs w:val="20"/>
                <w:color w:val="auto"/>
              </w:rPr>
            </w:pPr>
            <w:r>
              <w:rPr>
                <w:rFonts w:ascii="Arial" w:cs="Arial" w:eastAsia="Arial" w:hAnsi="Arial"/>
                <w:sz w:val="16"/>
                <w:szCs w:val="16"/>
                <w:color w:val="auto"/>
              </w:rPr>
              <w:t>(9,317)</w:t>
            </w:r>
          </w:p>
        </w:tc>
        <w:tc>
          <w:tcPr>
            <w:tcW w:w="760" w:type="dxa"/>
            <w:vAlign w:val="bottom"/>
            <w:gridSpan w:val="2"/>
          </w:tcPr>
          <w:p>
            <w:pPr>
              <w:jc w:val="right"/>
              <w:spacing w:after="0"/>
              <w:rPr>
                <w:sz w:val="20"/>
                <w:szCs w:val="20"/>
                <w:color w:val="auto"/>
              </w:rPr>
            </w:pPr>
            <w:r>
              <w:rPr>
                <w:rFonts w:ascii="Arial" w:cs="Arial" w:eastAsia="Arial" w:hAnsi="Arial"/>
                <w:sz w:val="16"/>
                <w:szCs w:val="16"/>
                <w:color w:val="auto"/>
              </w:rPr>
              <w:t>-29.4%</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1460" w:right="260" w:hanging="318"/>
        <w:spacing w:after="0" w:line="263" w:lineRule="auto"/>
        <w:tabs>
          <w:tab w:leader="none" w:pos="1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Gross profit at the segment level is considered a Non-GAAP financial measure due to the included effects of intercompany transactions. Refer to the reconciliation of gross profit by segment to consolidated gross profit presented under the Reconciliation of Segment Results to Consolidated Results of Operations above.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Wholesale sales by major product category are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940" w:type="dxa"/>
            <w:vAlign w:val="bottom"/>
            <w:tcBorders>
              <w:bottom w:val="single" w:sz="8" w:color="auto"/>
            </w:tcBorders>
            <w:gridSpan w:val="3"/>
          </w:tcPr>
          <w:p>
            <w:pPr>
              <w:jc w:val="right"/>
              <w:ind w:right="550"/>
              <w:spacing w:after="0"/>
              <w:rPr>
                <w:sz w:val="20"/>
                <w:szCs w:val="20"/>
                <w:color w:val="auto"/>
              </w:rPr>
            </w:pPr>
            <w:r>
              <w:rPr>
                <w:rFonts w:ascii="Arial" w:cs="Arial" w:eastAsia="Arial" w:hAnsi="Arial"/>
                <w:sz w:val="18"/>
                <w:szCs w:val="18"/>
                <w:color w:val="auto"/>
              </w:rPr>
              <w:t>Quarter Ended</w:t>
            </w:r>
          </w:p>
        </w:tc>
        <w:tc>
          <w:tcPr>
            <w:tcW w:w="112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210"/>
        </w:trPr>
        <w:tc>
          <w:tcPr>
            <w:tcW w:w="1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000" w:type="dxa"/>
            <w:vAlign w:val="bottom"/>
            <w:tcBorders>
              <w:bottom w:val="single" w:sz="8" w:color="auto"/>
            </w:tcBorders>
            <w:gridSpan w:val="2"/>
          </w:tcPr>
          <w:p>
            <w:pPr>
              <w:jc w:val="right"/>
              <w:ind w:right="610"/>
              <w:spacing w:after="0"/>
              <w:rPr>
                <w:sz w:val="20"/>
                <w:szCs w:val="20"/>
                <w:color w:val="auto"/>
              </w:rPr>
            </w:pPr>
            <w:r>
              <w:rPr>
                <w:rFonts w:ascii="Arial" w:cs="Arial" w:eastAsia="Arial" w:hAnsi="Arial"/>
                <w:sz w:val="18"/>
                <w:szCs w:val="18"/>
                <w:color w:val="auto"/>
                <w:w w:val="97"/>
              </w:rPr>
              <w:t>August 26, 2023</w:t>
            </w:r>
          </w:p>
        </w:tc>
        <w:tc>
          <w:tcPr>
            <w:tcW w:w="4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000" w:type="dxa"/>
            <w:vAlign w:val="bottom"/>
            <w:tcBorders>
              <w:bottom w:val="single" w:sz="8" w:color="auto"/>
            </w:tcBorders>
            <w:gridSpan w:val="2"/>
          </w:tcPr>
          <w:p>
            <w:pPr>
              <w:jc w:val="right"/>
              <w:ind w:right="630"/>
              <w:spacing w:after="0"/>
              <w:rPr>
                <w:sz w:val="20"/>
                <w:szCs w:val="20"/>
                <w:color w:val="auto"/>
              </w:rPr>
            </w:pPr>
            <w:r>
              <w:rPr>
                <w:rFonts w:ascii="Arial" w:cs="Arial" w:eastAsia="Arial" w:hAnsi="Arial"/>
                <w:sz w:val="18"/>
                <w:szCs w:val="18"/>
                <w:color w:val="auto"/>
                <w:w w:val="96"/>
              </w:rPr>
              <w:t>August 27, 2022</w:t>
            </w:r>
          </w:p>
        </w:tc>
        <w:tc>
          <w:tcPr>
            <w:tcW w:w="4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20" w:type="dxa"/>
            <w:vAlign w:val="bottom"/>
            <w:tcBorders>
              <w:bottom w:val="single" w:sz="8" w:color="auto"/>
            </w:tcBorders>
            <w:gridSpan w:val="2"/>
          </w:tcPr>
          <w:p>
            <w:pPr>
              <w:ind w:left="260"/>
              <w:spacing w:after="0"/>
              <w:rPr>
                <w:sz w:val="20"/>
                <w:szCs w:val="20"/>
                <w:color w:val="auto"/>
              </w:rPr>
            </w:pPr>
            <w:r>
              <w:rPr>
                <w:rFonts w:ascii="Arial" w:cs="Arial" w:eastAsia="Arial" w:hAnsi="Arial"/>
                <w:sz w:val="18"/>
                <w:szCs w:val="18"/>
                <w:color w:val="auto"/>
              </w:rPr>
              <w:t>Total Change</w:t>
            </w:r>
          </w:p>
        </w:tc>
        <w:tc>
          <w:tcPr>
            <w:tcW w:w="160" w:type="dxa"/>
            <w:vAlign w:val="bottom"/>
          </w:tcPr>
          <w:p>
            <w:pPr>
              <w:spacing w:after="0"/>
              <w:rPr>
                <w:sz w:val="18"/>
                <w:szCs w:val="18"/>
                <w:color w:val="auto"/>
              </w:rPr>
            </w:pPr>
          </w:p>
        </w:tc>
      </w:tr>
      <w:tr>
        <w:trPr>
          <w:trHeight w:val="210"/>
        </w:trPr>
        <w:tc>
          <w:tcPr>
            <w:tcW w:w="1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3"/>
              </w:rPr>
              <w:t>External</w:t>
            </w:r>
          </w:p>
        </w:tc>
        <w:tc>
          <w:tcPr>
            <w:tcW w:w="118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color w:val="auto"/>
                <w:w w:val="98"/>
              </w:rPr>
              <w:t>Intercompany</w:t>
            </w:r>
          </w:p>
        </w:tc>
        <w:tc>
          <w:tcPr>
            <w:tcW w:w="11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Total</w:t>
            </w:r>
          </w:p>
        </w:tc>
        <w:tc>
          <w:tcPr>
            <w:tcW w:w="4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84"/>
              </w:rPr>
              <w:t>External</w:t>
            </w:r>
          </w:p>
        </w:tc>
        <w:tc>
          <w:tcPr>
            <w:tcW w:w="1200" w:type="dxa"/>
            <w:vAlign w:val="bottom"/>
            <w:tcBorders>
              <w:bottom w:val="single" w:sz="8" w:color="auto"/>
            </w:tcBorders>
            <w:gridSpan w:val="2"/>
          </w:tcPr>
          <w:p>
            <w:pPr>
              <w:ind w:left="60"/>
              <w:spacing w:after="0"/>
              <w:rPr>
                <w:sz w:val="20"/>
                <w:szCs w:val="20"/>
                <w:color w:val="auto"/>
              </w:rPr>
            </w:pPr>
            <w:r>
              <w:rPr>
                <w:rFonts w:ascii="Arial" w:cs="Arial" w:eastAsia="Arial" w:hAnsi="Arial"/>
                <w:sz w:val="18"/>
                <w:szCs w:val="18"/>
                <w:color w:val="auto"/>
              </w:rPr>
              <w:t>Intercompany</w:t>
            </w: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Total</w:t>
            </w:r>
          </w:p>
        </w:tc>
        <w:tc>
          <w:tcPr>
            <w:tcW w:w="4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Dollars</w:t>
            </w:r>
          </w:p>
        </w:tc>
        <w:tc>
          <w:tcPr>
            <w:tcW w:w="68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w w:val="93"/>
              </w:rPr>
              <w:t>Percent</w:t>
            </w:r>
          </w:p>
        </w:tc>
        <w:tc>
          <w:tcPr>
            <w:tcW w:w="160" w:type="dxa"/>
            <w:vAlign w:val="bottom"/>
          </w:tcPr>
          <w:p>
            <w:pPr>
              <w:spacing w:after="0"/>
              <w:rPr>
                <w:sz w:val="18"/>
                <w:szCs w:val="18"/>
                <w:color w:val="auto"/>
              </w:rPr>
            </w:pPr>
          </w:p>
        </w:tc>
      </w:tr>
      <w:tr>
        <w:trPr>
          <w:trHeight w:val="195"/>
        </w:trPr>
        <w:tc>
          <w:tcPr>
            <w:tcW w:w="176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Bassett Custom</w:t>
            </w:r>
          </w:p>
        </w:tc>
        <w:tc>
          <w:tcPr>
            <w:tcW w:w="180" w:type="dxa"/>
            <w:vAlign w:val="bottom"/>
            <w:tcBorders>
              <w:right w:val="single" w:sz="8" w:color="CCEEFF"/>
            </w:tcBorders>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60" w:type="dxa"/>
            <w:vAlign w:val="bottom"/>
            <w:tcBorders>
              <w:left w:val="single" w:sz="8" w:color="CCEEFF"/>
            </w:tcBorders>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tcBorders>
              <w:right w:val="single" w:sz="8" w:color="CCEEFF"/>
            </w:tcBorders>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80" w:type="dxa"/>
            <w:vAlign w:val="bottom"/>
            <w:tcBorders>
              <w:left w:val="single" w:sz="8" w:color="CCEEFF"/>
            </w:tcBorders>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tcBorders>
              <w:right w:val="single" w:sz="8" w:color="CCEEFF"/>
            </w:tcBorders>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r>
      <w:tr>
        <w:trPr>
          <w:trHeight w:val="230"/>
        </w:trPr>
        <w:tc>
          <w:tcPr>
            <w:tcW w:w="1760" w:type="dxa"/>
            <w:vAlign w:val="bottom"/>
            <w:shd w:val="clear" w:color="auto" w:fill="CCEEFF"/>
          </w:tcPr>
          <w:p>
            <w:pPr>
              <w:spacing w:after="0"/>
              <w:rPr>
                <w:sz w:val="20"/>
                <w:szCs w:val="20"/>
                <w:color w:val="auto"/>
              </w:rPr>
            </w:pPr>
            <w:r>
              <w:rPr>
                <w:rFonts w:ascii="Arial" w:cs="Arial" w:eastAsia="Arial" w:hAnsi="Arial"/>
                <w:sz w:val="18"/>
                <w:szCs w:val="18"/>
                <w:color w:val="auto"/>
              </w:rPr>
              <w:t>Upholstery</w:t>
            </w:r>
          </w:p>
        </w:tc>
        <w:tc>
          <w:tcPr>
            <w:tcW w:w="9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$ 19,985</w:t>
            </w:r>
          </w:p>
        </w:tc>
        <w:tc>
          <w:tcPr>
            <w:tcW w:w="28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15,170</w:t>
            </w:r>
          </w:p>
        </w:tc>
        <w:tc>
          <w:tcPr>
            <w:tcW w:w="110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$ 35,155</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62.0%</w:t>
            </w:r>
          </w:p>
        </w:tc>
        <w:tc>
          <w:tcPr>
            <w:tcW w:w="4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w w:val="99"/>
              </w:rPr>
              <w:t>$ 30,885</w:t>
            </w:r>
          </w:p>
        </w:tc>
        <w:tc>
          <w:tcPr>
            <w:tcW w:w="320" w:type="dxa"/>
            <w:vAlign w:val="bottom"/>
            <w:shd w:val="clear" w:color="auto" w:fill="CCEEFF"/>
          </w:tcPr>
          <w:p>
            <w:pPr>
              <w:ind w:left="6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20,641</w:t>
            </w:r>
          </w:p>
        </w:tc>
        <w:tc>
          <w:tcPr>
            <w:tcW w:w="112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$ 51,526</w:t>
            </w: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65.3%</w:t>
            </w:r>
          </w:p>
        </w:tc>
        <w:tc>
          <w:tcPr>
            <w:tcW w:w="40" w:type="dxa"/>
            <w:vAlign w:val="bottom"/>
            <w:shd w:val="clear" w:color="auto" w:fill="CCEEFF"/>
          </w:tcPr>
          <w:p>
            <w:pPr>
              <w:spacing w:after="0"/>
              <w:rPr>
                <w:sz w:val="20"/>
                <w:szCs w:val="20"/>
                <w:color w:val="auto"/>
              </w:rPr>
            </w:pPr>
          </w:p>
        </w:tc>
        <w:tc>
          <w:tcPr>
            <w:tcW w:w="80" w:type="dxa"/>
            <w:vAlign w:val="bottom"/>
            <w:tcBorders>
              <w:right w:val="single" w:sz="8" w:color="CCEEFF"/>
            </w:tcBorders>
            <w:shd w:val="clear" w:color="auto" w:fill="CCEEFF"/>
          </w:tcPr>
          <w:p>
            <w:pPr>
              <w:spacing w:after="0"/>
              <w:rPr>
                <w:sz w:val="20"/>
                <w:szCs w:val="20"/>
                <w:color w:val="auto"/>
              </w:rPr>
            </w:pPr>
          </w:p>
        </w:tc>
        <w:tc>
          <w:tcPr>
            <w:tcW w:w="8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85"/>
              </w:rPr>
              <w:t>$ (16,371)</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-31.8%</w:t>
            </w:r>
          </w:p>
        </w:tc>
      </w:tr>
      <w:tr>
        <w:trPr>
          <w:trHeight w:val="216"/>
        </w:trPr>
        <w:tc>
          <w:tcPr>
            <w:tcW w:w="1760" w:type="dxa"/>
            <w:vAlign w:val="bottom"/>
          </w:tcPr>
          <w:p>
            <w:pPr>
              <w:spacing w:after="0"/>
              <w:rPr>
                <w:sz w:val="20"/>
                <w:szCs w:val="20"/>
                <w:color w:val="auto"/>
              </w:rPr>
            </w:pPr>
            <w:r>
              <w:rPr>
                <w:rFonts w:ascii="Arial" w:cs="Arial" w:eastAsia="Arial" w:hAnsi="Arial"/>
                <w:sz w:val="18"/>
                <w:szCs w:val="18"/>
                <w:color w:val="auto"/>
              </w:rPr>
              <w:t>Bassett Leather</w:t>
            </w:r>
          </w:p>
        </w:tc>
        <w:tc>
          <w:tcPr>
            <w:tcW w:w="940" w:type="dxa"/>
            <w:vAlign w:val="bottom"/>
            <w:gridSpan w:val="2"/>
          </w:tcPr>
          <w:p>
            <w:pPr>
              <w:jc w:val="right"/>
              <w:ind w:right="10"/>
              <w:spacing w:after="0"/>
              <w:rPr>
                <w:sz w:val="20"/>
                <w:szCs w:val="20"/>
                <w:color w:val="auto"/>
              </w:rPr>
            </w:pPr>
            <w:r>
              <w:rPr>
                <w:rFonts w:ascii="Arial" w:cs="Arial" w:eastAsia="Arial" w:hAnsi="Arial"/>
                <w:sz w:val="18"/>
                <w:szCs w:val="18"/>
                <w:color w:val="auto"/>
              </w:rPr>
              <w:t>6,743</w:t>
            </w:r>
          </w:p>
        </w:tc>
        <w:tc>
          <w:tcPr>
            <w:tcW w:w="280" w:type="dxa"/>
            <w:vAlign w:val="bottom"/>
          </w:tcPr>
          <w:p>
            <w:pPr>
              <w:spacing w:after="0"/>
              <w:rPr>
                <w:sz w:val="18"/>
                <w:szCs w:val="18"/>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278</w:t>
            </w:r>
          </w:p>
        </w:tc>
        <w:tc>
          <w:tcPr>
            <w:tcW w:w="1100" w:type="dxa"/>
            <w:vAlign w:val="bottom"/>
          </w:tcPr>
          <w:p>
            <w:pPr>
              <w:jc w:val="right"/>
              <w:ind w:right="270"/>
              <w:spacing w:after="0"/>
              <w:rPr>
                <w:sz w:val="20"/>
                <w:szCs w:val="20"/>
                <w:color w:val="auto"/>
              </w:rPr>
            </w:pPr>
            <w:r>
              <w:rPr>
                <w:rFonts w:ascii="Arial" w:cs="Arial" w:eastAsia="Arial" w:hAnsi="Arial"/>
                <w:sz w:val="18"/>
                <w:szCs w:val="18"/>
                <w:color w:val="auto"/>
              </w:rPr>
              <w:t>7,021</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12.4%</w:t>
            </w:r>
          </w:p>
        </w:tc>
        <w:tc>
          <w:tcPr>
            <w:tcW w:w="40" w:type="dxa"/>
            <w:vAlign w:val="bottom"/>
          </w:tcPr>
          <w:p>
            <w:pPr>
              <w:spacing w:after="0"/>
              <w:rPr>
                <w:sz w:val="18"/>
                <w:szCs w:val="18"/>
                <w:color w:val="auto"/>
              </w:rPr>
            </w:pPr>
          </w:p>
        </w:tc>
        <w:tc>
          <w:tcPr>
            <w:tcW w:w="840" w:type="dxa"/>
            <w:vAlign w:val="bottom"/>
            <w:gridSpan w:val="2"/>
          </w:tcPr>
          <w:p>
            <w:pPr>
              <w:ind w:left="300"/>
              <w:spacing w:after="0"/>
              <w:rPr>
                <w:sz w:val="20"/>
                <w:szCs w:val="20"/>
                <w:color w:val="auto"/>
              </w:rPr>
            </w:pPr>
            <w:r>
              <w:rPr>
                <w:rFonts w:ascii="Arial" w:cs="Arial" w:eastAsia="Arial" w:hAnsi="Arial"/>
                <w:sz w:val="18"/>
                <w:szCs w:val="18"/>
                <w:color w:val="auto"/>
              </w:rPr>
              <w:t>6,290</w:t>
            </w:r>
          </w:p>
        </w:tc>
        <w:tc>
          <w:tcPr>
            <w:tcW w:w="320" w:type="dxa"/>
            <w:vAlign w:val="bottom"/>
          </w:tcPr>
          <w:p>
            <w:pPr>
              <w:spacing w:after="0"/>
              <w:rPr>
                <w:sz w:val="18"/>
                <w:szCs w:val="18"/>
                <w:color w:val="auto"/>
              </w:rPr>
            </w:pPr>
          </w:p>
        </w:tc>
        <w:tc>
          <w:tcPr>
            <w:tcW w:w="880" w:type="dxa"/>
            <w:vAlign w:val="bottom"/>
          </w:tcPr>
          <w:p>
            <w:pPr>
              <w:jc w:val="right"/>
              <w:ind w:right="50"/>
              <w:spacing w:after="0"/>
              <w:rPr>
                <w:sz w:val="20"/>
                <w:szCs w:val="20"/>
                <w:color w:val="auto"/>
              </w:rPr>
            </w:pPr>
            <w:r>
              <w:rPr>
                <w:rFonts w:ascii="Arial" w:cs="Arial" w:eastAsia="Arial" w:hAnsi="Arial"/>
                <w:sz w:val="18"/>
                <w:szCs w:val="18"/>
                <w:color w:val="auto"/>
              </w:rPr>
              <w:t>24</w:t>
            </w:r>
          </w:p>
        </w:tc>
        <w:tc>
          <w:tcPr>
            <w:tcW w:w="1120" w:type="dxa"/>
            <w:vAlign w:val="bottom"/>
          </w:tcPr>
          <w:p>
            <w:pPr>
              <w:jc w:val="right"/>
              <w:ind w:right="290"/>
              <w:spacing w:after="0"/>
              <w:rPr>
                <w:sz w:val="20"/>
                <w:szCs w:val="20"/>
                <w:color w:val="auto"/>
              </w:rPr>
            </w:pPr>
            <w:r>
              <w:rPr>
                <w:rFonts w:ascii="Arial" w:cs="Arial" w:eastAsia="Arial" w:hAnsi="Arial"/>
                <w:sz w:val="18"/>
                <w:szCs w:val="18"/>
                <w:color w:val="auto"/>
              </w:rPr>
              <w:t>6,314</w:t>
            </w: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8.0%</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ind w:right="90"/>
              <w:spacing w:after="0"/>
              <w:rPr>
                <w:sz w:val="20"/>
                <w:szCs w:val="20"/>
                <w:color w:val="auto"/>
              </w:rPr>
            </w:pPr>
            <w:r>
              <w:rPr>
                <w:rFonts w:ascii="Arial" w:cs="Arial" w:eastAsia="Arial" w:hAnsi="Arial"/>
                <w:sz w:val="18"/>
                <w:szCs w:val="18"/>
                <w:color w:val="auto"/>
              </w:rPr>
              <w:t>707</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11.2%</w:t>
            </w:r>
          </w:p>
        </w:tc>
      </w:tr>
      <w:tr>
        <w:trPr>
          <w:trHeight w:val="216"/>
        </w:trPr>
        <w:tc>
          <w:tcPr>
            <w:tcW w:w="1760" w:type="dxa"/>
            <w:vAlign w:val="bottom"/>
            <w:shd w:val="clear" w:color="auto" w:fill="CCEEFF"/>
          </w:tcPr>
          <w:p>
            <w:pPr>
              <w:spacing w:after="0"/>
              <w:rPr>
                <w:sz w:val="20"/>
                <w:szCs w:val="20"/>
                <w:color w:val="auto"/>
              </w:rPr>
            </w:pPr>
            <w:r>
              <w:rPr>
                <w:rFonts w:ascii="Arial" w:cs="Arial" w:eastAsia="Arial" w:hAnsi="Arial"/>
                <w:sz w:val="18"/>
                <w:szCs w:val="18"/>
                <w:color w:val="auto"/>
                <w:w w:val="97"/>
              </w:rPr>
              <w:t>Bassett Custom Wood</w:t>
            </w:r>
          </w:p>
        </w:tc>
        <w:tc>
          <w:tcPr>
            <w:tcW w:w="9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3,564</w:t>
            </w: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4,564</w:t>
            </w:r>
          </w:p>
        </w:tc>
        <w:tc>
          <w:tcPr>
            <w:tcW w:w="110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8,128</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14.3%</w:t>
            </w:r>
          </w:p>
        </w:tc>
        <w:tc>
          <w:tcPr>
            <w:tcW w:w="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5,564</w:t>
            </w: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5,995</w:t>
            </w:r>
          </w:p>
        </w:tc>
        <w:tc>
          <w:tcPr>
            <w:tcW w:w="112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11,559</w:t>
            </w: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14.6%</w:t>
            </w:r>
          </w:p>
        </w:tc>
        <w:tc>
          <w:tcPr>
            <w:tcW w:w="4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8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(3,431)</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-29.7%</w:t>
            </w:r>
          </w:p>
        </w:tc>
      </w:tr>
      <w:tr>
        <w:trPr>
          <w:trHeight w:val="216"/>
        </w:trPr>
        <w:tc>
          <w:tcPr>
            <w:tcW w:w="1760" w:type="dxa"/>
            <w:vAlign w:val="bottom"/>
          </w:tcPr>
          <w:p>
            <w:pPr>
              <w:spacing w:after="0"/>
              <w:rPr>
                <w:sz w:val="20"/>
                <w:szCs w:val="20"/>
                <w:color w:val="auto"/>
              </w:rPr>
            </w:pPr>
            <w:r>
              <w:rPr>
                <w:rFonts w:ascii="Arial" w:cs="Arial" w:eastAsia="Arial" w:hAnsi="Arial"/>
                <w:sz w:val="18"/>
                <w:szCs w:val="18"/>
                <w:color w:val="auto"/>
              </w:rPr>
              <w:t>Bassett Casegoods</w:t>
            </w:r>
          </w:p>
        </w:tc>
        <w:tc>
          <w:tcPr>
            <w:tcW w:w="180" w:type="dxa"/>
            <w:vAlign w:val="bottom"/>
          </w:tcPr>
          <w:p>
            <w:pPr>
              <w:spacing w:after="0"/>
              <w:rPr>
                <w:sz w:val="18"/>
                <w:szCs w:val="18"/>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2,865</w:t>
            </w:r>
          </w:p>
        </w:tc>
        <w:tc>
          <w:tcPr>
            <w:tcW w:w="280" w:type="dxa"/>
            <w:vAlign w:val="bottom"/>
          </w:tcPr>
          <w:p>
            <w:pPr>
              <w:spacing w:after="0"/>
              <w:rPr>
                <w:sz w:val="18"/>
                <w:szCs w:val="18"/>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3,491</w:t>
            </w:r>
          </w:p>
        </w:tc>
        <w:tc>
          <w:tcPr>
            <w:tcW w:w="1100" w:type="dxa"/>
            <w:vAlign w:val="bottom"/>
          </w:tcPr>
          <w:p>
            <w:pPr>
              <w:jc w:val="right"/>
              <w:ind w:right="270"/>
              <w:spacing w:after="0"/>
              <w:rPr>
                <w:sz w:val="20"/>
                <w:szCs w:val="20"/>
                <w:color w:val="auto"/>
              </w:rPr>
            </w:pPr>
            <w:r>
              <w:rPr>
                <w:rFonts w:ascii="Arial" w:cs="Arial" w:eastAsia="Arial" w:hAnsi="Arial"/>
                <w:sz w:val="18"/>
                <w:szCs w:val="18"/>
                <w:color w:val="auto"/>
              </w:rPr>
              <w:t>6,356</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11.2%</w:t>
            </w:r>
          </w:p>
        </w:tc>
        <w:tc>
          <w:tcPr>
            <w:tcW w:w="40" w:type="dxa"/>
            <w:vAlign w:val="bottom"/>
          </w:tcPr>
          <w:p>
            <w:pPr>
              <w:spacing w:after="0"/>
              <w:rPr>
                <w:sz w:val="18"/>
                <w:szCs w:val="18"/>
                <w:color w:val="auto"/>
              </w:rPr>
            </w:pPr>
          </w:p>
        </w:tc>
        <w:tc>
          <w:tcPr>
            <w:tcW w:w="840" w:type="dxa"/>
            <w:vAlign w:val="bottom"/>
            <w:gridSpan w:val="2"/>
          </w:tcPr>
          <w:p>
            <w:pPr>
              <w:ind w:left="300"/>
              <w:spacing w:after="0"/>
              <w:rPr>
                <w:sz w:val="20"/>
                <w:szCs w:val="20"/>
                <w:color w:val="auto"/>
              </w:rPr>
            </w:pPr>
            <w:r>
              <w:rPr>
                <w:rFonts w:ascii="Arial" w:cs="Arial" w:eastAsia="Arial" w:hAnsi="Arial"/>
                <w:sz w:val="18"/>
                <w:szCs w:val="18"/>
                <w:color w:val="auto"/>
              </w:rPr>
              <w:t>4,387</w:t>
            </w:r>
          </w:p>
        </w:tc>
        <w:tc>
          <w:tcPr>
            <w:tcW w:w="320" w:type="dxa"/>
            <w:vAlign w:val="bottom"/>
          </w:tcPr>
          <w:p>
            <w:pPr>
              <w:spacing w:after="0"/>
              <w:rPr>
                <w:sz w:val="18"/>
                <w:szCs w:val="18"/>
                <w:color w:val="auto"/>
              </w:rPr>
            </w:pPr>
          </w:p>
        </w:tc>
        <w:tc>
          <w:tcPr>
            <w:tcW w:w="880" w:type="dxa"/>
            <w:vAlign w:val="bottom"/>
          </w:tcPr>
          <w:p>
            <w:pPr>
              <w:jc w:val="right"/>
              <w:ind w:right="50"/>
              <w:spacing w:after="0"/>
              <w:rPr>
                <w:sz w:val="20"/>
                <w:szCs w:val="20"/>
                <w:color w:val="auto"/>
              </w:rPr>
            </w:pPr>
            <w:r>
              <w:rPr>
                <w:rFonts w:ascii="Arial" w:cs="Arial" w:eastAsia="Arial" w:hAnsi="Arial"/>
                <w:sz w:val="18"/>
                <w:szCs w:val="18"/>
                <w:color w:val="auto"/>
              </w:rPr>
              <w:t>5,173</w:t>
            </w:r>
          </w:p>
        </w:tc>
        <w:tc>
          <w:tcPr>
            <w:tcW w:w="1120" w:type="dxa"/>
            <w:vAlign w:val="bottom"/>
          </w:tcPr>
          <w:p>
            <w:pPr>
              <w:jc w:val="right"/>
              <w:ind w:right="290"/>
              <w:spacing w:after="0"/>
              <w:rPr>
                <w:sz w:val="20"/>
                <w:szCs w:val="20"/>
                <w:color w:val="auto"/>
              </w:rPr>
            </w:pPr>
            <w:r>
              <w:rPr>
                <w:rFonts w:ascii="Arial" w:cs="Arial" w:eastAsia="Arial" w:hAnsi="Arial"/>
                <w:sz w:val="18"/>
                <w:szCs w:val="18"/>
                <w:color w:val="auto"/>
              </w:rPr>
              <w:t>9,560</w:t>
            </w: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12.1%</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(3,204)</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-33.5%</w:t>
            </w:r>
          </w:p>
        </w:tc>
      </w:tr>
      <w:tr>
        <w:trPr>
          <w:trHeight w:val="20"/>
        </w:trPr>
        <w:tc>
          <w:tcPr>
            <w:tcW w:w="1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49"/>
        </w:trPr>
        <w:tc>
          <w:tcPr>
            <w:tcW w:w="176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9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$ 33,157</w:t>
            </w:r>
          </w:p>
        </w:tc>
        <w:tc>
          <w:tcPr>
            <w:tcW w:w="28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23,503</w:t>
            </w:r>
          </w:p>
        </w:tc>
        <w:tc>
          <w:tcPr>
            <w:tcW w:w="110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$ 56,660</w:t>
            </w:r>
          </w:p>
        </w:tc>
        <w:tc>
          <w:tcPr>
            <w:tcW w:w="1500" w:type="dxa"/>
            <w:vAlign w:val="bottom"/>
            <w:gridSpan w:val="5"/>
            <w:shd w:val="clear" w:color="auto" w:fill="CCEEFF"/>
          </w:tcPr>
          <w:p>
            <w:pPr>
              <w:jc w:val="right"/>
              <w:ind w:right="30"/>
              <w:spacing w:after="0" w:line="210" w:lineRule="exact"/>
              <w:rPr>
                <w:sz w:val="20"/>
                <w:szCs w:val="20"/>
                <w:color w:val="auto"/>
              </w:rPr>
            </w:pPr>
            <w:r>
              <w:rPr>
                <w:rFonts w:ascii="Arial" w:cs="Arial" w:eastAsia="Arial" w:hAnsi="Arial"/>
                <w:sz w:val="14"/>
                <w:szCs w:val="14"/>
                <w:color w:val="auto"/>
              </w:rPr>
              <w:t>100.0</w:t>
            </w:r>
            <w:r>
              <w:rPr>
                <w:rFonts w:ascii="Arial" w:cs="Arial" w:eastAsia="Arial" w:hAnsi="Arial"/>
                <w:sz w:val="24"/>
                <w:szCs w:val="24"/>
                <w:color w:val="auto"/>
                <w:vertAlign w:val="subscript"/>
              </w:rPr>
              <w:t>%</w:t>
            </w:r>
            <w:r>
              <w:rPr>
                <w:rFonts w:ascii="Arial" w:cs="Arial" w:eastAsia="Arial" w:hAnsi="Arial"/>
                <w:sz w:val="14"/>
                <w:szCs w:val="14"/>
                <w:color w:val="auto"/>
              </w:rPr>
              <w:t xml:space="preserve"> $ 47,126</w:t>
            </w:r>
          </w:p>
        </w:tc>
        <w:tc>
          <w:tcPr>
            <w:tcW w:w="320" w:type="dxa"/>
            <w:vAlign w:val="bottom"/>
            <w:shd w:val="clear" w:color="auto" w:fill="CCEEFF"/>
          </w:tcPr>
          <w:p>
            <w:pPr>
              <w:ind w:left="6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31,833</w:t>
            </w:r>
          </w:p>
        </w:tc>
        <w:tc>
          <w:tcPr>
            <w:tcW w:w="112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$ 78,959</w:t>
            </w:r>
          </w:p>
        </w:tc>
        <w:tc>
          <w:tcPr>
            <w:tcW w:w="640" w:type="dxa"/>
            <w:vAlign w:val="bottom"/>
            <w:gridSpan w:val="2"/>
            <w:shd w:val="clear" w:color="auto" w:fill="CCEEFF"/>
          </w:tcPr>
          <w:p>
            <w:pPr>
              <w:jc w:val="right"/>
              <w:ind w:right="20"/>
              <w:spacing w:after="0" w:line="210" w:lineRule="exact"/>
              <w:rPr>
                <w:sz w:val="20"/>
                <w:szCs w:val="20"/>
                <w:color w:val="auto"/>
              </w:rPr>
            </w:pPr>
            <w:r>
              <w:rPr>
                <w:rFonts w:ascii="Arial" w:cs="Arial" w:eastAsia="Arial" w:hAnsi="Arial"/>
                <w:sz w:val="14"/>
                <w:szCs w:val="14"/>
                <w:color w:val="auto"/>
              </w:rPr>
              <w:t>100.0</w:t>
            </w:r>
            <w:r>
              <w:rPr>
                <w:rFonts w:ascii="Arial" w:cs="Arial" w:eastAsia="Arial" w:hAnsi="Arial"/>
                <w:sz w:val="24"/>
                <w:szCs w:val="24"/>
                <w:color w:val="auto"/>
                <w:vertAlign w:val="subscript"/>
              </w:rPr>
              <w:t>%</w:t>
            </w:r>
          </w:p>
        </w:tc>
        <w:tc>
          <w:tcPr>
            <w:tcW w:w="40" w:type="dxa"/>
            <w:vAlign w:val="bottom"/>
            <w:shd w:val="clear" w:color="auto" w:fill="CCEEFF"/>
          </w:tcPr>
          <w:p>
            <w:pPr>
              <w:spacing w:after="0"/>
              <w:rPr>
                <w:sz w:val="21"/>
                <w:szCs w:val="21"/>
                <w:color w:val="auto"/>
              </w:rPr>
            </w:pPr>
          </w:p>
        </w:tc>
        <w:tc>
          <w:tcPr>
            <w:tcW w:w="80" w:type="dxa"/>
            <w:vAlign w:val="bottom"/>
            <w:tcBorders>
              <w:right w:val="single" w:sz="8" w:color="CCEEFF"/>
            </w:tcBorders>
            <w:shd w:val="clear" w:color="auto" w:fill="CCEEFF"/>
          </w:tcPr>
          <w:p>
            <w:pPr>
              <w:spacing w:after="0"/>
              <w:rPr>
                <w:sz w:val="21"/>
                <w:szCs w:val="21"/>
                <w:color w:val="auto"/>
              </w:rPr>
            </w:pPr>
          </w:p>
        </w:tc>
        <w:tc>
          <w:tcPr>
            <w:tcW w:w="8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85"/>
              </w:rPr>
              <w:t>$ (22,299)</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-28.2%</w:t>
            </w:r>
          </w:p>
        </w:tc>
      </w:tr>
      <w:tr>
        <w:trPr>
          <w:trHeight w:val="413"/>
        </w:trPr>
        <w:tc>
          <w:tcPr>
            <w:tcW w:w="1760" w:type="dxa"/>
            <w:vAlign w:val="bottom"/>
            <w:tcBorders>
              <w:top w:val="single" w:sz="8" w:color="CCEEFF"/>
            </w:tcBorders>
          </w:tcPr>
          <w:p>
            <w:pPr>
              <w:spacing w:after="0"/>
              <w:rPr>
                <w:sz w:val="24"/>
                <w:szCs w:val="24"/>
                <w:color w:val="auto"/>
              </w:rPr>
            </w:pPr>
          </w:p>
        </w:tc>
        <w:tc>
          <w:tcPr>
            <w:tcW w:w="180" w:type="dxa"/>
            <w:vAlign w:val="bottom"/>
            <w:tcBorders>
              <w:top w:val="single" w:sz="8" w:color="CCEEFF"/>
            </w:tcBorders>
          </w:tcPr>
          <w:p>
            <w:pPr>
              <w:spacing w:after="0"/>
              <w:rPr>
                <w:sz w:val="24"/>
                <w:szCs w:val="24"/>
                <w:color w:val="auto"/>
              </w:rPr>
            </w:pPr>
          </w:p>
        </w:tc>
        <w:tc>
          <w:tcPr>
            <w:tcW w:w="760" w:type="dxa"/>
            <w:vAlign w:val="bottom"/>
            <w:tcBorders>
              <w:top w:val="single" w:sz="8" w:color="auto"/>
              <w:bottom w:val="single" w:sz="8" w:color="auto"/>
            </w:tcBorders>
          </w:tcPr>
          <w:p>
            <w:pPr>
              <w:spacing w:after="0"/>
              <w:rPr>
                <w:sz w:val="24"/>
                <w:szCs w:val="24"/>
                <w:color w:val="auto"/>
              </w:rPr>
            </w:pPr>
          </w:p>
        </w:tc>
        <w:tc>
          <w:tcPr>
            <w:tcW w:w="280" w:type="dxa"/>
            <w:vAlign w:val="bottom"/>
            <w:tcBorders>
              <w:top w:val="single" w:sz="8" w:color="auto"/>
              <w:bottom w:val="single" w:sz="8" w:color="auto"/>
            </w:tcBorders>
          </w:tcPr>
          <w:p>
            <w:pPr>
              <w:spacing w:after="0"/>
              <w:rPr>
                <w:sz w:val="24"/>
                <w:szCs w:val="24"/>
                <w:color w:val="auto"/>
              </w:rPr>
            </w:pPr>
          </w:p>
        </w:tc>
        <w:tc>
          <w:tcPr>
            <w:tcW w:w="900" w:type="dxa"/>
            <w:vAlign w:val="bottom"/>
            <w:tcBorders>
              <w:top w:val="single" w:sz="8" w:color="auto"/>
              <w:bottom w:val="single" w:sz="8" w:color="auto"/>
            </w:tcBorders>
          </w:tcPr>
          <w:p>
            <w:pPr>
              <w:spacing w:after="0"/>
              <w:rPr>
                <w:sz w:val="24"/>
                <w:szCs w:val="24"/>
                <w:color w:val="auto"/>
              </w:rPr>
            </w:pPr>
          </w:p>
        </w:tc>
        <w:tc>
          <w:tcPr>
            <w:tcW w:w="1100" w:type="dxa"/>
            <w:vAlign w:val="bottom"/>
            <w:tcBorders>
              <w:top w:val="single" w:sz="8" w:color="auto"/>
              <w:bottom w:val="single" w:sz="8" w:color="auto"/>
            </w:tcBorders>
          </w:tcPr>
          <w:p>
            <w:pPr>
              <w:spacing w:after="0"/>
              <w:rPr>
                <w:sz w:val="24"/>
                <w:szCs w:val="24"/>
                <w:color w:val="auto"/>
              </w:rPr>
            </w:pPr>
          </w:p>
        </w:tc>
        <w:tc>
          <w:tcPr>
            <w:tcW w:w="460" w:type="dxa"/>
            <w:vAlign w:val="bottom"/>
            <w:tcBorders>
              <w:top w:val="single" w:sz="8" w:color="auto"/>
              <w:bottom w:val="single" w:sz="8" w:color="auto"/>
            </w:tcBorders>
          </w:tcPr>
          <w:p>
            <w:pPr>
              <w:spacing w:after="0"/>
              <w:rPr>
                <w:sz w:val="24"/>
                <w:szCs w:val="24"/>
                <w:color w:val="auto"/>
              </w:rPr>
            </w:pPr>
          </w:p>
        </w:tc>
        <w:tc>
          <w:tcPr>
            <w:tcW w:w="160" w:type="dxa"/>
            <w:vAlign w:val="bottom"/>
            <w:tcBorders>
              <w:top w:val="single" w:sz="8" w:color="CCEEFF"/>
              <w:bottom w:val="single" w:sz="8" w:color="auto"/>
            </w:tcBorders>
          </w:tcPr>
          <w:p>
            <w:pPr>
              <w:spacing w:after="0"/>
              <w:rPr>
                <w:sz w:val="24"/>
                <w:szCs w:val="24"/>
                <w:color w:val="auto"/>
              </w:rPr>
            </w:pPr>
          </w:p>
        </w:tc>
        <w:tc>
          <w:tcPr>
            <w:tcW w:w="40" w:type="dxa"/>
            <w:vAlign w:val="bottom"/>
            <w:tcBorders>
              <w:top w:val="single" w:sz="8" w:color="CCEEFF"/>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c>
          <w:tcPr>
            <w:tcW w:w="1940" w:type="dxa"/>
            <w:vAlign w:val="bottom"/>
            <w:tcBorders>
              <w:top w:val="single" w:sz="8" w:color="auto"/>
              <w:bottom w:val="single" w:sz="8" w:color="auto"/>
            </w:tcBorders>
            <w:gridSpan w:val="3"/>
          </w:tcPr>
          <w:p>
            <w:pPr>
              <w:jc w:val="right"/>
              <w:ind w:right="370"/>
              <w:spacing w:after="0"/>
              <w:rPr>
                <w:sz w:val="20"/>
                <w:szCs w:val="20"/>
                <w:color w:val="auto"/>
              </w:rPr>
            </w:pPr>
            <w:r>
              <w:rPr>
                <w:rFonts w:ascii="Arial" w:cs="Arial" w:eastAsia="Arial" w:hAnsi="Arial"/>
                <w:sz w:val="18"/>
                <w:szCs w:val="18"/>
                <w:color w:val="auto"/>
                <w:w w:val="92"/>
              </w:rPr>
              <w:t>Nine Months Ended</w:t>
            </w:r>
          </w:p>
        </w:tc>
        <w:tc>
          <w:tcPr>
            <w:tcW w:w="1120" w:type="dxa"/>
            <w:vAlign w:val="bottom"/>
            <w:tcBorders>
              <w:top w:val="single" w:sz="8" w:color="auto"/>
              <w:bottom w:val="single" w:sz="8" w:color="auto"/>
            </w:tcBorders>
          </w:tcPr>
          <w:p>
            <w:pPr>
              <w:spacing w:after="0"/>
              <w:rPr>
                <w:sz w:val="24"/>
                <w:szCs w:val="24"/>
                <w:color w:val="auto"/>
              </w:rPr>
            </w:pPr>
          </w:p>
        </w:tc>
        <w:tc>
          <w:tcPr>
            <w:tcW w:w="460" w:type="dxa"/>
            <w:vAlign w:val="bottom"/>
            <w:tcBorders>
              <w:top w:val="single" w:sz="8" w:color="auto"/>
              <w:bottom w:val="single" w:sz="8" w:color="auto"/>
            </w:tcBorders>
          </w:tcPr>
          <w:p>
            <w:pPr>
              <w:spacing w:after="0"/>
              <w:rPr>
                <w:sz w:val="24"/>
                <w:szCs w:val="24"/>
                <w:color w:val="auto"/>
              </w:rPr>
            </w:pPr>
          </w:p>
        </w:tc>
        <w:tc>
          <w:tcPr>
            <w:tcW w:w="180" w:type="dxa"/>
            <w:vAlign w:val="bottom"/>
            <w:tcBorders>
              <w:top w:val="single" w:sz="8" w:color="CCEEFF"/>
              <w:bottom w:val="single" w:sz="8" w:color="auto"/>
            </w:tcBorders>
          </w:tcPr>
          <w:p>
            <w:pPr>
              <w:spacing w:after="0"/>
              <w:rPr>
                <w:sz w:val="24"/>
                <w:szCs w:val="24"/>
                <w:color w:val="auto"/>
              </w:rPr>
            </w:pPr>
          </w:p>
        </w:tc>
        <w:tc>
          <w:tcPr>
            <w:tcW w:w="40" w:type="dxa"/>
            <w:vAlign w:val="bottom"/>
            <w:tcBorders>
              <w:top w:val="single" w:sz="8" w:color="CCEEFF"/>
              <w:bottom w:val="single" w:sz="8" w:color="auto"/>
            </w:tcBorders>
          </w:tcPr>
          <w:p>
            <w:pPr>
              <w:spacing w:after="0"/>
              <w:rPr>
                <w:sz w:val="24"/>
                <w:szCs w:val="24"/>
                <w:color w:val="auto"/>
              </w:rPr>
            </w:pPr>
          </w:p>
        </w:tc>
        <w:tc>
          <w:tcPr>
            <w:tcW w:w="80" w:type="dxa"/>
            <w:vAlign w:val="bottom"/>
            <w:tcBorders>
              <w:top w:val="single" w:sz="8" w:color="CCEEFF"/>
              <w:bottom w:val="single" w:sz="8" w:color="auto"/>
            </w:tcBorders>
          </w:tcPr>
          <w:p>
            <w:pPr>
              <w:spacing w:after="0"/>
              <w:rPr>
                <w:sz w:val="24"/>
                <w:szCs w:val="24"/>
                <w:color w:val="auto"/>
              </w:rPr>
            </w:pPr>
          </w:p>
        </w:tc>
        <w:tc>
          <w:tcPr>
            <w:tcW w:w="840" w:type="dxa"/>
            <w:vAlign w:val="bottom"/>
            <w:tcBorders>
              <w:top w:val="single" w:sz="8" w:color="auto"/>
              <w:bottom w:val="single" w:sz="8" w:color="auto"/>
            </w:tcBorders>
          </w:tcPr>
          <w:p>
            <w:pPr>
              <w:spacing w:after="0"/>
              <w:rPr>
                <w:sz w:val="24"/>
                <w:szCs w:val="24"/>
                <w:color w:val="auto"/>
              </w:rPr>
            </w:pPr>
          </w:p>
        </w:tc>
        <w:tc>
          <w:tcPr>
            <w:tcW w:w="680" w:type="dxa"/>
            <w:vAlign w:val="bottom"/>
            <w:tcBorders>
              <w:top w:val="single" w:sz="8" w:color="auto"/>
              <w:bottom w:val="single" w:sz="8" w:color="auto"/>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r>
      <w:tr>
        <w:trPr>
          <w:trHeight w:val="210"/>
        </w:trPr>
        <w:tc>
          <w:tcPr>
            <w:tcW w:w="1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000" w:type="dxa"/>
            <w:vAlign w:val="bottom"/>
            <w:tcBorders>
              <w:bottom w:val="single" w:sz="8" w:color="auto"/>
            </w:tcBorders>
            <w:gridSpan w:val="2"/>
          </w:tcPr>
          <w:p>
            <w:pPr>
              <w:jc w:val="right"/>
              <w:ind w:right="590"/>
              <w:spacing w:after="0"/>
              <w:rPr>
                <w:sz w:val="20"/>
                <w:szCs w:val="20"/>
                <w:color w:val="auto"/>
              </w:rPr>
            </w:pPr>
            <w:r>
              <w:rPr>
                <w:rFonts w:ascii="Arial" w:cs="Arial" w:eastAsia="Arial" w:hAnsi="Arial"/>
                <w:sz w:val="18"/>
                <w:szCs w:val="18"/>
                <w:color w:val="auto"/>
                <w:w w:val="99"/>
              </w:rPr>
              <w:t>August 26, 2023</w:t>
            </w:r>
          </w:p>
        </w:tc>
        <w:tc>
          <w:tcPr>
            <w:tcW w:w="4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000" w:type="dxa"/>
            <w:vAlign w:val="bottom"/>
            <w:tcBorders>
              <w:bottom w:val="single" w:sz="8" w:color="auto"/>
            </w:tcBorders>
            <w:gridSpan w:val="2"/>
          </w:tcPr>
          <w:p>
            <w:pPr>
              <w:jc w:val="right"/>
              <w:ind w:right="590"/>
              <w:spacing w:after="0"/>
              <w:rPr>
                <w:sz w:val="20"/>
                <w:szCs w:val="20"/>
                <w:color w:val="auto"/>
              </w:rPr>
            </w:pPr>
            <w:r>
              <w:rPr>
                <w:rFonts w:ascii="Arial" w:cs="Arial" w:eastAsia="Arial" w:hAnsi="Arial"/>
                <w:sz w:val="18"/>
                <w:szCs w:val="18"/>
                <w:color w:val="auto"/>
                <w:w w:val="99"/>
              </w:rPr>
              <w:t>August 27, 2022</w:t>
            </w:r>
          </w:p>
        </w:tc>
        <w:tc>
          <w:tcPr>
            <w:tcW w:w="4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520" w:type="dxa"/>
            <w:vAlign w:val="bottom"/>
            <w:tcBorders>
              <w:bottom w:val="single" w:sz="8" w:color="auto"/>
            </w:tcBorders>
            <w:gridSpan w:val="2"/>
          </w:tcPr>
          <w:p>
            <w:pPr>
              <w:ind w:left="280"/>
              <w:spacing w:after="0"/>
              <w:rPr>
                <w:sz w:val="20"/>
                <w:szCs w:val="20"/>
                <w:color w:val="auto"/>
              </w:rPr>
            </w:pPr>
            <w:r>
              <w:rPr>
                <w:rFonts w:ascii="Arial" w:cs="Arial" w:eastAsia="Arial" w:hAnsi="Arial"/>
                <w:sz w:val="18"/>
                <w:szCs w:val="18"/>
                <w:color w:val="auto"/>
              </w:rPr>
              <w:t>Total Change</w:t>
            </w:r>
          </w:p>
        </w:tc>
        <w:tc>
          <w:tcPr>
            <w:tcW w:w="160" w:type="dxa"/>
            <w:vAlign w:val="bottom"/>
          </w:tcPr>
          <w:p>
            <w:pPr>
              <w:spacing w:after="0"/>
              <w:rPr>
                <w:sz w:val="18"/>
                <w:szCs w:val="18"/>
                <w:color w:val="auto"/>
              </w:rPr>
            </w:pPr>
          </w:p>
        </w:tc>
      </w:tr>
      <w:tr>
        <w:trPr>
          <w:trHeight w:val="210"/>
        </w:trPr>
        <w:tc>
          <w:tcPr>
            <w:tcW w:w="1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0"/>
              </w:rPr>
              <w:t>External</w:t>
            </w:r>
          </w:p>
        </w:tc>
        <w:tc>
          <w:tcPr>
            <w:tcW w:w="118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color w:val="auto"/>
                <w:w w:val="98"/>
              </w:rPr>
              <w:t>Intercompany</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Total</w:t>
            </w:r>
          </w:p>
        </w:tc>
        <w:tc>
          <w:tcPr>
            <w:tcW w:w="4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3"/>
              </w:rPr>
              <w:t>External</w:t>
            </w:r>
          </w:p>
        </w:tc>
        <w:tc>
          <w:tcPr>
            <w:tcW w:w="1200" w:type="dxa"/>
            <w:vAlign w:val="bottom"/>
            <w:tcBorders>
              <w:bottom w:val="single" w:sz="8" w:color="auto"/>
            </w:tcBorders>
            <w:gridSpan w:val="2"/>
          </w:tcPr>
          <w:p>
            <w:pPr>
              <w:ind w:left="140"/>
              <w:spacing w:after="0"/>
              <w:rPr>
                <w:sz w:val="20"/>
                <w:szCs w:val="20"/>
                <w:color w:val="auto"/>
              </w:rPr>
            </w:pPr>
            <w:r>
              <w:rPr>
                <w:rFonts w:ascii="Arial" w:cs="Arial" w:eastAsia="Arial" w:hAnsi="Arial"/>
                <w:sz w:val="18"/>
                <w:szCs w:val="18"/>
                <w:color w:val="auto"/>
                <w:w w:val="95"/>
              </w:rPr>
              <w:t>Intercompany</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Total</w:t>
            </w:r>
          </w:p>
        </w:tc>
        <w:tc>
          <w:tcPr>
            <w:tcW w:w="4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Dollars</w:t>
            </w:r>
          </w:p>
        </w:tc>
        <w:tc>
          <w:tcPr>
            <w:tcW w:w="6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w w:val="90"/>
              </w:rPr>
              <w:t>Percent</w:t>
            </w:r>
          </w:p>
        </w:tc>
        <w:tc>
          <w:tcPr>
            <w:tcW w:w="160" w:type="dxa"/>
            <w:vAlign w:val="bottom"/>
          </w:tcPr>
          <w:p>
            <w:pPr>
              <w:spacing w:after="0"/>
              <w:rPr>
                <w:sz w:val="18"/>
                <w:szCs w:val="18"/>
                <w:color w:val="auto"/>
              </w:rPr>
            </w:pPr>
          </w:p>
        </w:tc>
      </w:tr>
      <w:tr>
        <w:trPr>
          <w:trHeight w:val="195"/>
        </w:trPr>
        <w:tc>
          <w:tcPr>
            <w:tcW w:w="176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Bassett Custom</w:t>
            </w:r>
          </w:p>
        </w:tc>
        <w:tc>
          <w:tcPr>
            <w:tcW w:w="180" w:type="dxa"/>
            <w:vAlign w:val="bottom"/>
            <w:tcBorders>
              <w:right w:val="single" w:sz="8" w:color="CCEEFF"/>
            </w:tcBorders>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60" w:type="dxa"/>
            <w:vAlign w:val="bottom"/>
            <w:tcBorders>
              <w:left w:val="single" w:sz="8" w:color="CCEEFF"/>
            </w:tcBorders>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tcBorders>
              <w:right w:val="single" w:sz="8" w:color="CCEEFF"/>
            </w:tcBorders>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80" w:type="dxa"/>
            <w:vAlign w:val="bottom"/>
            <w:tcBorders>
              <w:left w:val="single" w:sz="8" w:color="CCEEFF"/>
            </w:tcBorders>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tcBorders>
              <w:right w:val="single" w:sz="8" w:color="CCEEFF"/>
            </w:tcBorders>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r>
      <w:tr>
        <w:trPr>
          <w:trHeight w:val="230"/>
        </w:trPr>
        <w:tc>
          <w:tcPr>
            <w:tcW w:w="1760" w:type="dxa"/>
            <w:vAlign w:val="bottom"/>
            <w:shd w:val="clear" w:color="auto" w:fill="CCEEFF"/>
          </w:tcPr>
          <w:p>
            <w:pPr>
              <w:spacing w:after="0"/>
              <w:rPr>
                <w:sz w:val="20"/>
                <w:szCs w:val="20"/>
                <w:color w:val="auto"/>
              </w:rPr>
            </w:pPr>
            <w:r>
              <w:rPr>
                <w:rFonts w:ascii="Arial" w:cs="Arial" w:eastAsia="Arial" w:hAnsi="Arial"/>
                <w:sz w:val="18"/>
                <w:szCs w:val="18"/>
                <w:color w:val="auto"/>
              </w:rPr>
              <w:t>Upholstery</w:t>
            </w:r>
          </w:p>
        </w:tc>
        <w:tc>
          <w:tcPr>
            <w:tcW w:w="9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$ 68,641</w:t>
            </w:r>
          </w:p>
        </w:tc>
        <w:tc>
          <w:tcPr>
            <w:tcW w:w="28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50,427</w:t>
            </w:r>
          </w:p>
        </w:tc>
        <w:tc>
          <w:tcPr>
            <w:tcW w:w="11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7"/>
              </w:rPr>
              <w:t>$ 119,068</w:t>
            </w:r>
          </w:p>
        </w:tc>
        <w:tc>
          <w:tcPr>
            <w:tcW w:w="6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63.2%</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96,636</w:t>
            </w:r>
          </w:p>
        </w:tc>
        <w:tc>
          <w:tcPr>
            <w:tcW w:w="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64,075</w:t>
            </w:r>
          </w:p>
        </w:tc>
        <w:tc>
          <w:tcPr>
            <w:tcW w:w="112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$ 160,711</w:t>
            </w:r>
          </w:p>
        </w:tc>
        <w:tc>
          <w:tcPr>
            <w:tcW w:w="6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64.3%</w:t>
            </w:r>
          </w:p>
        </w:tc>
        <w:tc>
          <w:tcPr>
            <w:tcW w:w="80" w:type="dxa"/>
            <w:vAlign w:val="bottom"/>
            <w:tcBorders>
              <w:right w:val="single" w:sz="8" w:color="CCEEFF"/>
            </w:tcBorders>
            <w:shd w:val="clear" w:color="auto" w:fill="CCEEFF"/>
          </w:tcPr>
          <w:p>
            <w:pPr>
              <w:spacing w:after="0"/>
              <w:rPr>
                <w:sz w:val="20"/>
                <w:szCs w:val="20"/>
                <w:color w:val="auto"/>
              </w:rPr>
            </w:pPr>
          </w:p>
        </w:tc>
        <w:tc>
          <w:tcPr>
            <w:tcW w:w="8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87"/>
              </w:rPr>
              <w:t>$ (41,643)</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-25.9%</w:t>
            </w:r>
          </w:p>
        </w:tc>
      </w:tr>
      <w:tr>
        <w:trPr>
          <w:trHeight w:val="216"/>
        </w:trPr>
        <w:tc>
          <w:tcPr>
            <w:tcW w:w="1760" w:type="dxa"/>
            <w:vAlign w:val="bottom"/>
          </w:tcPr>
          <w:p>
            <w:pPr>
              <w:spacing w:after="0"/>
              <w:rPr>
                <w:sz w:val="20"/>
                <w:szCs w:val="20"/>
                <w:color w:val="auto"/>
              </w:rPr>
            </w:pPr>
            <w:r>
              <w:rPr>
                <w:rFonts w:ascii="Arial" w:cs="Arial" w:eastAsia="Arial" w:hAnsi="Arial"/>
                <w:sz w:val="18"/>
                <w:szCs w:val="18"/>
                <w:color w:val="auto"/>
              </w:rPr>
              <w:t>Bassett Leather</w:t>
            </w:r>
          </w:p>
        </w:tc>
        <w:tc>
          <w:tcPr>
            <w:tcW w:w="940" w:type="dxa"/>
            <w:vAlign w:val="bottom"/>
            <w:gridSpan w:val="2"/>
          </w:tcPr>
          <w:p>
            <w:pPr>
              <w:jc w:val="right"/>
              <w:ind w:right="10"/>
              <w:spacing w:after="0"/>
              <w:rPr>
                <w:sz w:val="20"/>
                <w:szCs w:val="20"/>
                <w:color w:val="auto"/>
              </w:rPr>
            </w:pPr>
            <w:r>
              <w:rPr>
                <w:rFonts w:ascii="Arial" w:cs="Arial" w:eastAsia="Arial" w:hAnsi="Arial"/>
                <w:sz w:val="18"/>
                <w:szCs w:val="18"/>
                <w:color w:val="auto"/>
              </w:rPr>
              <w:t>19,630</w:t>
            </w:r>
          </w:p>
        </w:tc>
        <w:tc>
          <w:tcPr>
            <w:tcW w:w="280" w:type="dxa"/>
            <w:vAlign w:val="bottom"/>
          </w:tcPr>
          <w:p>
            <w:pPr>
              <w:spacing w:after="0"/>
              <w:rPr>
                <w:sz w:val="18"/>
                <w:szCs w:val="18"/>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550</w:t>
            </w:r>
          </w:p>
        </w:tc>
        <w:tc>
          <w:tcPr>
            <w:tcW w:w="1100" w:type="dxa"/>
            <w:vAlign w:val="bottom"/>
          </w:tcPr>
          <w:p>
            <w:pPr>
              <w:jc w:val="right"/>
              <w:ind w:right="210"/>
              <w:spacing w:after="0"/>
              <w:rPr>
                <w:sz w:val="20"/>
                <w:szCs w:val="20"/>
                <w:color w:val="auto"/>
              </w:rPr>
            </w:pPr>
            <w:r>
              <w:rPr>
                <w:rFonts w:ascii="Arial" w:cs="Arial" w:eastAsia="Arial" w:hAnsi="Arial"/>
                <w:sz w:val="18"/>
                <w:szCs w:val="18"/>
                <w:color w:val="auto"/>
              </w:rPr>
              <w:t>20,180</w:t>
            </w:r>
          </w:p>
        </w:tc>
        <w:tc>
          <w:tcPr>
            <w:tcW w:w="660" w:type="dxa"/>
            <w:vAlign w:val="bottom"/>
            <w:gridSpan w:val="3"/>
          </w:tcPr>
          <w:p>
            <w:pPr>
              <w:jc w:val="right"/>
              <w:ind w:right="20"/>
              <w:spacing w:after="0"/>
              <w:rPr>
                <w:sz w:val="20"/>
                <w:szCs w:val="20"/>
                <w:color w:val="auto"/>
              </w:rPr>
            </w:pPr>
            <w:r>
              <w:rPr>
                <w:rFonts w:ascii="Arial" w:cs="Arial" w:eastAsia="Arial" w:hAnsi="Arial"/>
                <w:sz w:val="18"/>
                <w:szCs w:val="18"/>
                <w:color w:val="auto"/>
              </w:rPr>
              <w:t>10.7%</w:t>
            </w:r>
          </w:p>
        </w:tc>
        <w:tc>
          <w:tcPr>
            <w:tcW w:w="840" w:type="dxa"/>
            <w:vAlign w:val="bottom"/>
            <w:gridSpan w:val="2"/>
          </w:tcPr>
          <w:p>
            <w:pPr>
              <w:ind w:left="320"/>
              <w:spacing w:after="0"/>
              <w:rPr>
                <w:sz w:val="20"/>
                <w:szCs w:val="20"/>
                <w:color w:val="auto"/>
              </w:rPr>
            </w:pPr>
            <w:r>
              <w:rPr>
                <w:rFonts w:ascii="Arial" w:cs="Arial" w:eastAsia="Arial" w:hAnsi="Arial"/>
                <w:sz w:val="18"/>
                <w:szCs w:val="18"/>
                <w:color w:val="auto"/>
                <w:w w:val="90"/>
              </w:rPr>
              <w:t>29,111</w:t>
            </w:r>
          </w:p>
        </w:tc>
        <w:tc>
          <w:tcPr>
            <w:tcW w:w="3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48</w:t>
            </w:r>
          </w:p>
        </w:tc>
        <w:tc>
          <w:tcPr>
            <w:tcW w:w="1120" w:type="dxa"/>
            <w:vAlign w:val="bottom"/>
          </w:tcPr>
          <w:p>
            <w:pPr>
              <w:jc w:val="right"/>
              <w:ind w:right="190"/>
              <w:spacing w:after="0"/>
              <w:rPr>
                <w:sz w:val="20"/>
                <w:szCs w:val="20"/>
                <w:color w:val="auto"/>
              </w:rPr>
            </w:pPr>
            <w:r>
              <w:rPr>
                <w:rFonts w:ascii="Arial" w:cs="Arial" w:eastAsia="Arial" w:hAnsi="Arial"/>
                <w:sz w:val="18"/>
                <w:szCs w:val="18"/>
                <w:color w:val="auto"/>
              </w:rPr>
              <w:t>29,159</w:t>
            </w:r>
          </w:p>
        </w:tc>
        <w:tc>
          <w:tcPr>
            <w:tcW w:w="680" w:type="dxa"/>
            <w:vAlign w:val="bottom"/>
            <w:gridSpan w:val="3"/>
          </w:tcPr>
          <w:p>
            <w:pPr>
              <w:jc w:val="right"/>
              <w:ind w:right="20"/>
              <w:spacing w:after="0"/>
              <w:rPr>
                <w:sz w:val="20"/>
                <w:szCs w:val="20"/>
                <w:color w:val="auto"/>
              </w:rPr>
            </w:pPr>
            <w:r>
              <w:rPr>
                <w:rFonts w:ascii="Arial" w:cs="Arial" w:eastAsia="Arial" w:hAnsi="Arial"/>
                <w:sz w:val="18"/>
                <w:szCs w:val="18"/>
                <w:color w:val="auto"/>
              </w:rPr>
              <w:t>11.7%</w:t>
            </w:r>
          </w:p>
        </w:tc>
        <w:tc>
          <w:tcPr>
            <w:tcW w:w="80" w:type="dxa"/>
            <w:vAlign w:val="bottom"/>
          </w:tcPr>
          <w:p>
            <w:pPr>
              <w:spacing w:after="0"/>
              <w:rPr>
                <w:sz w:val="18"/>
                <w:szCs w:val="18"/>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(8,979)</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-30.8%</w:t>
            </w:r>
          </w:p>
        </w:tc>
      </w:tr>
      <w:tr>
        <w:trPr>
          <w:trHeight w:val="216"/>
        </w:trPr>
        <w:tc>
          <w:tcPr>
            <w:tcW w:w="1760" w:type="dxa"/>
            <w:vAlign w:val="bottom"/>
            <w:shd w:val="clear" w:color="auto" w:fill="CCEEFF"/>
          </w:tcPr>
          <w:p>
            <w:pPr>
              <w:spacing w:after="0"/>
              <w:rPr>
                <w:sz w:val="20"/>
                <w:szCs w:val="20"/>
                <w:color w:val="auto"/>
              </w:rPr>
            </w:pPr>
            <w:r>
              <w:rPr>
                <w:rFonts w:ascii="Arial" w:cs="Arial" w:eastAsia="Arial" w:hAnsi="Arial"/>
                <w:sz w:val="18"/>
                <w:szCs w:val="18"/>
                <w:color w:val="auto"/>
                <w:w w:val="97"/>
              </w:rPr>
              <w:t>Bassett Custom Wood</w:t>
            </w:r>
          </w:p>
        </w:tc>
        <w:tc>
          <w:tcPr>
            <w:tcW w:w="9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12,642</w:t>
            </w: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15,031</w:t>
            </w:r>
          </w:p>
        </w:tc>
        <w:tc>
          <w:tcPr>
            <w:tcW w:w="11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27,673</w:t>
            </w:r>
          </w:p>
        </w:tc>
        <w:tc>
          <w:tcPr>
            <w:tcW w:w="6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14.7%</w:t>
            </w:r>
          </w:p>
        </w:tc>
        <w:tc>
          <w:tcPr>
            <w:tcW w:w="8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94"/>
              </w:rPr>
              <w:t>17,207</w:t>
            </w: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18,927</w:t>
            </w:r>
          </w:p>
        </w:tc>
        <w:tc>
          <w:tcPr>
            <w:tcW w:w="112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36,134</w:t>
            </w:r>
          </w:p>
        </w:tc>
        <w:tc>
          <w:tcPr>
            <w:tcW w:w="6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14.5%</w:t>
            </w:r>
          </w:p>
        </w:tc>
        <w:tc>
          <w:tcPr>
            <w:tcW w:w="80" w:type="dxa"/>
            <w:vAlign w:val="bottom"/>
            <w:tcBorders>
              <w:right w:val="single" w:sz="8" w:color="CCEEFF"/>
            </w:tcBorders>
            <w:shd w:val="clear" w:color="auto" w:fill="CCEEFF"/>
          </w:tcPr>
          <w:p>
            <w:pPr>
              <w:spacing w:after="0"/>
              <w:rPr>
                <w:sz w:val="18"/>
                <w:szCs w:val="18"/>
                <w:color w:val="auto"/>
              </w:rPr>
            </w:pPr>
          </w:p>
        </w:tc>
        <w:tc>
          <w:tcPr>
            <w:tcW w:w="8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(8,461)</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-23.4%</w:t>
            </w:r>
          </w:p>
        </w:tc>
      </w:tr>
      <w:tr>
        <w:trPr>
          <w:trHeight w:val="216"/>
        </w:trPr>
        <w:tc>
          <w:tcPr>
            <w:tcW w:w="1760" w:type="dxa"/>
            <w:vAlign w:val="bottom"/>
          </w:tcPr>
          <w:p>
            <w:pPr>
              <w:spacing w:after="0"/>
              <w:rPr>
                <w:sz w:val="20"/>
                <w:szCs w:val="20"/>
                <w:color w:val="auto"/>
              </w:rPr>
            </w:pPr>
            <w:r>
              <w:rPr>
                <w:rFonts w:ascii="Arial" w:cs="Arial" w:eastAsia="Arial" w:hAnsi="Arial"/>
                <w:sz w:val="18"/>
                <w:szCs w:val="18"/>
                <w:color w:val="auto"/>
              </w:rPr>
              <w:t>Bassett Casegoods</w:t>
            </w:r>
          </w:p>
        </w:tc>
        <w:tc>
          <w:tcPr>
            <w:tcW w:w="180" w:type="dxa"/>
            <w:vAlign w:val="bottom"/>
          </w:tcPr>
          <w:p>
            <w:pPr>
              <w:spacing w:after="0"/>
              <w:rPr>
                <w:sz w:val="18"/>
                <w:szCs w:val="18"/>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9,473</w:t>
            </w:r>
          </w:p>
        </w:tc>
        <w:tc>
          <w:tcPr>
            <w:tcW w:w="280" w:type="dxa"/>
            <w:vAlign w:val="bottom"/>
          </w:tcPr>
          <w:p>
            <w:pPr>
              <w:spacing w:after="0"/>
              <w:rPr>
                <w:sz w:val="18"/>
                <w:szCs w:val="18"/>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11,924</w:t>
            </w:r>
          </w:p>
        </w:tc>
        <w:tc>
          <w:tcPr>
            <w:tcW w:w="1100" w:type="dxa"/>
            <w:vAlign w:val="bottom"/>
          </w:tcPr>
          <w:p>
            <w:pPr>
              <w:jc w:val="right"/>
              <w:ind w:right="210"/>
              <w:spacing w:after="0"/>
              <w:rPr>
                <w:sz w:val="20"/>
                <w:szCs w:val="20"/>
                <w:color w:val="auto"/>
              </w:rPr>
            </w:pPr>
            <w:r>
              <w:rPr>
                <w:rFonts w:ascii="Arial" w:cs="Arial" w:eastAsia="Arial" w:hAnsi="Arial"/>
                <w:sz w:val="18"/>
                <w:szCs w:val="18"/>
                <w:color w:val="auto"/>
              </w:rPr>
              <w:t>21,397</w:t>
            </w:r>
          </w:p>
        </w:tc>
        <w:tc>
          <w:tcPr>
            <w:tcW w:w="660" w:type="dxa"/>
            <w:vAlign w:val="bottom"/>
            <w:gridSpan w:val="3"/>
          </w:tcPr>
          <w:p>
            <w:pPr>
              <w:jc w:val="right"/>
              <w:ind w:right="20"/>
              <w:spacing w:after="0"/>
              <w:rPr>
                <w:sz w:val="20"/>
                <w:szCs w:val="20"/>
                <w:color w:val="auto"/>
              </w:rPr>
            </w:pPr>
            <w:r>
              <w:rPr>
                <w:rFonts w:ascii="Arial" w:cs="Arial" w:eastAsia="Arial" w:hAnsi="Arial"/>
                <w:sz w:val="18"/>
                <w:szCs w:val="18"/>
                <w:color w:val="auto"/>
              </w:rPr>
              <w:t>11.4%</w:t>
            </w:r>
          </w:p>
        </w:tc>
        <w:tc>
          <w:tcPr>
            <w:tcW w:w="840" w:type="dxa"/>
            <w:vAlign w:val="bottom"/>
            <w:gridSpan w:val="2"/>
          </w:tcPr>
          <w:p>
            <w:pPr>
              <w:ind w:left="300"/>
              <w:spacing w:after="0"/>
              <w:rPr>
                <w:sz w:val="20"/>
                <w:szCs w:val="20"/>
                <w:color w:val="auto"/>
              </w:rPr>
            </w:pPr>
            <w:r>
              <w:rPr>
                <w:rFonts w:ascii="Arial" w:cs="Arial" w:eastAsia="Arial" w:hAnsi="Arial"/>
                <w:sz w:val="18"/>
                <w:szCs w:val="18"/>
                <w:color w:val="auto"/>
                <w:w w:val="94"/>
              </w:rPr>
              <w:t>11,015</w:t>
            </w:r>
          </w:p>
        </w:tc>
        <w:tc>
          <w:tcPr>
            <w:tcW w:w="3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12,926</w:t>
            </w:r>
          </w:p>
        </w:tc>
        <w:tc>
          <w:tcPr>
            <w:tcW w:w="1120" w:type="dxa"/>
            <w:vAlign w:val="bottom"/>
          </w:tcPr>
          <w:p>
            <w:pPr>
              <w:jc w:val="right"/>
              <w:ind w:right="190"/>
              <w:spacing w:after="0"/>
              <w:rPr>
                <w:sz w:val="20"/>
                <w:szCs w:val="20"/>
                <w:color w:val="auto"/>
              </w:rPr>
            </w:pPr>
            <w:r>
              <w:rPr>
                <w:rFonts w:ascii="Arial" w:cs="Arial" w:eastAsia="Arial" w:hAnsi="Arial"/>
                <w:sz w:val="18"/>
                <w:szCs w:val="18"/>
                <w:color w:val="auto"/>
              </w:rPr>
              <w:t>23,941</w:t>
            </w:r>
          </w:p>
        </w:tc>
        <w:tc>
          <w:tcPr>
            <w:tcW w:w="680" w:type="dxa"/>
            <w:vAlign w:val="bottom"/>
            <w:gridSpan w:val="3"/>
          </w:tcPr>
          <w:p>
            <w:pPr>
              <w:jc w:val="right"/>
              <w:ind w:right="20"/>
              <w:spacing w:after="0"/>
              <w:rPr>
                <w:sz w:val="20"/>
                <w:szCs w:val="20"/>
                <w:color w:val="auto"/>
              </w:rPr>
            </w:pPr>
            <w:r>
              <w:rPr>
                <w:rFonts w:ascii="Arial" w:cs="Arial" w:eastAsia="Arial" w:hAnsi="Arial"/>
                <w:sz w:val="18"/>
                <w:szCs w:val="18"/>
                <w:color w:val="auto"/>
              </w:rPr>
              <w:t>9.6%</w:t>
            </w:r>
          </w:p>
        </w:tc>
        <w:tc>
          <w:tcPr>
            <w:tcW w:w="80" w:type="dxa"/>
            <w:vAlign w:val="bottom"/>
          </w:tcPr>
          <w:p>
            <w:pPr>
              <w:spacing w:after="0"/>
              <w:rPr>
                <w:sz w:val="18"/>
                <w:szCs w:val="18"/>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(2,544)</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-10.6%</w:t>
            </w:r>
          </w:p>
        </w:tc>
      </w:tr>
      <w:tr>
        <w:trPr>
          <w:trHeight w:val="20"/>
        </w:trPr>
        <w:tc>
          <w:tcPr>
            <w:tcW w:w="176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0" w:type="dxa"/>
            <w:vAlign w:val="bottom"/>
            <w:tcBorders>
              <w:left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80" w:type="dxa"/>
            <w:vAlign w:val="bottom"/>
            <w:tcBorders>
              <w:left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30"/>
        </w:trPr>
        <w:tc>
          <w:tcPr>
            <w:tcW w:w="176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9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$ 110,386</w:t>
            </w:r>
          </w:p>
        </w:tc>
        <w:tc>
          <w:tcPr>
            <w:tcW w:w="28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77,932</w:t>
            </w:r>
          </w:p>
        </w:tc>
        <w:tc>
          <w:tcPr>
            <w:tcW w:w="11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7"/>
              </w:rPr>
              <w:t>$ 188,318</w:t>
            </w:r>
          </w:p>
        </w:tc>
        <w:tc>
          <w:tcPr>
            <w:tcW w:w="660" w:type="dxa"/>
            <w:vAlign w:val="bottom"/>
            <w:gridSpan w:val="3"/>
            <w:shd w:val="clear" w:color="auto" w:fill="CCEEFF"/>
          </w:tcPr>
          <w:p>
            <w:pPr>
              <w:jc w:val="right"/>
              <w:ind w:right="20"/>
              <w:spacing w:after="0" w:line="210" w:lineRule="exact"/>
              <w:rPr>
                <w:sz w:val="20"/>
                <w:szCs w:val="20"/>
                <w:color w:val="auto"/>
              </w:rPr>
            </w:pPr>
            <w:r>
              <w:rPr>
                <w:rFonts w:ascii="Arial" w:cs="Arial" w:eastAsia="Arial" w:hAnsi="Arial"/>
                <w:sz w:val="14"/>
                <w:szCs w:val="14"/>
                <w:color w:val="auto"/>
              </w:rPr>
              <w:t>100.0</w:t>
            </w:r>
            <w:r>
              <w:rPr>
                <w:rFonts w:ascii="Arial" w:cs="Arial" w:eastAsia="Arial" w:hAnsi="Arial"/>
                <w:sz w:val="24"/>
                <w:szCs w:val="24"/>
                <w:color w:val="auto"/>
                <w:vertAlign w:val="subscript"/>
              </w:rPr>
              <w:t>%</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7"/>
              </w:rPr>
              <w:t>$ 153,969</w:t>
            </w:r>
          </w:p>
        </w:tc>
        <w:tc>
          <w:tcPr>
            <w:tcW w:w="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95,976</w:t>
            </w:r>
          </w:p>
        </w:tc>
        <w:tc>
          <w:tcPr>
            <w:tcW w:w="112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$ 249,945</w:t>
            </w:r>
          </w:p>
        </w:tc>
        <w:tc>
          <w:tcPr>
            <w:tcW w:w="680" w:type="dxa"/>
            <w:vAlign w:val="bottom"/>
            <w:gridSpan w:val="3"/>
            <w:shd w:val="clear" w:color="auto" w:fill="CCEEFF"/>
          </w:tcPr>
          <w:p>
            <w:pPr>
              <w:jc w:val="right"/>
              <w:ind w:right="20"/>
              <w:spacing w:after="0" w:line="210" w:lineRule="exact"/>
              <w:rPr>
                <w:sz w:val="20"/>
                <w:szCs w:val="20"/>
                <w:color w:val="auto"/>
              </w:rPr>
            </w:pPr>
            <w:r>
              <w:rPr>
                <w:rFonts w:ascii="Arial" w:cs="Arial" w:eastAsia="Arial" w:hAnsi="Arial"/>
                <w:sz w:val="14"/>
                <w:szCs w:val="14"/>
                <w:color w:val="auto"/>
              </w:rPr>
              <w:t>100.0</w:t>
            </w:r>
            <w:r>
              <w:rPr>
                <w:rFonts w:ascii="Arial" w:cs="Arial" w:eastAsia="Arial" w:hAnsi="Arial"/>
                <w:sz w:val="24"/>
                <w:szCs w:val="24"/>
                <w:color w:val="auto"/>
                <w:vertAlign w:val="subscript"/>
              </w:rPr>
              <w:t>%</w:t>
            </w:r>
          </w:p>
        </w:tc>
        <w:tc>
          <w:tcPr>
            <w:tcW w:w="80" w:type="dxa"/>
            <w:vAlign w:val="bottom"/>
            <w:tcBorders>
              <w:right w:val="single" w:sz="8" w:color="CCEEFF"/>
            </w:tcBorders>
            <w:shd w:val="clear" w:color="auto" w:fill="CCEEFF"/>
          </w:tcPr>
          <w:p>
            <w:pPr>
              <w:spacing w:after="0"/>
              <w:rPr>
                <w:sz w:val="19"/>
                <w:szCs w:val="19"/>
                <w:color w:val="auto"/>
              </w:rPr>
            </w:pPr>
          </w:p>
        </w:tc>
        <w:tc>
          <w:tcPr>
            <w:tcW w:w="8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87"/>
              </w:rPr>
              <w:t>$ (61,627)</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-24.7%</w:t>
            </w:r>
          </w:p>
        </w:tc>
      </w:tr>
      <w:tr>
        <w:trPr>
          <w:trHeight w:val="20"/>
        </w:trPr>
        <w:tc>
          <w:tcPr>
            <w:tcW w:w="17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right w:val="single" w:sz="8" w:color="auto"/>
            </w:tcBorders>
            <w:shd w:val="clear" w:color="auto" w:fill="CCEEFF"/>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left w:val="single" w:sz="8" w:color="auto"/>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left w:val="single" w:sz="8" w:color="auto"/>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r>
      <w:tr>
        <w:trPr>
          <w:trHeight w:val="412"/>
        </w:trPr>
        <w:tc>
          <w:tcPr>
            <w:tcW w:w="1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500" w:type="dxa"/>
            <w:vAlign w:val="bottom"/>
            <w:gridSpan w:val="5"/>
          </w:tcPr>
          <w:p>
            <w:pPr>
              <w:jc w:val="right"/>
              <w:ind w:right="470"/>
              <w:spacing w:after="0"/>
              <w:rPr>
                <w:sz w:val="20"/>
                <w:szCs w:val="20"/>
                <w:color w:val="auto"/>
              </w:rPr>
            </w:pPr>
            <w:r>
              <w:rPr>
                <w:rFonts w:ascii="Arial" w:cs="Arial" w:eastAsia="Arial" w:hAnsi="Arial"/>
                <w:sz w:val="18"/>
                <w:szCs w:val="18"/>
                <w:color w:val="auto"/>
              </w:rPr>
              <w:t>29 of 38</w:t>
            </w:r>
          </w:p>
        </w:tc>
        <w:tc>
          <w:tcPr>
            <w:tcW w:w="3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115"/>
        </w:trPr>
        <w:tc>
          <w:tcPr>
            <w:tcW w:w="176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110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25" w:right="339" w:bottom="1440" w:gutter="0" w:footer="0" w:header="0"/>
        </w:sectPr>
      </w:pPr>
    </w:p>
    <w:bookmarkStart w:id="29" w:name="page30"/>
    <w:bookmarkEnd w:id="29"/>
    <w:p>
      <w:pPr>
        <w:jc w:val="center"/>
        <w:ind w:right="20"/>
        <w:spacing w:after="0"/>
        <w:rPr>
          <w:sz w:val="20"/>
          <w:szCs w:val="20"/>
          <w:color w:val="auto"/>
        </w:rPr>
      </w:pPr>
      <w:r>
        <w:rPr>
          <w:rFonts w:ascii="Arial" w:cs="Arial" w:eastAsia="Arial" w:hAnsi="Arial"/>
          <w:sz w:val="18"/>
          <w:szCs w:val="18"/>
          <w:u w:val="single" w:color="auto"/>
          <w:color w:val="auto"/>
        </w:rPr>
        <w:t>PART I-FINANCIAL INFORMATION-CONTINUED</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8"/>
          <w:szCs w:val="18"/>
          <w:u w:val="single" w:color="auto"/>
          <w:color w:val="auto"/>
        </w:rPr>
        <w:t>BASSETT FURNITURE INDUSTRIES, INCORPORATED AND SUBSIDIARIES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u w:val="single" w:color="auto"/>
          <w:color w:val="auto"/>
        </w:rPr>
        <w:t>AUGUST 26, 2023</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u w:val="single" w:color="auto"/>
          <w:color w:val="auto"/>
        </w:rPr>
        <w:t>(Dollars in thousands except share and per share data)</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Analysis of Quarterly Results </w:t>
      </w:r>
      <w:r>
        <w:rPr>
          <w:rFonts w:ascii="Arial" w:cs="Arial" w:eastAsia="Arial" w:hAnsi="Arial"/>
          <w:sz w:val="18"/>
          <w:szCs w:val="18"/>
          <w:color w:val="auto"/>
        </w:rPr>
        <w:t>–</w:t>
      </w:r>
      <w:r>
        <w:rPr>
          <w:rFonts w:ascii="Arial" w:cs="Arial" w:eastAsia="Arial" w:hAnsi="Arial"/>
          <w:sz w:val="18"/>
          <w:szCs w:val="18"/>
          <w:i w:val="1"/>
          <w:iCs w:val="1"/>
          <w:color w:val="auto"/>
        </w:rPr>
        <w:t xml:space="preserve"> Wholesale</w:t>
      </w:r>
    </w:p>
    <w:p>
      <w:pPr>
        <w:spacing w:after="0" w:line="225"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Net sales for the three months ended August 26, 2023 decreased $22,299 or 28% from the prior year period due primarily to a 25% decrease in shipments to the open market, a 28% decrease in shipments to our retail store network and a 32% decrease in Lane Venture shipments. Gross margins for the three months ended August 26, 2023 declined 80 basis points from the prior year primarily due to lower margins in the Bassett Leather business due to increased product discounting and excess and obsolete reserve charges, partially offset by increased margins in our Custom Upholstery business as we were able to recognize a greater portion of previously implemented price increases in current period sales coupled with overall lower unit costs as measured on a last-in, first-out (LIFO) basis. As the Bassett Leather product line is internationally sourced with extended lead times, we received significant amounts of inventory during the second and third quarters of 2022 just as product demand was weakening due to the market downturn in home furnishings. Also, the ocean freight costs associated with the majority of the product received was at significantly higher costs than are currently being realized on current product receipts. We expect improved margins in fiscal 2024. Lastly, margins for Bassett Custom Wood products were lower due to lower sales volume. SG&amp;A expenses as a percentage of sales increased 60 basis points primarily due to reduced leverage of fixed costs from decreased sales.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Analysis of Year-to-Date Results </w:t>
      </w:r>
      <w:r>
        <w:rPr>
          <w:rFonts w:ascii="Arial" w:cs="Arial" w:eastAsia="Arial" w:hAnsi="Arial"/>
          <w:sz w:val="18"/>
          <w:szCs w:val="18"/>
          <w:color w:val="auto"/>
        </w:rPr>
        <w:t>–</w:t>
      </w:r>
      <w:r>
        <w:rPr>
          <w:rFonts w:ascii="Arial" w:cs="Arial" w:eastAsia="Arial" w:hAnsi="Arial"/>
          <w:sz w:val="18"/>
          <w:szCs w:val="18"/>
          <w:i w:val="1"/>
          <w:iCs w:val="1"/>
          <w:color w:val="auto"/>
        </w:rPr>
        <w:t xml:space="preserve"> Wholesale</w:t>
      </w:r>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Net sales for the nine months ended August 26, 2023 decreased $61,627 or 25% from the prior year period due primarily to a 28% decrease in shipments to the open market, a 21% decrease in shipments to our retail store network and a 23% decrease in Lane Venture shipments. Gross margins for the nine months ended August 26, 2023 improved 70 basis points over the prior year primarily due to increased margins in our Custom Upholstery business as we were able to recognize a greater portion of previously implemented price increases in current period sales coupled with improved overall product warranty and returns experience and overall lower unit costs as measured on a last-in, first-out (LIFO) basis. These margin improvements were partially offset by lower margins in the Bassett Leather business due to increased product discounting and excess and obsolete reserve charges. As the Bassett Leather product line is internationally sourced with extended lead times, we received significant amounts of inventory during the second and third quarters of 2022 just as product demand was weakening due to the market downturn in home furnishings. Also, the ocean freight costs associated with the majority of the product received was at significantly higher costs than are currently being realized on current product receipts. We expect improved margins in fiscal 2024. Margins in the Bassett Casegoods business were lower due primarily to realizing the high freight costs incurred during mid-2022 in the results of operations for the current period. Margins improved in the third quarter of 2023 and we expect more improvement in the fiscal fourth quarter of 2023. Lastly, margins for Bassett Custom Wood products were lower due to lower sales volume. SG&amp;A expenses as a percentage of sales increased 150 basis points primarily due to reduced leverage of fixed costs from decreased sales.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Wholesale Backlog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Wholesale backlog at August 26, 2023 was $19,895 as compared to $35,336 at November 26, 2022 and $41,693 at August 27, 2022.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 of 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0" w:name="page31"/>
    <w:bookmarkEnd w:id="30"/>
    <w:p>
      <w:pPr>
        <w:jc w:val="center"/>
        <w:spacing w:after="0"/>
        <w:rPr>
          <w:sz w:val="20"/>
          <w:szCs w:val="20"/>
          <w:color w:val="auto"/>
        </w:rPr>
      </w:pPr>
      <w:r>
        <w:rPr>
          <w:rFonts w:ascii="Arial" w:cs="Arial" w:eastAsia="Arial" w:hAnsi="Arial"/>
          <w:sz w:val="18"/>
          <w:szCs w:val="18"/>
          <w:u w:val="single" w:color="auto"/>
          <w:color w:val="auto"/>
        </w:rPr>
        <w:t>PART I-FINANCIAL INFORMATION-CONTINUED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BASSETT FURNITURE INDUSTRIES, INCORPORATED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AUGUST 26, 2023</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(Dollars in thousands except share and per share data)</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 xml:space="preserve">Retail </w:t>
      </w:r>
      <w:r>
        <w:rPr>
          <w:rFonts w:ascii="Arial" w:cs="Arial" w:eastAsia="Arial" w:hAnsi="Arial"/>
          <w:sz w:val="18"/>
          <w:szCs w:val="18"/>
          <w:u w:val="single" w:color="auto"/>
          <w:color w:val="auto"/>
        </w:rPr>
        <w:t>–</w:t>
      </w:r>
      <w:r>
        <w:rPr>
          <w:rFonts w:ascii="Arial" w:cs="Arial" w:eastAsia="Arial" w:hAnsi="Arial"/>
          <w:sz w:val="18"/>
          <w:szCs w:val="18"/>
          <w:b w:val="1"/>
          <w:bCs w:val="1"/>
          <w:u w:val="single" w:color="auto"/>
          <w:color w:val="auto"/>
        </w:rPr>
        <w:t xml:space="preserve"> Company-owned Stores Segment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Results for the retail segment for the periods ended August 26, 2023 and August 27, 2022 are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80" w:type="dxa"/>
            <w:vAlign w:val="bottom"/>
            <w:gridSpan w:val="4"/>
          </w:tcPr>
          <w:p>
            <w:pPr>
              <w:jc w:val="right"/>
              <w:ind w:right="419"/>
              <w:spacing w:after="0"/>
              <w:rPr>
                <w:sz w:val="20"/>
                <w:szCs w:val="20"/>
                <w:color w:val="auto"/>
              </w:rPr>
            </w:pPr>
            <w:r>
              <w:rPr>
                <w:rFonts w:ascii="Arial" w:cs="Arial" w:eastAsia="Arial" w:hAnsi="Arial"/>
                <w:sz w:val="16"/>
                <w:szCs w:val="16"/>
                <w:color w:val="auto"/>
              </w:rPr>
              <w:t>Quarter Ended</w:t>
            </w: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00" w:type="dxa"/>
            <w:vAlign w:val="bottom"/>
            <w:gridSpan w:val="3"/>
          </w:tcPr>
          <w:p>
            <w:pPr>
              <w:jc w:val="right"/>
              <w:ind w:right="760"/>
              <w:spacing w:after="0"/>
              <w:rPr>
                <w:sz w:val="20"/>
                <w:szCs w:val="20"/>
                <w:color w:val="auto"/>
              </w:rPr>
            </w:pPr>
            <w:r>
              <w:rPr>
                <w:rFonts w:ascii="Arial" w:cs="Arial" w:eastAsia="Arial" w:hAnsi="Arial"/>
                <w:sz w:val="16"/>
                <w:szCs w:val="16"/>
                <w:color w:val="auto"/>
              </w:rPr>
              <w:t>Change</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740" w:type="dxa"/>
            <w:vAlign w:val="bottom"/>
            <w:gridSpan w:val="4"/>
          </w:tcPr>
          <w:p>
            <w:pPr>
              <w:jc w:val="right"/>
              <w:ind w:right="259"/>
              <w:spacing w:after="0"/>
              <w:rPr>
                <w:sz w:val="20"/>
                <w:szCs w:val="20"/>
                <w:color w:val="auto"/>
              </w:rPr>
            </w:pPr>
            <w:r>
              <w:rPr>
                <w:rFonts w:ascii="Arial" w:cs="Arial" w:eastAsia="Arial" w:hAnsi="Arial"/>
                <w:sz w:val="16"/>
                <w:szCs w:val="16"/>
                <w:color w:val="auto"/>
                <w:w w:val="98"/>
              </w:rPr>
              <w:t>Nine Months Ended</w:t>
            </w: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gridSpan w:val="4"/>
          </w:tcPr>
          <w:p>
            <w:pPr>
              <w:jc w:val="right"/>
              <w:ind w:right="680"/>
              <w:spacing w:after="0"/>
              <w:rPr>
                <w:sz w:val="20"/>
                <w:szCs w:val="20"/>
                <w:color w:val="auto"/>
              </w:rPr>
            </w:pPr>
            <w:r>
              <w:rPr>
                <w:rFonts w:ascii="Arial" w:cs="Arial" w:eastAsia="Arial" w:hAnsi="Arial"/>
                <w:sz w:val="16"/>
                <w:szCs w:val="16"/>
                <w:color w:val="auto"/>
              </w:rPr>
              <w:t>Change</w:t>
            </w:r>
          </w:p>
        </w:tc>
        <w:tc>
          <w:tcPr>
            <w:tcW w:w="0" w:type="dxa"/>
            <w:vAlign w:val="bottom"/>
          </w:tcPr>
          <w:p>
            <w:pPr>
              <w:spacing w:after="0"/>
              <w:rPr>
                <w:sz w:val="1"/>
                <w:szCs w:val="1"/>
                <w:color w:val="auto"/>
              </w:rPr>
            </w:pPr>
          </w:p>
        </w:tc>
      </w:tr>
      <w:tr>
        <w:trPr>
          <w:trHeight w:val="199"/>
        </w:trPr>
        <w:tc>
          <w:tcPr>
            <w:tcW w:w="1000" w:type="dxa"/>
            <w:vAlign w:val="bottom"/>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540" w:type="dxa"/>
            <w:vAlign w:val="bottom"/>
            <w:tcBorders>
              <w:top w:val="single" w:sz="8" w:color="auto"/>
              <w:bottom w:val="single" w:sz="8" w:color="auto"/>
            </w:tcBorders>
            <w:gridSpan w:val="3"/>
          </w:tcPr>
          <w:p>
            <w:pPr>
              <w:jc w:val="right"/>
              <w:ind w:right="420"/>
              <w:spacing w:after="0"/>
              <w:rPr>
                <w:sz w:val="20"/>
                <w:szCs w:val="20"/>
                <w:color w:val="auto"/>
              </w:rPr>
            </w:pPr>
            <w:r>
              <w:rPr>
                <w:rFonts w:ascii="Arial" w:cs="Arial" w:eastAsia="Arial" w:hAnsi="Arial"/>
                <w:sz w:val="16"/>
                <w:szCs w:val="16"/>
                <w:color w:val="auto"/>
                <w:w w:val="94"/>
              </w:rPr>
              <w:t>August 26, 2023</w:t>
            </w:r>
          </w:p>
        </w:tc>
        <w:tc>
          <w:tcPr>
            <w:tcW w:w="140" w:type="dxa"/>
            <w:vAlign w:val="bottom"/>
            <w:tcBorders>
              <w:top w:val="single" w:sz="8" w:color="auto"/>
              <w:bottom w:val="single" w:sz="8" w:color="auto"/>
            </w:tcBorders>
          </w:tcPr>
          <w:p>
            <w:pPr>
              <w:spacing w:after="0"/>
              <w:rPr>
                <w:sz w:val="17"/>
                <w:szCs w:val="17"/>
                <w:color w:val="auto"/>
              </w:rPr>
            </w:pPr>
          </w:p>
        </w:tc>
        <w:tc>
          <w:tcPr>
            <w:tcW w:w="1620" w:type="dxa"/>
            <w:vAlign w:val="bottom"/>
            <w:tcBorders>
              <w:top w:val="single" w:sz="8" w:color="auto"/>
              <w:bottom w:val="single" w:sz="8" w:color="auto"/>
            </w:tcBorders>
            <w:gridSpan w:val="3"/>
          </w:tcPr>
          <w:p>
            <w:pPr>
              <w:jc w:val="right"/>
              <w:ind w:right="460"/>
              <w:spacing w:after="0"/>
              <w:rPr>
                <w:sz w:val="20"/>
                <w:szCs w:val="20"/>
                <w:color w:val="auto"/>
              </w:rPr>
            </w:pPr>
            <w:r>
              <w:rPr>
                <w:rFonts w:ascii="Arial" w:cs="Arial" w:eastAsia="Arial" w:hAnsi="Arial"/>
                <w:sz w:val="16"/>
                <w:szCs w:val="16"/>
                <w:color w:val="auto"/>
                <w:w w:val="97"/>
              </w:rPr>
              <w:t>August 27, 2022</w:t>
            </w:r>
          </w:p>
        </w:tc>
        <w:tc>
          <w:tcPr>
            <w:tcW w:w="80" w:type="dxa"/>
            <w:vAlign w:val="bottom"/>
            <w:tcBorders>
              <w:top w:val="single" w:sz="8" w:color="auto"/>
              <w:bottom w:val="single" w:sz="8" w:color="auto"/>
            </w:tcBorders>
          </w:tcPr>
          <w:p>
            <w:pPr>
              <w:spacing w:after="0"/>
              <w:rPr>
                <w:sz w:val="17"/>
                <w:szCs w:val="17"/>
                <w:color w:val="auto"/>
              </w:rPr>
            </w:pPr>
          </w:p>
        </w:tc>
        <w:tc>
          <w:tcPr>
            <w:tcW w:w="760" w:type="dxa"/>
            <w:vAlign w:val="bottom"/>
            <w:tcBorders>
              <w:top w:val="single" w:sz="8" w:color="auto"/>
              <w:bottom w:val="single" w:sz="8" w:color="auto"/>
            </w:tcBorders>
          </w:tcPr>
          <w:p>
            <w:pPr>
              <w:jc w:val="right"/>
              <w:ind w:right="199"/>
              <w:spacing w:after="0"/>
              <w:rPr>
                <w:sz w:val="20"/>
                <w:szCs w:val="20"/>
                <w:color w:val="auto"/>
              </w:rPr>
            </w:pPr>
            <w:r>
              <w:rPr>
                <w:rFonts w:ascii="Arial" w:cs="Arial" w:eastAsia="Arial" w:hAnsi="Arial"/>
                <w:sz w:val="16"/>
                <w:szCs w:val="16"/>
                <w:color w:val="auto"/>
                <w:w w:val="92"/>
              </w:rPr>
              <w:t>Dollars</w:t>
            </w:r>
          </w:p>
        </w:tc>
        <w:tc>
          <w:tcPr>
            <w:tcW w:w="940" w:type="dxa"/>
            <w:vAlign w:val="bottom"/>
            <w:tcBorders>
              <w:top w:val="single" w:sz="8" w:color="auto"/>
              <w:bottom w:val="single" w:sz="8" w:color="auto"/>
            </w:tcBorders>
            <w:gridSpan w:val="2"/>
          </w:tcPr>
          <w:p>
            <w:pPr>
              <w:jc w:val="right"/>
              <w:ind w:right="340"/>
              <w:spacing w:after="0"/>
              <w:rPr>
                <w:sz w:val="20"/>
                <w:szCs w:val="20"/>
                <w:color w:val="auto"/>
              </w:rPr>
            </w:pPr>
            <w:r>
              <w:rPr>
                <w:rFonts w:ascii="Arial" w:cs="Arial" w:eastAsia="Arial" w:hAnsi="Arial"/>
                <w:sz w:val="16"/>
                <w:szCs w:val="16"/>
                <w:color w:val="auto"/>
              </w:rPr>
              <w:t>Percent</w:t>
            </w:r>
          </w:p>
        </w:tc>
        <w:tc>
          <w:tcPr>
            <w:tcW w:w="100" w:type="dxa"/>
            <w:vAlign w:val="bottom"/>
            <w:tcBorders>
              <w:top w:val="single" w:sz="8" w:color="auto"/>
              <w:bottom w:val="single" w:sz="8" w:color="auto"/>
            </w:tcBorders>
          </w:tcPr>
          <w:p>
            <w:pPr>
              <w:spacing w:after="0"/>
              <w:rPr>
                <w:sz w:val="17"/>
                <w:szCs w:val="17"/>
                <w:color w:val="auto"/>
              </w:rPr>
            </w:pPr>
          </w:p>
        </w:tc>
        <w:tc>
          <w:tcPr>
            <w:tcW w:w="1580" w:type="dxa"/>
            <w:vAlign w:val="bottom"/>
            <w:tcBorders>
              <w:top w:val="single" w:sz="8" w:color="auto"/>
              <w:bottom w:val="single" w:sz="8" w:color="auto"/>
            </w:tcBorders>
            <w:gridSpan w:val="3"/>
          </w:tcPr>
          <w:p>
            <w:pPr>
              <w:jc w:val="right"/>
              <w:ind w:right="420"/>
              <w:spacing w:after="0"/>
              <w:rPr>
                <w:sz w:val="20"/>
                <w:szCs w:val="20"/>
                <w:color w:val="auto"/>
              </w:rPr>
            </w:pPr>
            <w:r>
              <w:rPr>
                <w:rFonts w:ascii="Arial" w:cs="Arial" w:eastAsia="Arial" w:hAnsi="Arial"/>
                <w:sz w:val="16"/>
                <w:szCs w:val="16"/>
                <w:color w:val="auto"/>
                <w:w w:val="97"/>
              </w:rPr>
              <w:t>August 26, 2023</w:t>
            </w:r>
          </w:p>
        </w:tc>
        <w:tc>
          <w:tcPr>
            <w:tcW w:w="100" w:type="dxa"/>
            <w:vAlign w:val="bottom"/>
            <w:tcBorders>
              <w:top w:val="single" w:sz="8" w:color="auto"/>
              <w:bottom w:val="single" w:sz="8" w:color="auto"/>
            </w:tcBorders>
          </w:tcPr>
          <w:p>
            <w:pPr>
              <w:spacing w:after="0"/>
              <w:rPr>
                <w:sz w:val="17"/>
                <w:szCs w:val="17"/>
                <w:color w:val="auto"/>
              </w:rPr>
            </w:pPr>
          </w:p>
        </w:tc>
        <w:tc>
          <w:tcPr>
            <w:tcW w:w="1560" w:type="dxa"/>
            <w:vAlign w:val="bottom"/>
            <w:tcBorders>
              <w:top w:val="single" w:sz="8" w:color="auto"/>
              <w:bottom w:val="single" w:sz="8" w:color="auto"/>
            </w:tcBorders>
            <w:gridSpan w:val="3"/>
          </w:tcPr>
          <w:p>
            <w:pPr>
              <w:jc w:val="right"/>
              <w:ind w:right="420"/>
              <w:spacing w:after="0"/>
              <w:rPr>
                <w:sz w:val="20"/>
                <w:szCs w:val="20"/>
                <w:color w:val="auto"/>
              </w:rPr>
            </w:pPr>
            <w:r>
              <w:rPr>
                <w:rFonts w:ascii="Arial" w:cs="Arial" w:eastAsia="Arial" w:hAnsi="Arial"/>
                <w:sz w:val="16"/>
                <w:szCs w:val="16"/>
                <w:color w:val="auto"/>
                <w:w w:val="96"/>
              </w:rPr>
              <w:t>August 27, 2022</w:t>
            </w:r>
          </w:p>
        </w:tc>
        <w:tc>
          <w:tcPr>
            <w:tcW w:w="100" w:type="dxa"/>
            <w:vAlign w:val="bottom"/>
            <w:tcBorders>
              <w:top w:val="single" w:sz="8" w:color="auto"/>
              <w:bottom w:val="single" w:sz="8" w:color="auto"/>
            </w:tcBorders>
          </w:tcPr>
          <w:p>
            <w:pPr>
              <w:spacing w:after="0"/>
              <w:rPr>
                <w:sz w:val="17"/>
                <w:szCs w:val="17"/>
                <w:color w:val="auto"/>
              </w:rPr>
            </w:pPr>
          </w:p>
        </w:tc>
        <w:tc>
          <w:tcPr>
            <w:tcW w:w="740" w:type="dxa"/>
            <w:vAlign w:val="bottom"/>
            <w:tcBorders>
              <w:top w:val="single" w:sz="8" w:color="auto"/>
              <w:bottom w:val="single" w:sz="8" w:color="auto"/>
            </w:tcBorders>
          </w:tcPr>
          <w:p>
            <w:pPr>
              <w:jc w:val="right"/>
              <w:ind w:right="179"/>
              <w:spacing w:after="0"/>
              <w:rPr>
                <w:sz w:val="20"/>
                <w:szCs w:val="20"/>
                <w:color w:val="auto"/>
              </w:rPr>
            </w:pPr>
            <w:r>
              <w:rPr>
                <w:rFonts w:ascii="Arial" w:cs="Arial" w:eastAsia="Arial" w:hAnsi="Arial"/>
                <w:sz w:val="16"/>
                <w:szCs w:val="16"/>
                <w:color w:val="auto"/>
                <w:w w:val="92"/>
              </w:rPr>
              <w:t>Dollars</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Percent</w:t>
            </w:r>
          </w:p>
        </w:tc>
        <w:tc>
          <w:tcPr>
            <w:tcW w:w="16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000" w:type="dxa"/>
            <w:vAlign w:val="bottom"/>
            <w:shd w:val="clear" w:color="auto" w:fill="CCEEFF"/>
          </w:tcPr>
          <w:p>
            <w:pPr>
              <w:spacing w:after="0"/>
              <w:rPr>
                <w:sz w:val="20"/>
                <w:szCs w:val="20"/>
                <w:color w:val="auto"/>
              </w:rPr>
            </w:pPr>
            <w:r>
              <w:rPr>
                <w:rFonts w:ascii="Arial" w:cs="Arial" w:eastAsia="Arial" w:hAnsi="Arial"/>
                <w:sz w:val="16"/>
                <w:szCs w:val="16"/>
                <w:color w:val="auto"/>
              </w:rPr>
              <w:t>Net sales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52,264</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100.0%</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70,886</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100.0%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(18,622)</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-26.3%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93"/>
              </w:rPr>
              <w:t>178,004</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100.0%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93"/>
              </w:rPr>
              <w:t>210,613</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100.0%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(32,609)</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-15.5%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1000" w:type="dxa"/>
            <w:vAlign w:val="bottom"/>
            <w:tcBorders>
              <w:top w:val="single" w:sz="8" w:color="CCEEFF"/>
            </w:tcBorders>
          </w:tcPr>
          <w:p>
            <w:pPr>
              <w:spacing w:after="0"/>
              <w:rPr>
                <w:sz w:val="20"/>
                <w:szCs w:val="20"/>
                <w:color w:val="auto"/>
              </w:rPr>
            </w:pPr>
            <w:r>
              <w:rPr>
                <w:rFonts w:ascii="Arial" w:cs="Arial" w:eastAsia="Arial" w:hAnsi="Arial"/>
                <w:sz w:val="16"/>
                <w:szCs w:val="16"/>
                <w:color w:val="auto"/>
              </w:rPr>
              <w:t>Gross profit</w:t>
            </w:r>
          </w:p>
        </w:tc>
        <w:tc>
          <w:tcPr>
            <w:tcW w:w="14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540" w:type="dxa"/>
            <w:vAlign w:val="bottom"/>
            <w:tcBorders>
              <w:top w:val="single" w:sz="8" w:color="auto"/>
            </w:tcBorders>
          </w:tcPr>
          <w:p>
            <w:pPr>
              <w:spacing w:after="0"/>
              <w:rPr>
                <w:sz w:val="16"/>
                <w:szCs w:val="16"/>
                <w:color w:val="auto"/>
              </w:rPr>
            </w:pPr>
          </w:p>
        </w:tc>
        <w:tc>
          <w:tcPr>
            <w:tcW w:w="240" w:type="dxa"/>
            <w:vAlign w:val="bottom"/>
            <w:tcBorders>
              <w:top w:val="single" w:sz="8" w:color="CCEEFF"/>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c>
          <w:tcPr>
            <w:tcW w:w="240" w:type="dxa"/>
            <w:vAlign w:val="bottom"/>
            <w:tcBorders>
              <w:top w:val="single" w:sz="8" w:color="CCEEFF"/>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240" w:type="dxa"/>
            <w:vAlign w:val="bottom"/>
            <w:tcBorders>
              <w:top w:val="single" w:sz="8" w:color="CCEEFF"/>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c>
          <w:tcPr>
            <w:tcW w:w="260" w:type="dxa"/>
            <w:vAlign w:val="bottom"/>
            <w:tcBorders>
              <w:top w:val="single" w:sz="8" w:color="CCEEFF"/>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spacing w:after="0"/>
              <w:rPr>
                <w:sz w:val="16"/>
                <w:szCs w:val="16"/>
                <w:color w:val="auto"/>
              </w:rPr>
            </w:pPr>
          </w:p>
        </w:tc>
        <w:tc>
          <w:tcPr>
            <w:tcW w:w="240" w:type="dxa"/>
            <w:vAlign w:val="bottom"/>
            <w:tcBorders>
              <w:top w:val="single" w:sz="8" w:color="CCEEFF"/>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1000" w:type="dxa"/>
            <w:vAlign w:val="bottom"/>
          </w:tcPr>
          <w:p>
            <w:pPr>
              <w:spacing w:after="0"/>
              <w:rPr>
                <w:sz w:val="20"/>
                <w:szCs w:val="20"/>
                <w:color w:val="auto"/>
              </w:rPr>
            </w:pPr>
            <w:r>
              <w:rPr>
                <w:rFonts w:ascii="Arial" w:cs="Arial" w:eastAsia="Arial" w:hAnsi="Arial"/>
                <w:sz w:val="16"/>
                <w:szCs w:val="16"/>
                <w:color w:val="auto"/>
              </w:rPr>
              <w:t>(1)</w:t>
            </w:r>
          </w:p>
        </w:tc>
        <w:tc>
          <w:tcPr>
            <w:tcW w:w="140" w:type="dxa"/>
            <w:vAlign w:val="bottom"/>
          </w:tcPr>
          <w:p>
            <w:pPr>
              <w:spacing w:after="0"/>
              <w:rPr>
                <w:sz w:val="18"/>
                <w:szCs w:val="18"/>
                <w:color w:val="auto"/>
              </w:rPr>
            </w:pPr>
          </w:p>
        </w:tc>
        <w:tc>
          <w:tcPr>
            <w:tcW w:w="760" w:type="dxa"/>
            <w:vAlign w:val="bottom"/>
          </w:tcPr>
          <w:p>
            <w:pPr>
              <w:jc w:val="right"/>
              <w:ind w:right="159"/>
              <w:spacing w:after="0"/>
              <w:rPr>
                <w:sz w:val="20"/>
                <w:szCs w:val="20"/>
                <w:color w:val="auto"/>
              </w:rPr>
            </w:pPr>
            <w:r>
              <w:rPr>
                <w:rFonts w:ascii="Arial" w:cs="Arial" w:eastAsia="Arial" w:hAnsi="Arial"/>
                <w:sz w:val="16"/>
                <w:szCs w:val="16"/>
                <w:color w:val="auto"/>
              </w:rPr>
              <w:t>26,946</w:t>
            </w:r>
          </w:p>
        </w:tc>
        <w:tc>
          <w:tcPr>
            <w:tcW w:w="780" w:type="dxa"/>
            <w:vAlign w:val="bottom"/>
            <w:gridSpan w:val="2"/>
          </w:tcPr>
          <w:p>
            <w:pPr>
              <w:jc w:val="right"/>
              <w:ind w:right="100"/>
              <w:spacing w:after="0"/>
              <w:rPr>
                <w:sz w:val="20"/>
                <w:szCs w:val="20"/>
                <w:color w:val="auto"/>
              </w:rPr>
            </w:pPr>
            <w:r>
              <w:rPr>
                <w:rFonts w:ascii="Arial" w:cs="Arial" w:eastAsia="Arial" w:hAnsi="Arial"/>
                <w:sz w:val="16"/>
                <w:szCs w:val="16"/>
                <w:color w:val="auto"/>
              </w:rPr>
              <w:t>51.6%</w:t>
            </w:r>
          </w:p>
        </w:tc>
        <w:tc>
          <w:tcPr>
            <w:tcW w:w="140" w:type="dxa"/>
            <w:vAlign w:val="bottom"/>
          </w:tcPr>
          <w:p>
            <w:pPr>
              <w:spacing w:after="0"/>
              <w:rPr>
                <w:sz w:val="18"/>
                <w:szCs w:val="18"/>
                <w:color w:val="auto"/>
              </w:rPr>
            </w:pPr>
          </w:p>
        </w:tc>
        <w:tc>
          <w:tcPr>
            <w:tcW w:w="760" w:type="dxa"/>
            <w:vAlign w:val="bottom"/>
          </w:tcPr>
          <w:p>
            <w:pPr>
              <w:jc w:val="right"/>
              <w:ind w:right="159"/>
              <w:spacing w:after="0"/>
              <w:rPr>
                <w:sz w:val="20"/>
                <w:szCs w:val="20"/>
                <w:color w:val="auto"/>
              </w:rPr>
            </w:pPr>
            <w:r>
              <w:rPr>
                <w:rFonts w:ascii="Arial" w:cs="Arial" w:eastAsia="Arial" w:hAnsi="Arial"/>
                <w:sz w:val="16"/>
                <w:szCs w:val="16"/>
                <w:color w:val="auto"/>
              </w:rPr>
              <w:t>36,562</w:t>
            </w:r>
          </w:p>
        </w:tc>
        <w:tc>
          <w:tcPr>
            <w:tcW w:w="860" w:type="dxa"/>
            <w:vAlign w:val="bottom"/>
            <w:gridSpan w:val="2"/>
          </w:tcPr>
          <w:p>
            <w:pPr>
              <w:jc w:val="right"/>
              <w:ind w:right="120"/>
              <w:spacing w:after="0"/>
              <w:rPr>
                <w:sz w:val="20"/>
                <w:szCs w:val="20"/>
                <w:color w:val="auto"/>
              </w:rPr>
            </w:pPr>
            <w:r>
              <w:rPr>
                <w:rFonts w:ascii="Arial" w:cs="Arial" w:eastAsia="Arial" w:hAnsi="Arial"/>
                <w:sz w:val="16"/>
                <w:szCs w:val="16"/>
                <w:color w:val="auto"/>
              </w:rPr>
              <w:t>51.6%</w:t>
            </w:r>
          </w:p>
        </w:tc>
        <w:tc>
          <w:tcPr>
            <w:tcW w:w="80" w:type="dxa"/>
            <w:vAlign w:val="bottom"/>
          </w:tcPr>
          <w:p>
            <w:pPr>
              <w:spacing w:after="0"/>
              <w:rPr>
                <w:sz w:val="18"/>
                <w:szCs w:val="18"/>
                <w:color w:val="auto"/>
              </w:rPr>
            </w:pPr>
          </w:p>
        </w:tc>
        <w:tc>
          <w:tcPr>
            <w:tcW w:w="760" w:type="dxa"/>
            <w:vAlign w:val="bottom"/>
          </w:tcPr>
          <w:p>
            <w:pPr>
              <w:jc w:val="right"/>
              <w:ind w:right="39"/>
              <w:spacing w:after="0"/>
              <w:rPr>
                <w:sz w:val="20"/>
                <w:szCs w:val="20"/>
                <w:color w:val="auto"/>
              </w:rPr>
            </w:pPr>
            <w:r>
              <w:rPr>
                <w:rFonts w:ascii="Arial" w:cs="Arial" w:eastAsia="Arial" w:hAnsi="Arial"/>
                <w:sz w:val="16"/>
                <w:szCs w:val="16"/>
                <w:color w:val="auto"/>
              </w:rPr>
              <w:t>(9,616)</w:t>
            </w:r>
          </w:p>
        </w:tc>
        <w:tc>
          <w:tcPr>
            <w:tcW w:w="940" w:type="dxa"/>
            <w:vAlign w:val="bottom"/>
            <w:gridSpan w:val="2"/>
          </w:tcPr>
          <w:p>
            <w:pPr>
              <w:jc w:val="right"/>
              <w:ind w:right="100"/>
              <w:spacing w:after="0"/>
              <w:rPr>
                <w:sz w:val="20"/>
                <w:szCs w:val="20"/>
                <w:color w:val="auto"/>
              </w:rPr>
            </w:pPr>
            <w:r>
              <w:rPr>
                <w:rFonts w:ascii="Arial" w:cs="Arial" w:eastAsia="Arial" w:hAnsi="Arial"/>
                <w:sz w:val="16"/>
                <w:szCs w:val="16"/>
                <w:color w:val="auto"/>
              </w:rPr>
              <w:t>-26.3%</w:t>
            </w:r>
          </w:p>
        </w:tc>
        <w:tc>
          <w:tcPr>
            <w:tcW w:w="100" w:type="dxa"/>
            <w:vAlign w:val="bottom"/>
          </w:tcPr>
          <w:p>
            <w:pPr>
              <w:spacing w:after="0"/>
              <w:rPr>
                <w:sz w:val="18"/>
                <w:szCs w:val="18"/>
                <w:color w:val="auto"/>
              </w:rPr>
            </w:pPr>
          </w:p>
        </w:tc>
        <w:tc>
          <w:tcPr>
            <w:tcW w:w="700" w:type="dxa"/>
            <w:vAlign w:val="bottom"/>
          </w:tcPr>
          <w:p>
            <w:pPr>
              <w:jc w:val="right"/>
              <w:ind w:right="59"/>
              <w:spacing w:after="0"/>
              <w:rPr>
                <w:sz w:val="20"/>
                <w:szCs w:val="20"/>
                <w:color w:val="auto"/>
              </w:rPr>
            </w:pPr>
            <w:r>
              <w:rPr>
                <w:rFonts w:ascii="Arial" w:cs="Arial" w:eastAsia="Arial" w:hAnsi="Arial"/>
                <w:sz w:val="16"/>
                <w:szCs w:val="16"/>
                <w:color w:val="auto"/>
              </w:rPr>
              <w:t>93,454</w:t>
            </w:r>
          </w:p>
        </w:tc>
        <w:tc>
          <w:tcPr>
            <w:tcW w:w="880" w:type="dxa"/>
            <w:vAlign w:val="bottom"/>
            <w:gridSpan w:val="2"/>
          </w:tcPr>
          <w:p>
            <w:pPr>
              <w:jc w:val="right"/>
              <w:ind w:right="120"/>
              <w:spacing w:after="0"/>
              <w:rPr>
                <w:sz w:val="20"/>
                <w:szCs w:val="20"/>
                <w:color w:val="auto"/>
              </w:rPr>
            </w:pPr>
            <w:r>
              <w:rPr>
                <w:rFonts w:ascii="Arial" w:cs="Arial" w:eastAsia="Arial" w:hAnsi="Arial"/>
                <w:sz w:val="16"/>
                <w:szCs w:val="16"/>
                <w:color w:val="auto"/>
              </w:rPr>
              <w:t>52.5%</w:t>
            </w:r>
          </w:p>
        </w:tc>
        <w:tc>
          <w:tcPr>
            <w:tcW w:w="100" w:type="dxa"/>
            <w:vAlign w:val="bottom"/>
          </w:tcPr>
          <w:p>
            <w:pPr>
              <w:spacing w:after="0"/>
              <w:rPr>
                <w:sz w:val="18"/>
                <w:szCs w:val="18"/>
                <w:color w:val="auto"/>
              </w:rPr>
            </w:pPr>
          </w:p>
        </w:tc>
        <w:tc>
          <w:tcPr>
            <w:tcW w:w="760" w:type="dxa"/>
            <w:vAlign w:val="bottom"/>
          </w:tcPr>
          <w:p>
            <w:pPr>
              <w:jc w:val="right"/>
              <w:ind w:right="119"/>
              <w:spacing w:after="0"/>
              <w:rPr>
                <w:sz w:val="20"/>
                <w:szCs w:val="20"/>
                <w:color w:val="auto"/>
              </w:rPr>
            </w:pPr>
            <w:r>
              <w:rPr>
                <w:rFonts w:ascii="Arial" w:cs="Arial" w:eastAsia="Arial" w:hAnsi="Arial"/>
                <w:sz w:val="16"/>
                <w:szCs w:val="16"/>
                <w:color w:val="auto"/>
                <w:w w:val="93"/>
              </w:rPr>
              <w:t>110,597</w:t>
            </w:r>
          </w:p>
        </w:tc>
        <w:tc>
          <w:tcPr>
            <w:tcW w:w="800" w:type="dxa"/>
            <w:vAlign w:val="bottom"/>
            <w:gridSpan w:val="2"/>
          </w:tcPr>
          <w:p>
            <w:pPr>
              <w:jc w:val="right"/>
              <w:ind w:right="100"/>
              <w:spacing w:after="0"/>
              <w:rPr>
                <w:sz w:val="20"/>
                <w:szCs w:val="20"/>
                <w:color w:val="auto"/>
              </w:rPr>
            </w:pPr>
            <w:r>
              <w:rPr>
                <w:rFonts w:ascii="Arial" w:cs="Arial" w:eastAsia="Arial" w:hAnsi="Arial"/>
                <w:sz w:val="16"/>
                <w:szCs w:val="16"/>
                <w:color w:val="auto"/>
              </w:rPr>
              <w:t>52.5%</w:t>
            </w:r>
          </w:p>
        </w:tc>
        <w:tc>
          <w:tcPr>
            <w:tcW w:w="100" w:type="dxa"/>
            <w:vAlign w:val="bottom"/>
          </w:tcPr>
          <w:p>
            <w:pPr>
              <w:spacing w:after="0"/>
              <w:rPr>
                <w:sz w:val="18"/>
                <w:szCs w:val="18"/>
                <w:color w:val="auto"/>
              </w:rPr>
            </w:pPr>
          </w:p>
        </w:tc>
        <w:tc>
          <w:tcPr>
            <w:tcW w:w="740" w:type="dxa"/>
            <w:vAlign w:val="bottom"/>
          </w:tcPr>
          <w:p>
            <w:pPr>
              <w:jc w:val="right"/>
              <w:ind w:right="39"/>
              <w:spacing w:after="0"/>
              <w:rPr>
                <w:sz w:val="20"/>
                <w:szCs w:val="20"/>
                <w:color w:val="auto"/>
              </w:rPr>
            </w:pPr>
            <w:r>
              <w:rPr>
                <w:rFonts w:ascii="Arial" w:cs="Arial" w:eastAsia="Arial" w:hAnsi="Arial"/>
                <w:sz w:val="16"/>
                <w:szCs w:val="16"/>
                <w:color w:val="auto"/>
              </w:rPr>
              <w:t>(17,143)</w:t>
            </w:r>
          </w:p>
        </w:tc>
        <w:tc>
          <w:tcPr>
            <w:tcW w:w="860" w:type="dxa"/>
            <w:vAlign w:val="bottom"/>
            <w:gridSpan w:val="3"/>
          </w:tcPr>
          <w:p>
            <w:pPr>
              <w:jc w:val="right"/>
              <w:ind w:right="20"/>
              <w:spacing w:after="0"/>
              <w:rPr>
                <w:sz w:val="20"/>
                <w:szCs w:val="20"/>
                <w:color w:val="auto"/>
              </w:rPr>
            </w:pPr>
            <w:r>
              <w:rPr>
                <w:rFonts w:ascii="Arial" w:cs="Arial" w:eastAsia="Arial" w:hAnsi="Arial"/>
                <w:sz w:val="16"/>
                <w:szCs w:val="16"/>
                <w:color w:val="auto"/>
              </w:rPr>
              <w:t>-15.5%</w:t>
            </w:r>
          </w:p>
        </w:tc>
        <w:tc>
          <w:tcPr>
            <w:tcW w:w="0" w:type="dxa"/>
            <w:vAlign w:val="bottom"/>
          </w:tcPr>
          <w:p>
            <w:pPr>
              <w:spacing w:after="0"/>
              <w:rPr>
                <w:sz w:val="1"/>
                <w:szCs w:val="1"/>
                <w:color w:val="auto"/>
              </w:rPr>
            </w:pPr>
          </w:p>
        </w:tc>
      </w:tr>
      <w:tr>
        <w:trPr>
          <w:trHeight w:val="196"/>
        </w:trPr>
        <w:tc>
          <w:tcPr>
            <w:tcW w:w="1000" w:type="dxa"/>
            <w:vAlign w:val="bottom"/>
            <w:shd w:val="clear" w:color="auto" w:fill="CCEEFF"/>
          </w:tcPr>
          <w:p>
            <w:pPr>
              <w:spacing w:after="0"/>
              <w:rPr>
                <w:sz w:val="20"/>
                <w:szCs w:val="20"/>
                <w:color w:val="auto"/>
              </w:rPr>
            </w:pPr>
            <w:r>
              <w:rPr>
                <w:rFonts w:ascii="Arial" w:cs="Arial" w:eastAsia="Arial" w:hAnsi="Arial"/>
                <w:sz w:val="16"/>
                <w:szCs w:val="16"/>
                <w:color w:val="auto"/>
              </w:rPr>
              <w:t>SG&amp;A</w:t>
            </w:r>
          </w:p>
        </w:tc>
        <w:tc>
          <w:tcPr>
            <w:tcW w:w="140" w:type="dxa"/>
            <w:vAlign w:val="bottom"/>
            <w:shd w:val="clear" w:color="auto" w:fill="CCEEFF"/>
          </w:tcPr>
          <w:p>
            <w:pPr>
              <w:spacing w:after="0"/>
              <w:rPr>
                <w:sz w:val="17"/>
                <w:szCs w:val="17"/>
                <w:color w:val="auto"/>
              </w:rPr>
            </w:pPr>
          </w:p>
        </w:tc>
        <w:tc>
          <w:tcPr>
            <w:tcW w:w="760" w:type="dxa"/>
            <w:vAlign w:val="bottom"/>
            <w:vMerge w:val="restart"/>
            <w:shd w:val="clear" w:color="auto" w:fill="CCEEFF"/>
          </w:tcPr>
          <w:p>
            <w:pPr>
              <w:jc w:val="right"/>
              <w:ind w:right="159"/>
              <w:spacing w:after="0"/>
              <w:rPr>
                <w:sz w:val="20"/>
                <w:szCs w:val="20"/>
                <w:color w:val="auto"/>
              </w:rPr>
            </w:pPr>
            <w:r>
              <w:rPr>
                <w:rFonts w:ascii="Arial" w:cs="Arial" w:eastAsia="Arial" w:hAnsi="Arial"/>
                <w:sz w:val="16"/>
                <w:szCs w:val="16"/>
                <w:color w:val="auto"/>
              </w:rPr>
              <w:t>29,982</w:t>
            </w:r>
          </w:p>
        </w:tc>
        <w:tc>
          <w:tcPr>
            <w:tcW w:w="78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6"/>
                <w:szCs w:val="16"/>
                <w:color w:val="auto"/>
              </w:rPr>
              <w:t>57.4%</w:t>
            </w:r>
          </w:p>
        </w:tc>
        <w:tc>
          <w:tcPr>
            <w:tcW w:w="140" w:type="dxa"/>
            <w:vAlign w:val="bottom"/>
            <w:shd w:val="clear" w:color="auto" w:fill="CCEEFF"/>
          </w:tcPr>
          <w:p>
            <w:pPr>
              <w:spacing w:after="0"/>
              <w:rPr>
                <w:sz w:val="17"/>
                <w:szCs w:val="17"/>
                <w:color w:val="auto"/>
              </w:rPr>
            </w:pPr>
          </w:p>
        </w:tc>
        <w:tc>
          <w:tcPr>
            <w:tcW w:w="760" w:type="dxa"/>
            <w:vAlign w:val="bottom"/>
            <w:vMerge w:val="restart"/>
            <w:shd w:val="clear" w:color="auto" w:fill="CCEEFF"/>
          </w:tcPr>
          <w:p>
            <w:pPr>
              <w:jc w:val="right"/>
              <w:ind w:right="159"/>
              <w:spacing w:after="0"/>
              <w:rPr>
                <w:sz w:val="20"/>
                <w:szCs w:val="20"/>
                <w:color w:val="auto"/>
              </w:rPr>
            </w:pPr>
            <w:r>
              <w:rPr>
                <w:rFonts w:ascii="Arial" w:cs="Arial" w:eastAsia="Arial" w:hAnsi="Arial"/>
                <w:sz w:val="16"/>
                <w:szCs w:val="16"/>
                <w:color w:val="auto"/>
              </w:rPr>
              <w:t>32,673</w:t>
            </w:r>
          </w:p>
        </w:tc>
        <w:tc>
          <w:tcPr>
            <w:tcW w:w="86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6"/>
                <w:szCs w:val="16"/>
                <w:color w:val="auto"/>
              </w:rPr>
              <w:t>46.1%</w:t>
            </w:r>
          </w:p>
        </w:tc>
        <w:tc>
          <w:tcPr>
            <w:tcW w:w="80" w:type="dxa"/>
            <w:vAlign w:val="bottom"/>
            <w:shd w:val="clear" w:color="auto" w:fill="CCEEFF"/>
          </w:tcPr>
          <w:p>
            <w:pPr>
              <w:spacing w:after="0"/>
              <w:rPr>
                <w:sz w:val="17"/>
                <w:szCs w:val="17"/>
                <w:color w:val="auto"/>
              </w:rPr>
            </w:pPr>
          </w:p>
        </w:tc>
        <w:tc>
          <w:tcPr>
            <w:tcW w:w="76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(2,691)</w:t>
            </w:r>
          </w:p>
        </w:tc>
        <w:tc>
          <w:tcPr>
            <w:tcW w:w="94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6"/>
                <w:szCs w:val="16"/>
                <w:color w:val="auto"/>
              </w:rPr>
              <w:t>-8.2%</w:t>
            </w:r>
          </w:p>
        </w:tc>
        <w:tc>
          <w:tcPr>
            <w:tcW w:w="100" w:type="dxa"/>
            <w:vAlign w:val="bottom"/>
            <w:shd w:val="clear" w:color="auto" w:fill="CCEEFF"/>
          </w:tcPr>
          <w:p>
            <w:pPr>
              <w:spacing w:after="0"/>
              <w:rPr>
                <w:sz w:val="17"/>
                <w:szCs w:val="17"/>
                <w:color w:val="auto"/>
              </w:rPr>
            </w:pPr>
          </w:p>
        </w:tc>
        <w:tc>
          <w:tcPr>
            <w:tcW w:w="700" w:type="dxa"/>
            <w:vAlign w:val="bottom"/>
            <w:vMerge w:val="restart"/>
            <w:shd w:val="clear" w:color="auto" w:fill="CCEEFF"/>
          </w:tcPr>
          <w:p>
            <w:pPr>
              <w:jc w:val="right"/>
              <w:ind w:right="59"/>
              <w:spacing w:after="0"/>
              <w:rPr>
                <w:sz w:val="20"/>
                <w:szCs w:val="20"/>
                <w:color w:val="auto"/>
              </w:rPr>
            </w:pPr>
            <w:r>
              <w:rPr>
                <w:rFonts w:ascii="Arial" w:cs="Arial" w:eastAsia="Arial" w:hAnsi="Arial"/>
                <w:sz w:val="16"/>
                <w:szCs w:val="16"/>
                <w:color w:val="auto"/>
              </w:rPr>
              <w:t>94,205</w:t>
            </w:r>
          </w:p>
        </w:tc>
        <w:tc>
          <w:tcPr>
            <w:tcW w:w="88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6"/>
                <w:szCs w:val="16"/>
                <w:color w:val="auto"/>
              </w:rPr>
              <w:t>52.9%</w:t>
            </w:r>
          </w:p>
        </w:tc>
        <w:tc>
          <w:tcPr>
            <w:tcW w:w="100" w:type="dxa"/>
            <w:vAlign w:val="bottom"/>
            <w:shd w:val="clear" w:color="auto" w:fill="CCEEFF"/>
          </w:tcPr>
          <w:p>
            <w:pPr>
              <w:spacing w:after="0"/>
              <w:rPr>
                <w:sz w:val="17"/>
                <w:szCs w:val="17"/>
                <w:color w:val="auto"/>
              </w:rPr>
            </w:pPr>
          </w:p>
        </w:tc>
        <w:tc>
          <w:tcPr>
            <w:tcW w:w="760" w:type="dxa"/>
            <w:vAlign w:val="bottom"/>
            <w:vMerge w:val="restart"/>
            <w:shd w:val="clear" w:color="auto" w:fill="CCEEFF"/>
          </w:tcPr>
          <w:p>
            <w:pPr>
              <w:jc w:val="right"/>
              <w:ind w:right="119"/>
              <w:spacing w:after="0"/>
              <w:rPr>
                <w:sz w:val="20"/>
                <w:szCs w:val="20"/>
                <w:color w:val="auto"/>
              </w:rPr>
            </w:pPr>
            <w:r>
              <w:rPr>
                <w:rFonts w:ascii="Arial" w:cs="Arial" w:eastAsia="Arial" w:hAnsi="Arial"/>
                <w:sz w:val="16"/>
                <w:szCs w:val="16"/>
                <w:color w:val="auto"/>
              </w:rPr>
              <w:t>96,793</w:t>
            </w:r>
          </w:p>
        </w:tc>
        <w:tc>
          <w:tcPr>
            <w:tcW w:w="80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6"/>
                <w:szCs w:val="16"/>
                <w:color w:val="auto"/>
              </w:rPr>
              <w:t>46.0%</w:t>
            </w:r>
          </w:p>
        </w:tc>
        <w:tc>
          <w:tcPr>
            <w:tcW w:w="100" w:type="dxa"/>
            <w:vAlign w:val="bottom"/>
            <w:shd w:val="clear" w:color="auto" w:fill="CCEEFF"/>
          </w:tcPr>
          <w:p>
            <w:pPr>
              <w:spacing w:after="0"/>
              <w:rPr>
                <w:sz w:val="17"/>
                <w:szCs w:val="17"/>
                <w:color w:val="auto"/>
              </w:rPr>
            </w:pPr>
          </w:p>
        </w:tc>
        <w:tc>
          <w:tcPr>
            <w:tcW w:w="74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(2,588)</w:t>
            </w:r>
          </w:p>
        </w:tc>
        <w:tc>
          <w:tcPr>
            <w:tcW w:w="840" w:type="dxa"/>
            <w:vAlign w:val="bottom"/>
            <w:gridSpan w:val="2"/>
            <w:vMerge w:val="restart"/>
            <w:shd w:val="clear" w:color="auto" w:fill="CCEEFF"/>
          </w:tcPr>
          <w:p>
            <w:pPr>
              <w:jc w:val="right"/>
              <w:spacing w:after="0"/>
              <w:rPr>
                <w:sz w:val="20"/>
                <w:szCs w:val="20"/>
                <w:color w:val="auto"/>
              </w:rPr>
            </w:pPr>
            <w:r>
              <w:rPr>
                <w:rFonts w:ascii="Arial" w:cs="Arial" w:eastAsia="Arial" w:hAnsi="Arial"/>
                <w:sz w:val="16"/>
                <w:szCs w:val="16"/>
                <w:color w:val="auto"/>
              </w:rPr>
              <w:t>-2.7%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1000" w:type="dxa"/>
            <w:vAlign w:val="bottom"/>
            <w:shd w:val="clear" w:color="auto" w:fill="CCEEFF"/>
          </w:tcPr>
          <w:p>
            <w:pPr>
              <w:spacing w:after="0"/>
              <w:rPr>
                <w:sz w:val="20"/>
                <w:szCs w:val="20"/>
                <w:color w:val="auto"/>
              </w:rPr>
            </w:pPr>
            <w:r>
              <w:rPr>
                <w:rFonts w:ascii="Arial" w:cs="Arial" w:eastAsia="Arial" w:hAnsi="Arial"/>
                <w:sz w:val="16"/>
                <w:szCs w:val="16"/>
                <w:color w:val="auto"/>
              </w:rPr>
              <w:t>expenses</w:t>
            </w:r>
          </w:p>
        </w:tc>
        <w:tc>
          <w:tcPr>
            <w:tcW w:w="140" w:type="dxa"/>
            <w:vAlign w:val="bottom"/>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78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860" w:type="dxa"/>
            <w:vAlign w:val="bottom"/>
            <w:gridSpan w:val="2"/>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94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vMerge w:val="continue"/>
            <w:shd w:val="clear" w:color="auto" w:fill="CCEEFF"/>
          </w:tcPr>
          <w:p>
            <w:pPr>
              <w:spacing w:after="0"/>
              <w:rPr>
                <w:sz w:val="17"/>
                <w:szCs w:val="17"/>
                <w:color w:val="auto"/>
              </w:rPr>
            </w:pPr>
          </w:p>
        </w:tc>
        <w:tc>
          <w:tcPr>
            <w:tcW w:w="88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80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vMerge w:val="continue"/>
            <w:shd w:val="clear" w:color="auto" w:fill="CCEEFF"/>
          </w:tcPr>
          <w:p>
            <w:pPr>
              <w:spacing w:after="0"/>
              <w:rPr>
                <w:sz w:val="17"/>
                <w:szCs w:val="17"/>
                <w:color w:val="auto"/>
              </w:rPr>
            </w:pPr>
          </w:p>
        </w:tc>
        <w:tc>
          <w:tcPr>
            <w:tcW w:w="840" w:type="dxa"/>
            <w:vAlign w:val="bottom"/>
            <w:gridSpan w:val="2"/>
            <w:vMerge w:val="continue"/>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1000" w:type="dxa"/>
            <w:vAlign w:val="bottom"/>
            <w:tcBorders>
              <w:top w:val="single" w:sz="8" w:color="CCEEFF"/>
            </w:tcBorders>
          </w:tcPr>
          <w:p>
            <w:pPr>
              <w:spacing w:after="0"/>
              <w:rPr>
                <w:sz w:val="20"/>
                <w:szCs w:val="20"/>
                <w:color w:val="auto"/>
              </w:rPr>
            </w:pPr>
            <w:r>
              <w:rPr>
                <w:rFonts w:ascii="Arial" w:cs="Arial" w:eastAsia="Arial" w:hAnsi="Arial"/>
                <w:sz w:val="16"/>
                <w:szCs w:val="16"/>
                <w:color w:val="auto"/>
              </w:rPr>
              <w:t>Income (loss)</w:t>
            </w:r>
          </w:p>
        </w:tc>
        <w:tc>
          <w:tcPr>
            <w:tcW w:w="14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540" w:type="dxa"/>
            <w:vAlign w:val="bottom"/>
            <w:tcBorders>
              <w:top w:val="single" w:sz="8" w:color="auto"/>
            </w:tcBorders>
          </w:tcPr>
          <w:p>
            <w:pPr>
              <w:spacing w:after="0"/>
              <w:rPr>
                <w:sz w:val="16"/>
                <w:szCs w:val="16"/>
                <w:color w:val="auto"/>
              </w:rPr>
            </w:pPr>
          </w:p>
        </w:tc>
        <w:tc>
          <w:tcPr>
            <w:tcW w:w="240" w:type="dxa"/>
            <w:vAlign w:val="bottom"/>
            <w:tcBorders>
              <w:top w:val="single" w:sz="8" w:color="CCEEFF"/>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c>
          <w:tcPr>
            <w:tcW w:w="240" w:type="dxa"/>
            <w:vAlign w:val="bottom"/>
            <w:tcBorders>
              <w:top w:val="single" w:sz="8" w:color="CCEEFF"/>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240" w:type="dxa"/>
            <w:vAlign w:val="bottom"/>
            <w:tcBorders>
              <w:top w:val="single" w:sz="8" w:color="CCEEFF"/>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c>
          <w:tcPr>
            <w:tcW w:w="260" w:type="dxa"/>
            <w:vAlign w:val="bottom"/>
            <w:tcBorders>
              <w:top w:val="single" w:sz="8" w:color="CCEEFF"/>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spacing w:after="0"/>
              <w:rPr>
                <w:sz w:val="16"/>
                <w:szCs w:val="16"/>
                <w:color w:val="auto"/>
              </w:rPr>
            </w:pPr>
          </w:p>
        </w:tc>
        <w:tc>
          <w:tcPr>
            <w:tcW w:w="240" w:type="dxa"/>
            <w:vAlign w:val="bottom"/>
            <w:tcBorders>
              <w:top w:val="single" w:sz="8" w:color="CCEEFF"/>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000" w:type="dxa"/>
            <w:vAlign w:val="bottom"/>
          </w:tcPr>
          <w:p>
            <w:pPr>
              <w:spacing w:after="0"/>
              <w:rPr>
                <w:sz w:val="20"/>
                <w:szCs w:val="20"/>
                <w:color w:val="auto"/>
              </w:rPr>
            </w:pPr>
            <w:r>
              <w:rPr>
                <w:rFonts w:ascii="Arial" w:cs="Arial" w:eastAsia="Arial" w:hAnsi="Arial"/>
                <w:sz w:val="16"/>
                <w:szCs w:val="16"/>
                <w:color w:val="auto"/>
              </w:rPr>
              <w:t>from</w:t>
            </w:r>
          </w:p>
        </w:tc>
        <w:tc>
          <w:tcPr>
            <w:tcW w:w="140" w:type="dxa"/>
            <w:vAlign w:val="bottom"/>
            <w:vMerge w:val="restart"/>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vMerge w:val="restart"/>
          </w:tcPr>
          <w:p>
            <w:pPr>
              <w:jc w:val="right"/>
              <w:ind w:right="99"/>
              <w:spacing w:after="0"/>
              <w:rPr>
                <w:sz w:val="20"/>
                <w:szCs w:val="20"/>
                <w:color w:val="auto"/>
              </w:rPr>
            </w:pPr>
            <w:r>
              <w:rPr>
                <w:rFonts w:ascii="Arial" w:cs="Arial" w:eastAsia="Arial" w:hAnsi="Arial"/>
                <w:sz w:val="16"/>
                <w:szCs w:val="16"/>
                <w:color w:val="auto"/>
              </w:rPr>
              <w:t>(3,036)</w:t>
            </w:r>
          </w:p>
        </w:tc>
        <w:tc>
          <w:tcPr>
            <w:tcW w:w="780" w:type="dxa"/>
            <w:vAlign w:val="bottom"/>
            <w:gridSpan w:val="2"/>
            <w:vMerge w:val="restart"/>
          </w:tcPr>
          <w:p>
            <w:pPr>
              <w:jc w:val="right"/>
              <w:ind w:right="100"/>
              <w:spacing w:after="0"/>
              <w:rPr>
                <w:sz w:val="20"/>
                <w:szCs w:val="20"/>
                <w:color w:val="auto"/>
              </w:rPr>
            </w:pPr>
            <w:r>
              <w:rPr>
                <w:rFonts w:ascii="Arial" w:cs="Arial" w:eastAsia="Arial" w:hAnsi="Arial"/>
                <w:sz w:val="16"/>
                <w:szCs w:val="16"/>
                <w:color w:val="auto"/>
              </w:rPr>
              <w:t>-5.8</w:t>
            </w:r>
            <w:r>
              <w:rPr>
                <w:rFonts w:ascii="Arial" w:cs="Arial" w:eastAsia="Arial" w:hAnsi="Arial"/>
                <w:sz w:val="32"/>
                <w:szCs w:val="32"/>
                <w:color w:val="auto"/>
                <w:vertAlign w:val="subscript"/>
              </w:rPr>
              <w:t>%</w:t>
            </w:r>
          </w:p>
        </w:tc>
        <w:tc>
          <w:tcPr>
            <w:tcW w:w="140" w:type="dxa"/>
            <w:vAlign w:val="bottom"/>
            <w:vMerge w:val="restart"/>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vMerge w:val="restart"/>
          </w:tcPr>
          <w:p>
            <w:pPr>
              <w:jc w:val="right"/>
              <w:ind w:right="159"/>
              <w:spacing w:after="0"/>
              <w:rPr>
                <w:sz w:val="20"/>
                <w:szCs w:val="20"/>
                <w:color w:val="auto"/>
              </w:rPr>
            </w:pPr>
            <w:r>
              <w:rPr>
                <w:rFonts w:ascii="Arial" w:cs="Arial" w:eastAsia="Arial" w:hAnsi="Arial"/>
                <w:sz w:val="16"/>
                <w:szCs w:val="16"/>
                <w:color w:val="auto"/>
              </w:rPr>
              <w:t>3,889</w:t>
            </w:r>
          </w:p>
        </w:tc>
        <w:tc>
          <w:tcPr>
            <w:tcW w:w="860" w:type="dxa"/>
            <w:vAlign w:val="bottom"/>
            <w:gridSpan w:val="2"/>
            <w:vMerge w:val="restart"/>
          </w:tcPr>
          <w:p>
            <w:pPr>
              <w:jc w:val="right"/>
              <w:ind w:right="120"/>
              <w:spacing w:after="0"/>
              <w:rPr>
                <w:sz w:val="20"/>
                <w:szCs w:val="20"/>
                <w:color w:val="auto"/>
              </w:rPr>
            </w:pPr>
            <w:r>
              <w:rPr>
                <w:rFonts w:ascii="Arial" w:cs="Arial" w:eastAsia="Arial" w:hAnsi="Arial"/>
                <w:sz w:val="16"/>
                <w:szCs w:val="16"/>
                <w:color w:val="auto"/>
              </w:rPr>
              <w:t>5.5</w:t>
            </w:r>
            <w:r>
              <w:rPr>
                <w:rFonts w:ascii="Arial" w:cs="Arial" w:eastAsia="Arial" w:hAnsi="Arial"/>
                <w:sz w:val="32"/>
                <w:szCs w:val="32"/>
                <w:color w:val="auto"/>
                <w:vertAlign w:val="subscript"/>
              </w:rPr>
              <w:t>%</w:t>
            </w:r>
          </w:p>
        </w:tc>
        <w:tc>
          <w:tcPr>
            <w:tcW w:w="80" w:type="dxa"/>
            <w:vAlign w:val="bottom"/>
            <w:vMerge w:val="restart"/>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vMerge w:val="restart"/>
          </w:tcPr>
          <w:p>
            <w:pPr>
              <w:jc w:val="right"/>
              <w:ind w:right="39"/>
              <w:spacing w:after="0"/>
              <w:rPr>
                <w:sz w:val="20"/>
                <w:szCs w:val="20"/>
                <w:color w:val="auto"/>
              </w:rPr>
            </w:pPr>
            <w:r>
              <w:rPr>
                <w:rFonts w:ascii="Arial" w:cs="Arial" w:eastAsia="Arial" w:hAnsi="Arial"/>
                <w:sz w:val="16"/>
                <w:szCs w:val="16"/>
                <w:color w:val="auto"/>
              </w:rPr>
              <w:t>(6,925)</w:t>
            </w:r>
          </w:p>
        </w:tc>
        <w:tc>
          <w:tcPr>
            <w:tcW w:w="940" w:type="dxa"/>
            <w:vAlign w:val="bottom"/>
            <w:gridSpan w:val="2"/>
            <w:vMerge w:val="restart"/>
          </w:tcPr>
          <w:p>
            <w:pPr>
              <w:jc w:val="right"/>
              <w:ind w:right="100"/>
              <w:spacing w:after="0"/>
              <w:rPr>
                <w:sz w:val="20"/>
                <w:szCs w:val="20"/>
                <w:color w:val="auto"/>
              </w:rPr>
            </w:pPr>
            <w:r>
              <w:rPr>
                <w:rFonts w:ascii="Arial" w:cs="Arial" w:eastAsia="Arial" w:hAnsi="Arial"/>
                <w:sz w:val="16"/>
                <w:szCs w:val="16"/>
                <w:color w:val="auto"/>
              </w:rPr>
              <w:t>-178.1</w:t>
            </w:r>
            <w:r>
              <w:rPr>
                <w:rFonts w:ascii="Arial" w:cs="Arial" w:eastAsia="Arial" w:hAnsi="Arial"/>
                <w:sz w:val="32"/>
                <w:szCs w:val="32"/>
                <w:color w:val="auto"/>
                <w:vertAlign w:val="subscript"/>
              </w:rPr>
              <w:t>%</w:t>
            </w:r>
          </w:p>
        </w:tc>
        <w:tc>
          <w:tcPr>
            <w:tcW w:w="100" w:type="dxa"/>
            <w:vAlign w:val="bottom"/>
            <w:vMerge w:val="restart"/>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vMerge w:val="restart"/>
          </w:tcPr>
          <w:p>
            <w:pPr>
              <w:jc w:val="right"/>
              <w:spacing w:after="0"/>
              <w:rPr>
                <w:sz w:val="20"/>
                <w:szCs w:val="20"/>
                <w:color w:val="auto"/>
              </w:rPr>
            </w:pPr>
            <w:r>
              <w:rPr>
                <w:rFonts w:ascii="Arial" w:cs="Arial" w:eastAsia="Arial" w:hAnsi="Arial"/>
                <w:sz w:val="16"/>
                <w:szCs w:val="16"/>
                <w:color w:val="auto"/>
              </w:rPr>
              <w:t>(751)</w:t>
            </w:r>
          </w:p>
        </w:tc>
        <w:tc>
          <w:tcPr>
            <w:tcW w:w="880" w:type="dxa"/>
            <w:vAlign w:val="bottom"/>
            <w:gridSpan w:val="2"/>
            <w:vMerge w:val="restart"/>
          </w:tcPr>
          <w:p>
            <w:pPr>
              <w:jc w:val="right"/>
              <w:ind w:right="120"/>
              <w:spacing w:after="0"/>
              <w:rPr>
                <w:sz w:val="20"/>
                <w:szCs w:val="20"/>
                <w:color w:val="auto"/>
              </w:rPr>
            </w:pPr>
            <w:r>
              <w:rPr>
                <w:rFonts w:ascii="Arial" w:cs="Arial" w:eastAsia="Arial" w:hAnsi="Arial"/>
                <w:sz w:val="16"/>
                <w:szCs w:val="16"/>
                <w:color w:val="auto"/>
              </w:rPr>
              <w:t>-0.4</w:t>
            </w:r>
            <w:r>
              <w:rPr>
                <w:rFonts w:ascii="Arial" w:cs="Arial" w:eastAsia="Arial" w:hAnsi="Arial"/>
                <w:sz w:val="32"/>
                <w:szCs w:val="32"/>
                <w:color w:val="auto"/>
                <w:vertAlign w:val="subscript"/>
              </w:rPr>
              <w:t>%</w:t>
            </w:r>
          </w:p>
        </w:tc>
        <w:tc>
          <w:tcPr>
            <w:tcW w:w="100" w:type="dxa"/>
            <w:vAlign w:val="bottom"/>
            <w:vMerge w:val="restart"/>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vMerge w:val="restart"/>
          </w:tcPr>
          <w:p>
            <w:pPr>
              <w:jc w:val="right"/>
              <w:ind w:right="119"/>
              <w:spacing w:after="0"/>
              <w:rPr>
                <w:sz w:val="20"/>
                <w:szCs w:val="20"/>
                <w:color w:val="auto"/>
              </w:rPr>
            </w:pPr>
            <w:r>
              <w:rPr>
                <w:rFonts w:ascii="Arial" w:cs="Arial" w:eastAsia="Arial" w:hAnsi="Arial"/>
                <w:sz w:val="16"/>
                <w:szCs w:val="16"/>
                <w:color w:val="auto"/>
              </w:rPr>
              <w:t>13,804</w:t>
            </w:r>
          </w:p>
        </w:tc>
        <w:tc>
          <w:tcPr>
            <w:tcW w:w="800" w:type="dxa"/>
            <w:vAlign w:val="bottom"/>
            <w:gridSpan w:val="2"/>
            <w:vMerge w:val="restart"/>
          </w:tcPr>
          <w:p>
            <w:pPr>
              <w:jc w:val="right"/>
              <w:ind w:right="100"/>
              <w:spacing w:after="0"/>
              <w:rPr>
                <w:sz w:val="20"/>
                <w:szCs w:val="20"/>
                <w:color w:val="auto"/>
              </w:rPr>
            </w:pPr>
            <w:r>
              <w:rPr>
                <w:rFonts w:ascii="Arial" w:cs="Arial" w:eastAsia="Arial" w:hAnsi="Arial"/>
                <w:sz w:val="16"/>
                <w:szCs w:val="16"/>
                <w:color w:val="auto"/>
              </w:rPr>
              <w:t>6.6</w:t>
            </w:r>
            <w:r>
              <w:rPr>
                <w:rFonts w:ascii="Arial" w:cs="Arial" w:eastAsia="Arial" w:hAnsi="Arial"/>
                <w:sz w:val="32"/>
                <w:szCs w:val="32"/>
                <w:color w:val="auto"/>
                <w:vertAlign w:val="subscript"/>
              </w:rPr>
              <w:t>%</w:t>
            </w:r>
          </w:p>
        </w:tc>
        <w:tc>
          <w:tcPr>
            <w:tcW w:w="100" w:type="dxa"/>
            <w:vAlign w:val="bottom"/>
            <w:vMerge w:val="restart"/>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vMerge w:val="restart"/>
          </w:tcPr>
          <w:p>
            <w:pPr>
              <w:jc w:val="right"/>
              <w:ind w:right="39"/>
              <w:spacing w:after="0"/>
              <w:rPr>
                <w:sz w:val="20"/>
                <w:szCs w:val="20"/>
                <w:color w:val="auto"/>
              </w:rPr>
            </w:pPr>
            <w:r>
              <w:rPr>
                <w:rFonts w:ascii="Arial" w:cs="Arial" w:eastAsia="Arial" w:hAnsi="Arial"/>
                <w:sz w:val="16"/>
                <w:szCs w:val="16"/>
                <w:color w:val="auto"/>
              </w:rPr>
              <w:t>(14,555)</w:t>
            </w:r>
          </w:p>
        </w:tc>
        <w:tc>
          <w:tcPr>
            <w:tcW w:w="860" w:type="dxa"/>
            <w:vAlign w:val="bottom"/>
            <w:gridSpan w:val="3"/>
            <w:vMerge w:val="restart"/>
          </w:tcPr>
          <w:p>
            <w:pPr>
              <w:jc w:val="right"/>
              <w:ind w:right="20"/>
              <w:spacing w:after="0"/>
              <w:rPr>
                <w:sz w:val="20"/>
                <w:szCs w:val="20"/>
                <w:color w:val="auto"/>
              </w:rPr>
            </w:pPr>
            <w:r>
              <w:rPr>
                <w:rFonts w:ascii="Arial" w:cs="Arial" w:eastAsia="Arial" w:hAnsi="Arial"/>
                <w:sz w:val="16"/>
                <w:szCs w:val="16"/>
                <w:color w:val="auto"/>
              </w:rPr>
              <w:t>-105.4%</w:t>
            </w:r>
          </w:p>
        </w:tc>
        <w:tc>
          <w:tcPr>
            <w:tcW w:w="0" w:type="dxa"/>
            <w:vAlign w:val="bottom"/>
          </w:tcPr>
          <w:p>
            <w:pPr>
              <w:spacing w:after="0"/>
              <w:rPr>
                <w:sz w:val="1"/>
                <w:szCs w:val="1"/>
                <w:color w:val="auto"/>
              </w:rPr>
            </w:pPr>
          </w:p>
        </w:tc>
      </w:tr>
      <w:tr>
        <w:trPr>
          <w:trHeight w:val="172"/>
        </w:trPr>
        <w:tc>
          <w:tcPr>
            <w:tcW w:w="1000" w:type="dxa"/>
            <w:vAlign w:val="bottom"/>
          </w:tcPr>
          <w:p>
            <w:pPr>
              <w:spacing w:after="0" w:line="172" w:lineRule="exact"/>
              <w:rPr>
                <w:sz w:val="20"/>
                <w:szCs w:val="20"/>
                <w:color w:val="auto"/>
              </w:rPr>
            </w:pPr>
            <w:r>
              <w:rPr>
                <w:rFonts w:ascii="Arial" w:cs="Arial" w:eastAsia="Arial" w:hAnsi="Arial"/>
                <w:sz w:val="16"/>
                <w:szCs w:val="16"/>
                <w:color w:val="auto"/>
              </w:rPr>
              <w:t>operations</w:t>
            </w:r>
          </w:p>
        </w:tc>
        <w:tc>
          <w:tcPr>
            <w:tcW w:w="14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4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86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1800" w:hanging="334"/>
        <w:spacing w:after="0" w:line="263" w:lineRule="auto"/>
        <w:tabs>
          <w:tab w:leader="none" w:pos="18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Gross profit at the segment level is considered a Non-GAAP financial measure due to the included effects of intercompany transactions. Refer to the reconciliation of gross profit by segment to consolidated gross profit presented under the Reconciliation of Segment Results to Consolidated Results of Operations above.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Retail sales by major product category are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17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560" w:type="dxa"/>
            <w:vAlign w:val="bottom"/>
            <w:gridSpan w:val="4"/>
          </w:tcPr>
          <w:p>
            <w:pPr>
              <w:jc w:val="right"/>
              <w:ind w:right="319"/>
              <w:spacing w:after="0"/>
              <w:rPr>
                <w:sz w:val="20"/>
                <w:szCs w:val="20"/>
                <w:color w:val="auto"/>
              </w:rPr>
            </w:pPr>
            <w:r>
              <w:rPr>
                <w:rFonts w:ascii="Arial" w:cs="Arial" w:eastAsia="Arial" w:hAnsi="Arial"/>
                <w:sz w:val="16"/>
                <w:szCs w:val="16"/>
                <w:color w:val="auto"/>
              </w:rPr>
              <w:t>Quarter Ended</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40" w:type="dxa"/>
            <w:vAlign w:val="bottom"/>
            <w:gridSpan w:val="3"/>
          </w:tcPr>
          <w:p>
            <w:pPr>
              <w:jc w:val="right"/>
              <w:ind w:right="680"/>
              <w:spacing w:after="0"/>
              <w:rPr>
                <w:sz w:val="20"/>
                <w:szCs w:val="20"/>
                <w:color w:val="auto"/>
              </w:rPr>
            </w:pPr>
            <w:r>
              <w:rPr>
                <w:rFonts w:ascii="Arial" w:cs="Arial" w:eastAsia="Arial" w:hAnsi="Arial"/>
                <w:sz w:val="16"/>
                <w:szCs w:val="16"/>
                <w:color w:val="auto"/>
              </w:rPr>
              <w:t>Change</w:t>
            </w:r>
          </w:p>
        </w:tc>
        <w:tc>
          <w:tcPr>
            <w:tcW w:w="740" w:type="dxa"/>
            <w:vAlign w:val="bottom"/>
          </w:tcPr>
          <w:p>
            <w:pPr>
              <w:spacing w:after="0"/>
              <w:rPr>
                <w:sz w:val="18"/>
                <w:szCs w:val="18"/>
                <w:color w:val="auto"/>
              </w:rPr>
            </w:pPr>
          </w:p>
        </w:tc>
        <w:tc>
          <w:tcPr>
            <w:tcW w:w="1740" w:type="dxa"/>
            <w:vAlign w:val="bottom"/>
            <w:gridSpan w:val="4"/>
          </w:tcPr>
          <w:p>
            <w:pPr>
              <w:jc w:val="right"/>
              <w:ind w:right="219"/>
              <w:spacing w:after="0"/>
              <w:rPr>
                <w:sz w:val="20"/>
                <w:szCs w:val="20"/>
                <w:color w:val="auto"/>
              </w:rPr>
            </w:pPr>
            <w:r>
              <w:rPr>
                <w:rFonts w:ascii="Arial" w:cs="Arial" w:eastAsia="Arial" w:hAnsi="Arial"/>
                <w:sz w:val="16"/>
                <w:szCs w:val="16"/>
                <w:color w:val="auto"/>
              </w:rPr>
              <w:t>Nine Months Ended</w:t>
            </w: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gridSpan w:val="4"/>
          </w:tcPr>
          <w:p>
            <w:pPr>
              <w:ind w:left="440"/>
              <w:spacing w:after="0"/>
              <w:rPr>
                <w:sz w:val="20"/>
                <w:szCs w:val="20"/>
                <w:color w:val="auto"/>
              </w:rPr>
            </w:pPr>
            <w:r>
              <w:rPr>
                <w:rFonts w:ascii="Arial" w:cs="Arial" w:eastAsia="Arial" w:hAnsi="Arial"/>
                <w:sz w:val="16"/>
                <w:szCs w:val="16"/>
                <w:color w:val="auto"/>
              </w:rPr>
              <w:t>Change</w:t>
            </w:r>
          </w:p>
        </w:tc>
        <w:tc>
          <w:tcPr>
            <w:tcW w:w="0" w:type="dxa"/>
            <w:vAlign w:val="bottom"/>
          </w:tcPr>
          <w:p>
            <w:pPr>
              <w:spacing w:after="0"/>
              <w:rPr>
                <w:sz w:val="1"/>
                <w:szCs w:val="1"/>
                <w:color w:val="auto"/>
              </w:rPr>
            </w:pPr>
          </w:p>
        </w:tc>
      </w:tr>
      <w:tr>
        <w:trPr>
          <w:trHeight w:val="199"/>
        </w:trPr>
        <w:tc>
          <w:tcPr>
            <w:tcW w:w="1700" w:type="dxa"/>
            <w:vAlign w:val="bottom"/>
          </w:tcPr>
          <w:p>
            <w:pPr>
              <w:spacing w:after="0"/>
              <w:rPr>
                <w:sz w:val="17"/>
                <w:szCs w:val="17"/>
                <w:color w:val="auto"/>
              </w:rPr>
            </w:pPr>
          </w:p>
        </w:tc>
        <w:tc>
          <w:tcPr>
            <w:tcW w:w="1540" w:type="dxa"/>
            <w:vAlign w:val="bottom"/>
            <w:tcBorders>
              <w:top w:val="single" w:sz="8" w:color="auto"/>
            </w:tcBorders>
            <w:gridSpan w:val="4"/>
          </w:tcPr>
          <w:p>
            <w:pPr>
              <w:jc w:val="right"/>
              <w:ind w:right="360"/>
              <w:spacing w:after="0"/>
              <w:rPr>
                <w:sz w:val="20"/>
                <w:szCs w:val="20"/>
                <w:color w:val="auto"/>
              </w:rPr>
            </w:pPr>
            <w:r>
              <w:rPr>
                <w:rFonts w:ascii="Arial" w:cs="Arial" w:eastAsia="Arial" w:hAnsi="Arial"/>
                <w:sz w:val="16"/>
                <w:szCs w:val="16"/>
                <w:color w:val="auto"/>
                <w:w w:val="99"/>
              </w:rPr>
              <w:t>August 26, 2023</w:t>
            </w:r>
          </w:p>
        </w:tc>
        <w:tc>
          <w:tcPr>
            <w:tcW w:w="1460" w:type="dxa"/>
            <w:vAlign w:val="bottom"/>
            <w:tcBorders>
              <w:top w:val="single" w:sz="8" w:color="auto"/>
            </w:tcBorders>
            <w:gridSpan w:val="3"/>
          </w:tcPr>
          <w:p>
            <w:pPr>
              <w:ind w:left="140"/>
              <w:spacing w:after="0"/>
              <w:rPr>
                <w:sz w:val="20"/>
                <w:szCs w:val="20"/>
                <w:color w:val="auto"/>
              </w:rPr>
            </w:pPr>
            <w:r>
              <w:rPr>
                <w:rFonts w:ascii="Arial" w:cs="Arial" w:eastAsia="Arial" w:hAnsi="Arial"/>
                <w:sz w:val="16"/>
                <w:szCs w:val="16"/>
                <w:color w:val="auto"/>
              </w:rPr>
              <w:t>August 27, 2022</w:t>
            </w:r>
          </w:p>
        </w:tc>
        <w:tc>
          <w:tcPr>
            <w:tcW w:w="120" w:type="dxa"/>
            <w:vAlign w:val="bottom"/>
          </w:tcPr>
          <w:p>
            <w:pPr>
              <w:spacing w:after="0"/>
              <w:rPr>
                <w:sz w:val="17"/>
                <w:szCs w:val="17"/>
                <w:color w:val="auto"/>
              </w:rPr>
            </w:pPr>
          </w:p>
        </w:tc>
        <w:tc>
          <w:tcPr>
            <w:tcW w:w="760" w:type="dxa"/>
            <w:vAlign w:val="bottom"/>
            <w:tcBorders>
              <w:top w:val="single" w:sz="8" w:color="auto"/>
            </w:tcBorders>
            <w:gridSpan w:val="2"/>
          </w:tcPr>
          <w:p>
            <w:pPr>
              <w:jc w:val="right"/>
              <w:ind w:right="139"/>
              <w:spacing w:after="0"/>
              <w:rPr>
                <w:sz w:val="20"/>
                <w:szCs w:val="20"/>
                <w:color w:val="auto"/>
              </w:rPr>
            </w:pPr>
            <w:r>
              <w:rPr>
                <w:rFonts w:ascii="Arial" w:cs="Arial" w:eastAsia="Arial" w:hAnsi="Arial"/>
                <w:sz w:val="16"/>
                <w:szCs w:val="16"/>
                <w:color w:val="auto"/>
              </w:rPr>
              <w:t>Dollars</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Percent</w:t>
            </w:r>
          </w:p>
        </w:tc>
        <w:tc>
          <w:tcPr>
            <w:tcW w:w="240" w:type="dxa"/>
            <w:vAlign w:val="bottom"/>
          </w:tcPr>
          <w:p>
            <w:pPr>
              <w:spacing w:after="0"/>
              <w:rPr>
                <w:sz w:val="17"/>
                <w:szCs w:val="17"/>
                <w:color w:val="auto"/>
              </w:rPr>
            </w:pPr>
          </w:p>
        </w:tc>
        <w:tc>
          <w:tcPr>
            <w:tcW w:w="1640" w:type="dxa"/>
            <w:vAlign w:val="bottom"/>
            <w:tcBorders>
              <w:top w:val="single" w:sz="8" w:color="auto"/>
            </w:tcBorders>
            <w:gridSpan w:val="4"/>
          </w:tcPr>
          <w:p>
            <w:pPr>
              <w:ind w:left="160"/>
              <w:spacing w:after="0"/>
              <w:rPr>
                <w:sz w:val="20"/>
                <w:szCs w:val="20"/>
                <w:color w:val="auto"/>
              </w:rPr>
            </w:pPr>
            <w:r>
              <w:rPr>
                <w:rFonts w:ascii="Arial" w:cs="Arial" w:eastAsia="Arial" w:hAnsi="Arial"/>
                <w:sz w:val="16"/>
                <w:szCs w:val="16"/>
                <w:color w:val="auto"/>
              </w:rPr>
              <w:t>August 26, 2023</w:t>
            </w:r>
          </w:p>
        </w:tc>
        <w:tc>
          <w:tcPr>
            <w:tcW w:w="1540" w:type="dxa"/>
            <w:vAlign w:val="bottom"/>
            <w:tcBorders>
              <w:top w:val="single" w:sz="8" w:color="auto"/>
            </w:tcBorders>
            <w:gridSpan w:val="3"/>
          </w:tcPr>
          <w:p>
            <w:pPr>
              <w:jc w:val="right"/>
              <w:ind w:right="300"/>
              <w:spacing w:after="0"/>
              <w:rPr>
                <w:sz w:val="20"/>
                <w:szCs w:val="20"/>
                <w:color w:val="auto"/>
              </w:rPr>
            </w:pPr>
            <w:r>
              <w:rPr>
                <w:rFonts w:ascii="Arial" w:cs="Arial" w:eastAsia="Arial" w:hAnsi="Arial"/>
                <w:sz w:val="16"/>
                <w:szCs w:val="16"/>
                <w:color w:val="auto"/>
              </w:rPr>
              <w:t>August 27, 2022</w:t>
            </w:r>
          </w:p>
        </w:tc>
        <w:tc>
          <w:tcPr>
            <w:tcW w:w="100" w:type="dxa"/>
            <w:vAlign w:val="bottom"/>
          </w:tcPr>
          <w:p>
            <w:pPr>
              <w:spacing w:after="0"/>
              <w:rPr>
                <w:sz w:val="17"/>
                <w:szCs w:val="17"/>
                <w:color w:val="auto"/>
              </w:rPr>
            </w:pPr>
          </w:p>
        </w:tc>
        <w:tc>
          <w:tcPr>
            <w:tcW w:w="76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rPr>
              <w:t>Dollars</w:t>
            </w:r>
          </w:p>
        </w:tc>
        <w:tc>
          <w:tcPr>
            <w:tcW w:w="620" w:type="dxa"/>
            <w:vAlign w:val="bottom"/>
            <w:tcBorders>
              <w:top w:val="single" w:sz="8" w:color="auto"/>
            </w:tcBorders>
          </w:tcPr>
          <w:p>
            <w:pPr>
              <w:ind w:left="100"/>
              <w:spacing w:after="0"/>
              <w:rPr>
                <w:sz w:val="20"/>
                <w:szCs w:val="20"/>
                <w:color w:val="auto"/>
              </w:rPr>
            </w:pPr>
            <w:r>
              <w:rPr>
                <w:rFonts w:ascii="Arial" w:cs="Arial" w:eastAsia="Arial" w:hAnsi="Arial"/>
                <w:sz w:val="16"/>
                <w:szCs w:val="16"/>
                <w:color w:val="auto"/>
                <w:w w:val="90"/>
              </w:rPr>
              <w:t>Percent</w:t>
            </w:r>
          </w:p>
        </w:tc>
        <w:tc>
          <w:tcPr>
            <w:tcW w:w="16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700" w:type="dxa"/>
            <w:vAlign w:val="bottom"/>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1700" w:type="dxa"/>
            <w:vAlign w:val="bottom"/>
            <w:shd w:val="clear" w:color="auto" w:fill="CCEEFF"/>
          </w:tcPr>
          <w:p>
            <w:pPr>
              <w:spacing w:after="0"/>
              <w:rPr>
                <w:sz w:val="20"/>
                <w:szCs w:val="20"/>
                <w:color w:val="auto"/>
              </w:rPr>
            </w:pPr>
            <w:r>
              <w:rPr>
                <w:rFonts w:ascii="Arial" w:cs="Arial" w:eastAsia="Arial" w:hAnsi="Arial"/>
                <w:sz w:val="16"/>
                <w:szCs w:val="16"/>
                <w:color w:val="auto"/>
              </w:rPr>
              <w:t>Bassett Custom</w:t>
            </w:r>
          </w:p>
        </w:tc>
        <w:tc>
          <w:tcPr>
            <w:tcW w:w="74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1700" w:type="dxa"/>
            <w:vAlign w:val="bottom"/>
            <w:shd w:val="clear" w:color="auto" w:fill="CCEEFF"/>
          </w:tcPr>
          <w:p>
            <w:pPr>
              <w:spacing w:after="0"/>
              <w:rPr>
                <w:sz w:val="20"/>
                <w:szCs w:val="20"/>
                <w:color w:val="auto"/>
              </w:rPr>
            </w:pPr>
            <w:r>
              <w:rPr>
                <w:rFonts w:ascii="Arial" w:cs="Arial" w:eastAsia="Arial" w:hAnsi="Arial"/>
                <w:sz w:val="16"/>
                <w:szCs w:val="16"/>
                <w:color w:val="auto"/>
              </w:rPr>
              <w:t>Upholstery</w:t>
            </w:r>
          </w:p>
        </w:tc>
        <w:tc>
          <w:tcPr>
            <w:tcW w:w="7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3"/>
              </w:rPr>
              <w:t>$ 30,177</w:t>
            </w:r>
          </w:p>
        </w:tc>
        <w:tc>
          <w:tcPr>
            <w:tcW w:w="80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57.7%</w:t>
            </w:r>
          </w:p>
        </w:tc>
        <w:tc>
          <w:tcPr>
            <w:tcW w:w="7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6"/>
              </w:rPr>
              <w:t>$ 39,054</w:t>
            </w:r>
          </w:p>
        </w:tc>
        <w:tc>
          <w:tcPr>
            <w:tcW w:w="82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55.1%</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(8,877)</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-22.7%</w:t>
            </w:r>
          </w:p>
        </w:tc>
        <w:tc>
          <w:tcPr>
            <w:tcW w:w="7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4"/>
              </w:rPr>
              <w:t>$ 101,047</w:t>
            </w:r>
          </w:p>
        </w:tc>
        <w:tc>
          <w:tcPr>
            <w:tcW w:w="90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56.8%</w:t>
            </w:r>
          </w:p>
        </w:tc>
        <w:tc>
          <w:tcPr>
            <w:tcW w:w="8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7"/>
              </w:rPr>
              <w:t>$ 122,248</w:t>
            </w:r>
          </w:p>
        </w:tc>
        <w:tc>
          <w:tcPr>
            <w:tcW w:w="80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58.0%</w:t>
            </w:r>
          </w:p>
        </w:tc>
        <w:tc>
          <w:tcPr>
            <w:tcW w:w="7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7"/>
              </w:rPr>
              <w:t>$ (21,201)</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-17.3%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1700" w:type="dxa"/>
            <w:vAlign w:val="bottom"/>
          </w:tcPr>
          <w:p>
            <w:pPr>
              <w:spacing w:after="0"/>
              <w:rPr>
                <w:sz w:val="20"/>
                <w:szCs w:val="20"/>
                <w:color w:val="auto"/>
              </w:rPr>
            </w:pPr>
            <w:r>
              <w:rPr>
                <w:rFonts w:ascii="Arial" w:cs="Arial" w:eastAsia="Arial" w:hAnsi="Arial"/>
                <w:sz w:val="16"/>
                <w:szCs w:val="16"/>
                <w:color w:val="auto"/>
              </w:rPr>
              <w:t>Bassett Leather</w:t>
            </w:r>
          </w:p>
        </w:tc>
        <w:tc>
          <w:tcPr>
            <w:tcW w:w="740" w:type="dxa"/>
            <w:vAlign w:val="bottom"/>
          </w:tcPr>
          <w:p>
            <w:pPr>
              <w:jc w:val="right"/>
              <w:ind w:right="119"/>
              <w:spacing w:after="0"/>
              <w:rPr>
                <w:sz w:val="20"/>
                <w:szCs w:val="20"/>
                <w:color w:val="auto"/>
              </w:rPr>
            </w:pPr>
            <w:r>
              <w:rPr>
                <w:rFonts w:ascii="Arial" w:cs="Arial" w:eastAsia="Arial" w:hAnsi="Arial"/>
                <w:sz w:val="16"/>
                <w:szCs w:val="16"/>
                <w:color w:val="auto"/>
              </w:rPr>
              <w:t>337</w:t>
            </w:r>
          </w:p>
        </w:tc>
        <w:tc>
          <w:tcPr>
            <w:tcW w:w="800" w:type="dxa"/>
            <w:vAlign w:val="bottom"/>
            <w:gridSpan w:val="3"/>
          </w:tcPr>
          <w:p>
            <w:pPr>
              <w:jc w:val="right"/>
              <w:ind w:right="100"/>
              <w:spacing w:after="0"/>
              <w:rPr>
                <w:sz w:val="20"/>
                <w:szCs w:val="20"/>
                <w:color w:val="auto"/>
              </w:rPr>
            </w:pPr>
            <w:r>
              <w:rPr>
                <w:rFonts w:ascii="Arial" w:cs="Arial" w:eastAsia="Arial" w:hAnsi="Arial"/>
                <w:sz w:val="16"/>
                <w:szCs w:val="16"/>
                <w:color w:val="auto"/>
              </w:rPr>
              <w:t>0.6%</w:t>
            </w:r>
          </w:p>
        </w:tc>
        <w:tc>
          <w:tcPr>
            <w:tcW w:w="760" w:type="dxa"/>
            <w:vAlign w:val="bottom"/>
          </w:tcPr>
          <w:p>
            <w:pPr>
              <w:jc w:val="right"/>
              <w:ind w:right="119"/>
              <w:spacing w:after="0"/>
              <w:rPr>
                <w:sz w:val="20"/>
                <w:szCs w:val="20"/>
                <w:color w:val="auto"/>
              </w:rPr>
            </w:pPr>
            <w:r>
              <w:rPr>
                <w:rFonts w:ascii="Arial" w:cs="Arial" w:eastAsia="Arial" w:hAnsi="Arial"/>
                <w:sz w:val="16"/>
                <w:szCs w:val="16"/>
                <w:color w:val="auto"/>
              </w:rPr>
              <w:t>867</w:t>
            </w:r>
          </w:p>
        </w:tc>
        <w:tc>
          <w:tcPr>
            <w:tcW w:w="820" w:type="dxa"/>
            <w:vAlign w:val="bottom"/>
            <w:gridSpan w:val="3"/>
          </w:tcPr>
          <w:p>
            <w:pPr>
              <w:jc w:val="right"/>
              <w:ind w:right="120"/>
              <w:spacing w:after="0"/>
              <w:rPr>
                <w:sz w:val="20"/>
                <w:szCs w:val="20"/>
                <w:color w:val="auto"/>
              </w:rPr>
            </w:pPr>
            <w:r>
              <w:rPr>
                <w:rFonts w:ascii="Arial" w:cs="Arial" w:eastAsia="Arial" w:hAnsi="Arial"/>
                <w:sz w:val="16"/>
                <w:szCs w:val="16"/>
                <w:color w:val="auto"/>
              </w:rPr>
              <w:t>1.2%</w:t>
            </w:r>
          </w:p>
        </w:tc>
        <w:tc>
          <w:tcPr>
            <w:tcW w:w="80" w:type="dxa"/>
            <w:vAlign w:val="bottom"/>
          </w:tcPr>
          <w:p>
            <w:pPr>
              <w:spacing w:after="0"/>
              <w:rPr>
                <w:sz w:val="17"/>
                <w:szCs w:val="17"/>
                <w:color w:val="auto"/>
              </w:rPr>
            </w:pP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(530)</w:t>
            </w:r>
          </w:p>
        </w:tc>
        <w:tc>
          <w:tcPr>
            <w:tcW w:w="860" w:type="dxa"/>
            <w:vAlign w:val="bottom"/>
            <w:gridSpan w:val="2"/>
          </w:tcPr>
          <w:p>
            <w:pPr>
              <w:jc w:val="right"/>
              <w:ind w:right="120"/>
              <w:spacing w:after="0"/>
              <w:rPr>
                <w:sz w:val="20"/>
                <w:szCs w:val="20"/>
                <w:color w:val="auto"/>
              </w:rPr>
            </w:pPr>
            <w:r>
              <w:rPr>
                <w:rFonts w:ascii="Arial" w:cs="Arial" w:eastAsia="Arial" w:hAnsi="Arial"/>
                <w:sz w:val="16"/>
                <w:szCs w:val="16"/>
                <w:color w:val="auto"/>
              </w:rPr>
              <w:t>-61.1%</w:t>
            </w:r>
          </w:p>
        </w:tc>
        <w:tc>
          <w:tcPr>
            <w:tcW w:w="740" w:type="dxa"/>
            <w:vAlign w:val="bottom"/>
          </w:tcPr>
          <w:p>
            <w:pPr>
              <w:jc w:val="right"/>
              <w:ind w:right="39"/>
              <w:spacing w:after="0"/>
              <w:rPr>
                <w:sz w:val="20"/>
                <w:szCs w:val="20"/>
                <w:color w:val="auto"/>
              </w:rPr>
            </w:pPr>
            <w:r>
              <w:rPr>
                <w:rFonts w:ascii="Arial" w:cs="Arial" w:eastAsia="Arial" w:hAnsi="Arial"/>
                <w:sz w:val="16"/>
                <w:szCs w:val="16"/>
                <w:color w:val="auto"/>
              </w:rPr>
              <w:t>1,408</w:t>
            </w:r>
          </w:p>
        </w:tc>
        <w:tc>
          <w:tcPr>
            <w:tcW w:w="900" w:type="dxa"/>
            <w:vAlign w:val="bottom"/>
            <w:gridSpan w:val="3"/>
          </w:tcPr>
          <w:p>
            <w:pPr>
              <w:jc w:val="right"/>
              <w:ind w:right="100"/>
              <w:spacing w:after="0"/>
              <w:rPr>
                <w:sz w:val="20"/>
                <w:szCs w:val="20"/>
                <w:color w:val="auto"/>
              </w:rPr>
            </w:pPr>
            <w:r>
              <w:rPr>
                <w:rFonts w:ascii="Arial" w:cs="Arial" w:eastAsia="Arial" w:hAnsi="Arial"/>
                <w:sz w:val="16"/>
                <w:szCs w:val="16"/>
                <w:color w:val="auto"/>
              </w:rPr>
              <w:t>0.8%</w:t>
            </w:r>
          </w:p>
        </w:tc>
        <w:tc>
          <w:tcPr>
            <w:tcW w:w="840" w:type="dxa"/>
            <w:vAlign w:val="bottom"/>
          </w:tcPr>
          <w:p>
            <w:pPr>
              <w:jc w:val="right"/>
              <w:ind w:right="119"/>
              <w:spacing w:after="0"/>
              <w:rPr>
                <w:sz w:val="20"/>
                <w:szCs w:val="20"/>
                <w:color w:val="auto"/>
              </w:rPr>
            </w:pPr>
            <w:r>
              <w:rPr>
                <w:rFonts w:ascii="Arial" w:cs="Arial" w:eastAsia="Arial" w:hAnsi="Arial"/>
                <w:sz w:val="16"/>
                <w:szCs w:val="16"/>
                <w:color w:val="auto"/>
              </w:rPr>
              <w:t>1,399</w:t>
            </w:r>
          </w:p>
        </w:tc>
        <w:tc>
          <w:tcPr>
            <w:tcW w:w="800" w:type="dxa"/>
            <w:vAlign w:val="bottom"/>
            <w:gridSpan w:val="3"/>
          </w:tcPr>
          <w:p>
            <w:pPr>
              <w:jc w:val="right"/>
              <w:ind w:right="100"/>
              <w:spacing w:after="0"/>
              <w:rPr>
                <w:sz w:val="20"/>
                <w:szCs w:val="20"/>
                <w:color w:val="auto"/>
              </w:rPr>
            </w:pPr>
            <w:r>
              <w:rPr>
                <w:rFonts w:ascii="Arial" w:cs="Arial" w:eastAsia="Arial" w:hAnsi="Arial"/>
                <w:sz w:val="16"/>
                <w:szCs w:val="16"/>
                <w:color w:val="auto"/>
              </w:rPr>
              <w:t>0.7%</w:t>
            </w:r>
          </w:p>
        </w:tc>
        <w:tc>
          <w:tcPr>
            <w:tcW w:w="760" w:type="dxa"/>
            <w:vAlign w:val="bottom"/>
          </w:tcPr>
          <w:p>
            <w:pPr>
              <w:jc w:val="right"/>
              <w:ind w:right="59"/>
              <w:spacing w:after="0"/>
              <w:rPr>
                <w:sz w:val="20"/>
                <w:szCs w:val="20"/>
                <w:color w:val="auto"/>
              </w:rPr>
            </w:pPr>
            <w:r>
              <w:rPr>
                <w:rFonts w:ascii="Arial" w:cs="Arial" w:eastAsia="Arial" w:hAnsi="Arial"/>
                <w:sz w:val="16"/>
                <w:szCs w:val="16"/>
                <w:color w:val="auto"/>
              </w:rPr>
              <w:t>9</w:t>
            </w:r>
          </w:p>
        </w:tc>
        <w:tc>
          <w:tcPr>
            <w:tcW w:w="760" w:type="dxa"/>
            <w:vAlign w:val="bottom"/>
            <w:gridSpan w:val="2"/>
          </w:tcPr>
          <w:p>
            <w:pPr>
              <w:jc w:val="right"/>
              <w:spacing w:after="0"/>
              <w:rPr>
                <w:sz w:val="20"/>
                <w:szCs w:val="20"/>
                <w:color w:val="auto"/>
              </w:rPr>
            </w:pPr>
            <w:r>
              <w:rPr>
                <w:rFonts w:ascii="Arial" w:cs="Arial" w:eastAsia="Arial" w:hAnsi="Arial"/>
                <w:sz w:val="16"/>
                <w:szCs w:val="16"/>
                <w:color w:val="auto"/>
              </w:rPr>
              <w:t>0.6%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700" w:type="dxa"/>
            <w:vAlign w:val="bottom"/>
            <w:shd w:val="clear" w:color="auto" w:fill="CCEEFF"/>
          </w:tcPr>
          <w:p>
            <w:pPr>
              <w:spacing w:after="0"/>
              <w:rPr>
                <w:sz w:val="20"/>
                <w:szCs w:val="20"/>
                <w:color w:val="auto"/>
              </w:rPr>
            </w:pPr>
            <w:r>
              <w:rPr>
                <w:rFonts w:ascii="Arial" w:cs="Arial" w:eastAsia="Arial" w:hAnsi="Arial"/>
                <w:sz w:val="16"/>
                <w:szCs w:val="16"/>
                <w:color w:val="auto"/>
              </w:rPr>
              <w:t>Bassett Custom Wood</w:t>
            </w:r>
          </w:p>
        </w:tc>
        <w:tc>
          <w:tcPr>
            <w:tcW w:w="7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7,697</w:t>
            </w:r>
          </w:p>
        </w:tc>
        <w:tc>
          <w:tcPr>
            <w:tcW w:w="80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14.7%</w:t>
            </w:r>
          </w:p>
        </w:tc>
        <w:tc>
          <w:tcPr>
            <w:tcW w:w="7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11,357</w:t>
            </w:r>
          </w:p>
        </w:tc>
        <w:tc>
          <w:tcPr>
            <w:tcW w:w="82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16.0%</w:t>
            </w: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(3,660)</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-32.2%</w:t>
            </w:r>
          </w:p>
        </w:tc>
        <w:tc>
          <w:tcPr>
            <w:tcW w:w="7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27,164</w:t>
            </w:r>
          </w:p>
        </w:tc>
        <w:tc>
          <w:tcPr>
            <w:tcW w:w="90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15.3%</w:t>
            </w:r>
          </w:p>
        </w:tc>
        <w:tc>
          <w:tcPr>
            <w:tcW w:w="8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32,001</w:t>
            </w:r>
          </w:p>
        </w:tc>
        <w:tc>
          <w:tcPr>
            <w:tcW w:w="80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15.2%</w:t>
            </w:r>
          </w:p>
        </w:tc>
        <w:tc>
          <w:tcPr>
            <w:tcW w:w="7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(4,837)</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-15.1%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700" w:type="dxa"/>
            <w:vAlign w:val="bottom"/>
          </w:tcPr>
          <w:p>
            <w:pPr>
              <w:spacing w:after="0"/>
              <w:rPr>
                <w:sz w:val="20"/>
                <w:szCs w:val="20"/>
                <w:color w:val="auto"/>
              </w:rPr>
            </w:pPr>
            <w:r>
              <w:rPr>
                <w:rFonts w:ascii="Arial" w:cs="Arial" w:eastAsia="Arial" w:hAnsi="Arial"/>
                <w:sz w:val="16"/>
                <w:szCs w:val="16"/>
                <w:color w:val="auto"/>
              </w:rPr>
              <w:t>Bassett Casegoods</w:t>
            </w:r>
          </w:p>
        </w:tc>
        <w:tc>
          <w:tcPr>
            <w:tcW w:w="740" w:type="dxa"/>
            <w:vAlign w:val="bottom"/>
          </w:tcPr>
          <w:p>
            <w:pPr>
              <w:jc w:val="right"/>
              <w:ind w:right="119"/>
              <w:spacing w:after="0"/>
              <w:rPr>
                <w:sz w:val="20"/>
                <w:szCs w:val="20"/>
                <w:color w:val="auto"/>
              </w:rPr>
            </w:pPr>
            <w:r>
              <w:rPr>
                <w:rFonts w:ascii="Arial" w:cs="Arial" w:eastAsia="Arial" w:hAnsi="Arial"/>
                <w:sz w:val="16"/>
                <w:szCs w:val="16"/>
                <w:color w:val="auto"/>
              </w:rPr>
              <w:t>7,027</w:t>
            </w:r>
          </w:p>
        </w:tc>
        <w:tc>
          <w:tcPr>
            <w:tcW w:w="800" w:type="dxa"/>
            <w:vAlign w:val="bottom"/>
            <w:gridSpan w:val="3"/>
          </w:tcPr>
          <w:p>
            <w:pPr>
              <w:jc w:val="right"/>
              <w:ind w:right="100"/>
              <w:spacing w:after="0"/>
              <w:rPr>
                <w:sz w:val="20"/>
                <w:szCs w:val="20"/>
                <w:color w:val="auto"/>
              </w:rPr>
            </w:pPr>
            <w:r>
              <w:rPr>
                <w:rFonts w:ascii="Arial" w:cs="Arial" w:eastAsia="Arial" w:hAnsi="Arial"/>
                <w:sz w:val="16"/>
                <w:szCs w:val="16"/>
                <w:color w:val="auto"/>
              </w:rPr>
              <w:t>13.4%</w:t>
            </w:r>
          </w:p>
        </w:tc>
        <w:tc>
          <w:tcPr>
            <w:tcW w:w="760" w:type="dxa"/>
            <w:vAlign w:val="bottom"/>
          </w:tcPr>
          <w:p>
            <w:pPr>
              <w:jc w:val="right"/>
              <w:ind w:right="119"/>
              <w:spacing w:after="0"/>
              <w:rPr>
                <w:sz w:val="20"/>
                <w:szCs w:val="20"/>
                <w:color w:val="auto"/>
              </w:rPr>
            </w:pPr>
            <w:r>
              <w:rPr>
                <w:rFonts w:ascii="Arial" w:cs="Arial" w:eastAsia="Arial" w:hAnsi="Arial"/>
                <w:sz w:val="16"/>
                <w:szCs w:val="16"/>
                <w:color w:val="auto"/>
              </w:rPr>
              <w:t>10,404</w:t>
            </w:r>
          </w:p>
        </w:tc>
        <w:tc>
          <w:tcPr>
            <w:tcW w:w="820" w:type="dxa"/>
            <w:vAlign w:val="bottom"/>
            <w:gridSpan w:val="3"/>
          </w:tcPr>
          <w:p>
            <w:pPr>
              <w:jc w:val="right"/>
              <w:ind w:right="120"/>
              <w:spacing w:after="0"/>
              <w:rPr>
                <w:sz w:val="20"/>
                <w:szCs w:val="20"/>
                <w:color w:val="auto"/>
              </w:rPr>
            </w:pPr>
            <w:r>
              <w:rPr>
                <w:rFonts w:ascii="Arial" w:cs="Arial" w:eastAsia="Arial" w:hAnsi="Arial"/>
                <w:sz w:val="16"/>
                <w:szCs w:val="16"/>
                <w:color w:val="auto"/>
              </w:rPr>
              <w:t>14.7%</w:t>
            </w:r>
          </w:p>
        </w:tc>
        <w:tc>
          <w:tcPr>
            <w:tcW w:w="80" w:type="dxa"/>
            <w:vAlign w:val="bottom"/>
          </w:tcPr>
          <w:p>
            <w:pPr>
              <w:spacing w:after="0"/>
              <w:rPr>
                <w:sz w:val="17"/>
                <w:szCs w:val="17"/>
                <w:color w:val="auto"/>
              </w:rPr>
            </w:pP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(3,377)</w:t>
            </w:r>
          </w:p>
        </w:tc>
        <w:tc>
          <w:tcPr>
            <w:tcW w:w="860" w:type="dxa"/>
            <w:vAlign w:val="bottom"/>
            <w:gridSpan w:val="2"/>
          </w:tcPr>
          <w:p>
            <w:pPr>
              <w:jc w:val="right"/>
              <w:ind w:right="120"/>
              <w:spacing w:after="0"/>
              <w:rPr>
                <w:sz w:val="20"/>
                <w:szCs w:val="20"/>
                <w:color w:val="auto"/>
              </w:rPr>
            </w:pPr>
            <w:r>
              <w:rPr>
                <w:rFonts w:ascii="Arial" w:cs="Arial" w:eastAsia="Arial" w:hAnsi="Arial"/>
                <w:sz w:val="16"/>
                <w:szCs w:val="16"/>
                <w:color w:val="auto"/>
              </w:rPr>
              <w:t>-32.5%</w:t>
            </w:r>
          </w:p>
        </w:tc>
        <w:tc>
          <w:tcPr>
            <w:tcW w:w="740" w:type="dxa"/>
            <w:vAlign w:val="bottom"/>
          </w:tcPr>
          <w:p>
            <w:pPr>
              <w:jc w:val="right"/>
              <w:ind w:right="39"/>
              <w:spacing w:after="0"/>
              <w:rPr>
                <w:sz w:val="20"/>
                <w:szCs w:val="20"/>
                <w:color w:val="auto"/>
              </w:rPr>
            </w:pPr>
            <w:r>
              <w:rPr>
                <w:rFonts w:ascii="Arial" w:cs="Arial" w:eastAsia="Arial" w:hAnsi="Arial"/>
                <w:sz w:val="16"/>
                <w:szCs w:val="16"/>
                <w:color w:val="auto"/>
              </w:rPr>
              <w:t>24,848</w:t>
            </w:r>
          </w:p>
        </w:tc>
        <w:tc>
          <w:tcPr>
            <w:tcW w:w="900" w:type="dxa"/>
            <w:vAlign w:val="bottom"/>
            <w:gridSpan w:val="3"/>
          </w:tcPr>
          <w:p>
            <w:pPr>
              <w:jc w:val="right"/>
              <w:ind w:right="100"/>
              <w:spacing w:after="0"/>
              <w:rPr>
                <w:sz w:val="20"/>
                <w:szCs w:val="20"/>
                <w:color w:val="auto"/>
              </w:rPr>
            </w:pPr>
            <w:r>
              <w:rPr>
                <w:rFonts w:ascii="Arial" w:cs="Arial" w:eastAsia="Arial" w:hAnsi="Arial"/>
                <w:sz w:val="16"/>
                <w:szCs w:val="16"/>
                <w:color w:val="auto"/>
              </w:rPr>
              <w:t>14.0%</w:t>
            </w:r>
          </w:p>
        </w:tc>
        <w:tc>
          <w:tcPr>
            <w:tcW w:w="840" w:type="dxa"/>
            <w:vAlign w:val="bottom"/>
          </w:tcPr>
          <w:p>
            <w:pPr>
              <w:jc w:val="right"/>
              <w:ind w:right="119"/>
              <w:spacing w:after="0"/>
              <w:rPr>
                <w:sz w:val="20"/>
                <w:szCs w:val="20"/>
                <w:color w:val="auto"/>
              </w:rPr>
            </w:pPr>
            <w:r>
              <w:rPr>
                <w:rFonts w:ascii="Arial" w:cs="Arial" w:eastAsia="Arial" w:hAnsi="Arial"/>
                <w:sz w:val="16"/>
                <w:szCs w:val="16"/>
                <w:color w:val="auto"/>
              </w:rPr>
              <w:t>27,884</w:t>
            </w:r>
          </w:p>
        </w:tc>
        <w:tc>
          <w:tcPr>
            <w:tcW w:w="800" w:type="dxa"/>
            <w:vAlign w:val="bottom"/>
            <w:gridSpan w:val="3"/>
          </w:tcPr>
          <w:p>
            <w:pPr>
              <w:jc w:val="right"/>
              <w:ind w:right="100"/>
              <w:spacing w:after="0"/>
              <w:rPr>
                <w:sz w:val="20"/>
                <w:szCs w:val="20"/>
                <w:color w:val="auto"/>
              </w:rPr>
            </w:pPr>
            <w:r>
              <w:rPr>
                <w:rFonts w:ascii="Arial" w:cs="Arial" w:eastAsia="Arial" w:hAnsi="Arial"/>
                <w:sz w:val="16"/>
                <w:szCs w:val="16"/>
                <w:color w:val="auto"/>
              </w:rPr>
              <w:t>13.2%</w:t>
            </w: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(3,036)</w:t>
            </w:r>
          </w:p>
        </w:tc>
        <w:tc>
          <w:tcPr>
            <w:tcW w:w="760" w:type="dxa"/>
            <w:vAlign w:val="bottom"/>
            <w:gridSpan w:val="2"/>
          </w:tcPr>
          <w:p>
            <w:pPr>
              <w:jc w:val="right"/>
              <w:spacing w:after="0"/>
              <w:rPr>
                <w:sz w:val="20"/>
                <w:szCs w:val="20"/>
                <w:color w:val="auto"/>
              </w:rPr>
            </w:pPr>
            <w:r>
              <w:rPr>
                <w:rFonts w:ascii="Arial" w:cs="Arial" w:eastAsia="Arial" w:hAnsi="Arial"/>
                <w:sz w:val="16"/>
                <w:szCs w:val="16"/>
                <w:color w:val="auto"/>
              </w:rPr>
              <w:t>-10.9%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1700" w:type="dxa"/>
            <w:vAlign w:val="bottom"/>
            <w:shd w:val="clear" w:color="auto" w:fill="CCEEFF"/>
          </w:tcPr>
          <w:p>
            <w:pPr>
              <w:spacing w:after="0"/>
              <w:rPr>
                <w:sz w:val="20"/>
                <w:szCs w:val="20"/>
                <w:color w:val="auto"/>
              </w:rPr>
            </w:pPr>
            <w:r>
              <w:rPr>
                <w:rFonts w:ascii="Arial" w:cs="Arial" w:eastAsia="Arial" w:hAnsi="Arial"/>
                <w:sz w:val="16"/>
                <w:szCs w:val="16"/>
                <w:color w:val="auto"/>
                <w:w w:val="96"/>
              </w:rPr>
              <w:t>Accessories, mattresses</w:t>
            </w:r>
          </w:p>
        </w:tc>
        <w:tc>
          <w:tcPr>
            <w:tcW w:w="740" w:type="dxa"/>
            <w:vAlign w:val="bottom"/>
            <w:vMerge w:val="restart"/>
            <w:shd w:val="clear" w:color="auto" w:fill="CCEEFF"/>
          </w:tcPr>
          <w:p>
            <w:pPr>
              <w:jc w:val="right"/>
              <w:ind w:right="119"/>
              <w:spacing w:after="0"/>
              <w:rPr>
                <w:sz w:val="20"/>
                <w:szCs w:val="20"/>
                <w:color w:val="auto"/>
              </w:rPr>
            </w:pPr>
            <w:r>
              <w:rPr>
                <w:rFonts w:ascii="Arial" w:cs="Arial" w:eastAsia="Arial" w:hAnsi="Arial"/>
                <w:sz w:val="16"/>
                <w:szCs w:val="16"/>
                <w:color w:val="auto"/>
              </w:rPr>
              <w:t>7,026</w:t>
            </w:r>
          </w:p>
        </w:tc>
        <w:tc>
          <w:tcPr>
            <w:tcW w:w="800" w:type="dxa"/>
            <w:vAlign w:val="bottom"/>
            <w:gridSpan w:val="3"/>
            <w:vMerge w:val="restart"/>
            <w:shd w:val="clear" w:color="auto" w:fill="CCEEFF"/>
          </w:tcPr>
          <w:p>
            <w:pPr>
              <w:jc w:val="right"/>
              <w:ind w:right="100"/>
              <w:spacing w:after="0"/>
              <w:rPr>
                <w:sz w:val="20"/>
                <w:szCs w:val="20"/>
                <w:color w:val="auto"/>
              </w:rPr>
            </w:pPr>
            <w:r>
              <w:rPr>
                <w:rFonts w:ascii="Arial" w:cs="Arial" w:eastAsia="Arial" w:hAnsi="Arial"/>
                <w:sz w:val="16"/>
                <w:szCs w:val="16"/>
                <w:color w:val="auto"/>
              </w:rPr>
              <w:t>13.4%</w:t>
            </w:r>
          </w:p>
        </w:tc>
        <w:tc>
          <w:tcPr>
            <w:tcW w:w="760" w:type="dxa"/>
            <w:vAlign w:val="bottom"/>
            <w:vMerge w:val="restart"/>
            <w:shd w:val="clear" w:color="auto" w:fill="CCEEFF"/>
          </w:tcPr>
          <w:p>
            <w:pPr>
              <w:jc w:val="right"/>
              <w:ind w:right="119"/>
              <w:spacing w:after="0"/>
              <w:rPr>
                <w:sz w:val="20"/>
                <w:szCs w:val="20"/>
                <w:color w:val="auto"/>
              </w:rPr>
            </w:pPr>
            <w:r>
              <w:rPr>
                <w:rFonts w:ascii="Arial" w:cs="Arial" w:eastAsia="Arial" w:hAnsi="Arial"/>
                <w:sz w:val="16"/>
                <w:szCs w:val="16"/>
                <w:color w:val="auto"/>
              </w:rPr>
              <w:t>9,204</w:t>
            </w:r>
          </w:p>
        </w:tc>
        <w:tc>
          <w:tcPr>
            <w:tcW w:w="820" w:type="dxa"/>
            <w:vAlign w:val="bottom"/>
            <w:gridSpan w:val="3"/>
            <w:vMerge w:val="restart"/>
            <w:shd w:val="clear" w:color="auto" w:fill="CCEEFF"/>
          </w:tcPr>
          <w:p>
            <w:pPr>
              <w:jc w:val="right"/>
              <w:ind w:right="120"/>
              <w:spacing w:after="0"/>
              <w:rPr>
                <w:sz w:val="20"/>
                <w:szCs w:val="20"/>
                <w:color w:val="auto"/>
              </w:rPr>
            </w:pPr>
            <w:r>
              <w:rPr>
                <w:rFonts w:ascii="Arial" w:cs="Arial" w:eastAsia="Arial" w:hAnsi="Arial"/>
                <w:sz w:val="16"/>
                <w:szCs w:val="16"/>
                <w:color w:val="auto"/>
              </w:rPr>
              <w:t>13.0%</w:t>
            </w:r>
          </w:p>
        </w:tc>
        <w:tc>
          <w:tcPr>
            <w:tcW w:w="80" w:type="dxa"/>
            <w:vAlign w:val="bottom"/>
            <w:shd w:val="clear" w:color="auto" w:fill="CCEEFF"/>
          </w:tcPr>
          <w:p>
            <w:pPr>
              <w:spacing w:after="0"/>
              <w:rPr>
                <w:sz w:val="16"/>
                <w:szCs w:val="16"/>
                <w:color w:val="auto"/>
              </w:rPr>
            </w:pPr>
          </w:p>
        </w:tc>
        <w:tc>
          <w:tcPr>
            <w:tcW w:w="68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(2,178)</w:t>
            </w:r>
          </w:p>
        </w:tc>
        <w:tc>
          <w:tcPr>
            <w:tcW w:w="86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6"/>
                <w:szCs w:val="16"/>
                <w:color w:val="auto"/>
              </w:rPr>
              <w:t>-23.7%</w:t>
            </w:r>
          </w:p>
        </w:tc>
        <w:tc>
          <w:tcPr>
            <w:tcW w:w="74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23,537</w:t>
            </w:r>
          </w:p>
        </w:tc>
        <w:tc>
          <w:tcPr>
            <w:tcW w:w="900" w:type="dxa"/>
            <w:vAlign w:val="bottom"/>
            <w:gridSpan w:val="3"/>
            <w:vMerge w:val="restart"/>
            <w:shd w:val="clear" w:color="auto" w:fill="CCEEFF"/>
          </w:tcPr>
          <w:p>
            <w:pPr>
              <w:jc w:val="right"/>
              <w:ind w:right="100"/>
              <w:spacing w:after="0"/>
              <w:rPr>
                <w:sz w:val="20"/>
                <w:szCs w:val="20"/>
                <w:color w:val="auto"/>
              </w:rPr>
            </w:pPr>
            <w:r>
              <w:rPr>
                <w:rFonts w:ascii="Arial" w:cs="Arial" w:eastAsia="Arial" w:hAnsi="Arial"/>
                <w:sz w:val="16"/>
                <w:szCs w:val="16"/>
                <w:color w:val="auto"/>
              </w:rPr>
              <w:t>13.2%</w:t>
            </w:r>
          </w:p>
        </w:tc>
        <w:tc>
          <w:tcPr>
            <w:tcW w:w="840" w:type="dxa"/>
            <w:vAlign w:val="bottom"/>
            <w:vMerge w:val="restart"/>
            <w:shd w:val="clear" w:color="auto" w:fill="CCEEFF"/>
          </w:tcPr>
          <w:p>
            <w:pPr>
              <w:jc w:val="right"/>
              <w:ind w:right="119"/>
              <w:spacing w:after="0"/>
              <w:rPr>
                <w:sz w:val="20"/>
                <w:szCs w:val="20"/>
                <w:color w:val="auto"/>
              </w:rPr>
            </w:pPr>
            <w:r>
              <w:rPr>
                <w:rFonts w:ascii="Arial" w:cs="Arial" w:eastAsia="Arial" w:hAnsi="Arial"/>
                <w:sz w:val="16"/>
                <w:szCs w:val="16"/>
                <w:color w:val="auto"/>
              </w:rPr>
              <w:t>27,081</w:t>
            </w:r>
          </w:p>
        </w:tc>
        <w:tc>
          <w:tcPr>
            <w:tcW w:w="800" w:type="dxa"/>
            <w:vAlign w:val="bottom"/>
            <w:gridSpan w:val="3"/>
            <w:vMerge w:val="restart"/>
            <w:shd w:val="clear" w:color="auto" w:fill="CCEEFF"/>
          </w:tcPr>
          <w:p>
            <w:pPr>
              <w:jc w:val="right"/>
              <w:ind w:right="100"/>
              <w:spacing w:after="0"/>
              <w:rPr>
                <w:sz w:val="20"/>
                <w:szCs w:val="20"/>
                <w:color w:val="auto"/>
              </w:rPr>
            </w:pPr>
            <w:r>
              <w:rPr>
                <w:rFonts w:ascii="Arial" w:cs="Arial" w:eastAsia="Arial" w:hAnsi="Arial"/>
                <w:sz w:val="16"/>
                <w:szCs w:val="16"/>
                <w:color w:val="auto"/>
              </w:rPr>
              <w:t>12.9%</w:t>
            </w:r>
          </w:p>
        </w:tc>
        <w:tc>
          <w:tcPr>
            <w:tcW w:w="76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(3,544)</w:t>
            </w:r>
          </w:p>
        </w:tc>
        <w:tc>
          <w:tcPr>
            <w:tcW w:w="760" w:type="dxa"/>
            <w:vAlign w:val="bottom"/>
            <w:gridSpan w:val="2"/>
            <w:vMerge w:val="restart"/>
            <w:shd w:val="clear" w:color="auto" w:fill="CCEEFF"/>
          </w:tcPr>
          <w:p>
            <w:pPr>
              <w:jc w:val="right"/>
              <w:spacing w:after="0"/>
              <w:rPr>
                <w:sz w:val="20"/>
                <w:szCs w:val="20"/>
                <w:color w:val="auto"/>
              </w:rPr>
            </w:pPr>
            <w:r>
              <w:rPr>
                <w:rFonts w:ascii="Arial" w:cs="Arial" w:eastAsia="Arial" w:hAnsi="Arial"/>
                <w:sz w:val="16"/>
                <w:szCs w:val="16"/>
                <w:color w:val="auto"/>
              </w:rPr>
              <w:t>-13.1%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1700" w:type="dxa"/>
            <w:vAlign w:val="bottom"/>
            <w:shd w:val="clear" w:color="auto" w:fill="CCEEFF"/>
          </w:tcPr>
          <w:p>
            <w:pPr>
              <w:spacing w:after="0"/>
              <w:rPr>
                <w:sz w:val="20"/>
                <w:szCs w:val="20"/>
                <w:color w:val="auto"/>
              </w:rPr>
            </w:pPr>
            <w:r>
              <w:rPr>
                <w:rFonts w:ascii="Arial" w:cs="Arial" w:eastAsia="Arial" w:hAnsi="Arial"/>
                <w:sz w:val="16"/>
                <w:szCs w:val="16"/>
                <w:color w:val="auto"/>
              </w:rPr>
              <w:t>and other (1)</w:t>
            </w:r>
          </w:p>
        </w:tc>
        <w:tc>
          <w:tcPr>
            <w:tcW w:w="740" w:type="dxa"/>
            <w:vAlign w:val="bottom"/>
            <w:vMerge w:val="continue"/>
            <w:shd w:val="clear" w:color="auto" w:fill="CCEEFF"/>
          </w:tcPr>
          <w:p>
            <w:pPr>
              <w:spacing w:after="0"/>
              <w:rPr>
                <w:sz w:val="17"/>
                <w:szCs w:val="17"/>
                <w:color w:val="auto"/>
              </w:rPr>
            </w:pPr>
          </w:p>
        </w:tc>
        <w:tc>
          <w:tcPr>
            <w:tcW w:w="800" w:type="dxa"/>
            <w:vAlign w:val="bottom"/>
            <w:gridSpan w:val="3"/>
            <w:vMerge w:val="continue"/>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820" w:type="dxa"/>
            <w:vAlign w:val="bottom"/>
            <w:gridSpan w:val="3"/>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vMerge w:val="continue"/>
            <w:shd w:val="clear" w:color="auto" w:fill="CCEEFF"/>
          </w:tcPr>
          <w:p>
            <w:pPr>
              <w:spacing w:after="0"/>
              <w:rPr>
                <w:sz w:val="17"/>
                <w:szCs w:val="17"/>
                <w:color w:val="auto"/>
              </w:rPr>
            </w:pPr>
          </w:p>
        </w:tc>
        <w:tc>
          <w:tcPr>
            <w:tcW w:w="860" w:type="dxa"/>
            <w:vAlign w:val="bottom"/>
            <w:gridSpan w:val="2"/>
            <w:vMerge w:val="continue"/>
            <w:shd w:val="clear" w:color="auto" w:fill="CCEEFF"/>
          </w:tcPr>
          <w:p>
            <w:pPr>
              <w:spacing w:after="0"/>
              <w:rPr>
                <w:sz w:val="17"/>
                <w:szCs w:val="17"/>
                <w:color w:val="auto"/>
              </w:rPr>
            </w:pPr>
          </w:p>
        </w:tc>
        <w:tc>
          <w:tcPr>
            <w:tcW w:w="740" w:type="dxa"/>
            <w:vAlign w:val="bottom"/>
            <w:vMerge w:val="continue"/>
            <w:shd w:val="clear" w:color="auto" w:fill="CCEEFF"/>
          </w:tcPr>
          <w:p>
            <w:pPr>
              <w:spacing w:after="0"/>
              <w:rPr>
                <w:sz w:val="17"/>
                <w:szCs w:val="17"/>
                <w:color w:val="auto"/>
              </w:rPr>
            </w:pPr>
          </w:p>
        </w:tc>
        <w:tc>
          <w:tcPr>
            <w:tcW w:w="900" w:type="dxa"/>
            <w:vAlign w:val="bottom"/>
            <w:gridSpan w:val="3"/>
            <w:vMerge w:val="continue"/>
            <w:shd w:val="clear" w:color="auto" w:fill="CCEEFF"/>
          </w:tcPr>
          <w:p>
            <w:pPr>
              <w:spacing w:after="0"/>
              <w:rPr>
                <w:sz w:val="17"/>
                <w:szCs w:val="17"/>
                <w:color w:val="auto"/>
              </w:rPr>
            </w:pPr>
          </w:p>
        </w:tc>
        <w:tc>
          <w:tcPr>
            <w:tcW w:w="840" w:type="dxa"/>
            <w:vAlign w:val="bottom"/>
            <w:vMerge w:val="continue"/>
            <w:shd w:val="clear" w:color="auto" w:fill="CCEEFF"/>
          </w:tcPr>
          <w:p>
            <w:pPr>
              <w:spacing w:after="0"/>
              <w:rPr>
                <w:sz w:val="17"/>
                <w:szCs w:val="17"/>
                <w:color w:val="auto"/>
              </w:rPr>
            </w:pPr>
          </w:p>
        </w:tc>
        <w:tc>
          <w:tcPr>
            <w:tcW w:w="800" w:type="dxa"/>
            <w:vAlign w:val="bottom"/>
            <w:gridSpan w:val="3"/>
            <w:vMerge w:val="continue"/>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760" w:type="dxa"/>
            <w:vAlign w:val="bottom"/>
            <w:gridSpan w:val="2"/>
            <w:vMerge w:val="continue"/>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700" w:type="dxa"/>
            <w:vAlign w:val="bottom"/>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700" w:type="dxa"/>
            <w:vAlign w:val="bottom"/>
          </w:tcPr>
          <w:p>
            <w:pPr>
              <w:spacing w:after="0"/>
              <w:rPr>
                <w:sz w:val="20"/>
                <w:szCs w:val="20"/>
                <w:color w:val="auto"/>
              </w:rPr>
            </w:pPr>
            <w:r>
              <w:rPr>
                <w:rFonts w:ascii="Arial" w:cs="Arial" w:eastAsia="Arial" w:hAnsi="Arial"/>
                <w:sz w:val="16"/>
                <w:szCs w:val="16"/>
                <w:color w:val="auto"/>
              </w:rPr>
              <w:t>Total</w:t>
            </w:r>
          </w:p>
        </w:tc>
        <w:tc>
          <w:tcPr>
            <w:tcW w:w="740" w:type="dxa"/>
            <w:vAlign w:val="bottom"/>
          </w:tcPr>
          <w:p>
            <w:pPr>
              <w:jc w:val="right"/>
              <w:ind w:right="119"/>
              <w:spacing w:after="0"/>
              <w:rPr>
                <w:sz w:val="20"/>
                <w:szCs w:val="20"/>
                <w:color w:val="auto"/>
              </w:rPr>
            </w:pPr>
            <w:r>
              <w:rPr>
                <w:rFonts w:ascii="Arial" w:cs="Arial" w:eastAsia="Arial" w:hAnsi="Arial"/>
                <w:sz w:val="16"/>
                <w:szCs w:val="16"/>
                <w:color w:val="auto"/>
                <w:w w:val="83"/>
              </w:rPr>
              <w:t>$ 52,264</w:t>
            </w:r>
          </w:p>
        </w:tc>
        <w:tc>
          <w:tcPr>
            <w:tcW w:w="800" w:type="dxa"/>
            <w:vAlign w:val="bottom"/>
            <w:gridSpan w:val="3"/>
          </w:tcPr>
          <w:p>
            <w:pPr>
              <w:jc w:val="right"/>
              <w:ind w:right="100"/>
              <w:spacing w:after="0" w:line="195" w:lineRule="exact"/>
              <w:rPr>
                <w:sz w:val="20"/>
                <w:szCs w:val="20"/>
                <w:color w:val="auto"/>
              </w:rPr>
            </w:pPr>
            <w:r>
              <w:rPr>
                <w:rFonts w:ascii="Arial" w:cs="Arial" w:eastAsia="Arial" w:hAnsi="Arial"/>
                <w:sz w:val="13"/>
                <w:szCs w:val="13"/>
                <w:color w:val="auto"/>
              </w:rPr>
              <w:t>100.0</w:t>
            </w:r>
            <w:r>
              <w:rPr>
                <w:rFonts w:ascii="Arial" w:cs="Arial" w:eastAsia="Arial" w:hAnsi="Arial"/>
                <w:sz w:val="22"/>
                <w:szCs w:val="22"/>
                <w:color w:val="auto"/>
                <w:vertAlign w:val="subscript"/>
              </w:rPr>
              <w:t>%</w:t>
            </w:r>
          </w:p>
        </w:tc>
        <w:tc>
          <w:tcPr>
            <w:tcW w:w="760" w:type="dxa"/>
            <w:vAlign w:val="bottom"/>
          </w:tcPr>
          <w:p>
            <w:pPr>
              <w:jc w:val="right"/>
              <w:ind w:right="119"/>
              <w:spacing w:after="0"/>
              <w:rPr>
                <w:sz w:val="20"/>
                <w:szCs w:val="20"/>
                <w:color w:val="auto"/>
              </w:rPr>
            </w:pPr>
            <w:r>
              <w:rPr>
                <w:rFonts w:ascii="Arial" w:cs="Arial" w:eastAsia="Arial" w:hAnsi="Arial"/>
                <w:sz w:val="16"/>
                <w:szCs w:val="16"/>
                <w:color w:val="auto"/>
                <w:w w:val="86"/>
              </w:rPr>
              <w:t>$ 70,886</w:t>
            </w:r>
          </w:p>
        </w:tc>
        <w:tc>
          <w:tcPr>
            <w:tcW w:w="820" w:type="dxa"/>
            <w:vAlign w:val="bottom"/>
            <w:gridSpan w:val="3"/>
          </w:tcPr>
          <w:p>
            <w:pPr>
              <w:jc w:val="right"/>
              <w:ind w:right="120"/>
              <w:spacing w:after="0" w:line="195" w:lineRule="exact"/>
              <w:rPr>
                <w:sz w:val="20"/>
                <w:szCs w:val="20"/>
                <w:color w:val="auto"/>
              </w:rPr>
            </w:pPr>
            <w:r>
              <w:rPr>
                <w:rFonts w:ascii="Arial" w:cs="Arial" w:eastAsia="Arial" w:hAnsi="Arial"/>
                <w:sz w:val="13"/>
                <w:szCs w:val="13"/>
                <w:color w:val="auto"/>
              </w:rPr>
              <w:t>100.0</w:t>
            </w:r>
            <w:r>
              <w:rPr>
                <w:rFonts w:ascii="Arial" w:cs="Arial" w:eastAsia="Arial" w:hAnsi="Arial"/>
                <w:sz w:val="22"/>
                <w:szCs w:val="22"/>
                <w:color w:val="auto"/>
                <w:vertAlign w:val="subscript"/>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ind w:right="19"/>
              <w:spacing w:after="0"/>
              <w:rPr>
                <w:sz w:val="20"/>
                <w:szCs w:val="20"/>
                <w:color w:val="auto"/>
              </w:rPr>
            </w:pPr>
            <w:r>
              <w:rPr>
                <w:rFonts w:ascii="Arial" w:cs="Arial" w:eastAsia="Arial" w:hAnsi="Arial"/>
                <w:sz w:val="16"/>
                <w:szCs w:val="16"/>
                <w:color w:val="auto"/>
                <w:w w:val="93"/>
              </w:rPr>
              <w:t>(18,622)</w:t>
            </w:r>
          </w:p>
        </w:tc>
        <w:tc>
          <w:tcPr>
            <w:tcW w:w="860" w:type="dxa"/>
            <w:vAlign w:val="bottom"/>
            <w:gridSpan w:val="2"/>
          </w:tcPr>
          <w:p>
            <w:pPr>
              <w:jc w:val="right"/>
              <w:ind w:right="120"/>
              <w:spacing w:after="0" w:line="195" w:lineRule="exact"/>
              <w:rPr>
                <w:sz w:val="20"/>
                <w:szCs w:val="20"/>
                <w:color w:val="auto"/>
              </w:rPr>
            </w:pPr>
            <w:r>
              <w:rPr>
                <w:rFonts w:ascii="Arial" w:cs="Arial" w:eastAsia="Arial" w:hAnsi="Arial"/>
                <w:sz w:val="13"/>
                <w:szCs w:val="13"/>
                <w:color w:val="auto"/>
              </w:rPr>
              <w:t>-26.3</w:t>
            </w:r>
            <w:r>
              <w:rPr>
                <w:rFonts w:ascii="Arial" w:cs="Arial" w:eastAsia="Arial" w:hAnsi="Arial"/>
                <w:sz w:val="22"/>
                <w:szCs w:val="22"/>
                <w:color w:val="auto"/>
                <w:vertAlign w:val="subscript"/>
              </w:rPr>
              <w:t>%</w:t>
            </w:r>
          </w:p>
        </w:tc>
        <w:tc>
          <w:tcPr>
            <w:tcW w:w="740" w:type="dxa"/>
            <w:vAlign w:val="bottom"/>
          </w:tcPr>
          <w:p>
            <w:pPr>
              <w:jc w:val="right"/>
              <w:ind w:right="39"/>
              <w:spacing w:after="0"/>
              <w:rPr>
                <w:sz w:val="20"/>
                <w:szCs w:val="20"/>
                <w:color w:val="auto"/>
              </w:rPr>
            </w:pPr>
            <w:r>
              <w:rPr>
                <w:rFonts w:ascii="Arial" w:cs="Arial" w:eastAsia="Arial" w:hAnsi="Arial"/>
                <w:sz w:val="16"/>
                <w:szCs w:val="16"/>
                <w:color w:val="auto"/>
                <w:w w:val="84"/>
              </w:rPr>
              <w:t>$ 178,004</w:t>
            </w:r>
          </w:p>
        </w:tc>
        <w:tc>
          <w:tcPr>
            <w:tcW w:w="900" w:type="dxa"/>
            <w:vAlign w:val="bottom"/>
            <w:gridSpan w:val="3"/>
          </w:tcPr>
          <w:p>
            <w:pPr>
              <w:jc w:val="right"/>
              <w:ind w:right="100"/>
              <w:spacing w:after="0" w:line="195" w:lineRule="exact"/>
              <w:rPr>
                <w:sz w:val="20"/>
                <w:szCs w:val="20"/>
                <w:color w:val="auto"/>
              </w:rPr>
            </w:pPr>
            <w:r>
              <w:rPr>
                <w:rFonts w:ascii="Arial" w:cs="Arial" w:eastAsia="Arial" w:hAnsi="Arial"/>
                <w:sz w:val="13"/>
                <w:szCs w:val="13"/>
                <w:color w:val="auto"/>
              </w:rPr>
              <w:t>100.0</w:t>
            </w:r>
            <w:r>
              <w:rPr>
                <w:rFonts w:ascii="Arial" w:cs="Arial" w:eastAsia="Arial" w:hAnsi="Arial"/>
                <w:sz w:val="22"/>
                <w:szCs w:val="22"/>
                <w:color w:val="auto"/>
                <w:vertAlign w:val="subscript"/>
              </w:rPr>
              <w:t>%</w:t>
            </w:r>
          </w:p>
        </w:tc>
        <w:tc>
          <w:tcPr>
            <w:tcW w:w="840" w:type="dxa"/>
            <w:vAlign w:val="bottom"/>
          </w:tcPr>
          <w:p>
            <w:pPr>
              <w:jc w:val="right"/>
              <w:ind w:right="119"/>
              <w:spacing w:after="0"/>
              <w:rPr>
                <w:sz w:val="20"/>
                <w:szCs w:val="20"/>
                <w:color w:val="auto"/>
              </w:rPr>
            </w:pPr>
            <w:r>
              <w:rPr>
                <w:rFonts w:ascii="Arial" w:cs="Arial" w:eastAsia="Arial" w:hAnsi="Arial"/>
                <w:sz w:val="16"/>
                <w:szCs w:val="16"/>
                <w:color w:val="auto"/>
                <w:w w:val="87"/>
              </w:rPr>
              <w:t>$ 210,613</w:t>
            </w:r>
          </w:p>
        </w:tc>
        <w:tc>
          <w:tcPr>
            <w:tcW w:w="800" w:type="dxa"/>
            <w:vAlign w:val="bottom"/>
            <w:gridSpan w:val="3"/>
          </w:tcPr>
          <w:p>
            <w:pPr>
              <w:jc w:val="right"/>
              <w:ind w:right="100"/>
              <w:spacing w:after="0" w:line="195" w:lineRule="exact"/>
              <w:rPr>
                <w:sz w:val="20"/>
                <w:szCs w:val="20"/>
                <w:color w:val="auto"/>
              </w:rPr>
            </w:pPr>
            <w:r>
              <w:rPr>
                <w:rFonts w:ascii="Arial" w:cs="Arial" w:eastAsia="Arial" w:hAnsi="Arial"/>
                <w:sz w:val="13"/>
                <w:szCs w:val="13"/>
                <w:color w:val="auto"/>
              </w:rPr>
              <w:t>100.0</w:t>
            </w:r>
            <w:r>
              <w:rPr>
                <w:rFonts w:ascii="Arial" w:cs="Arial" w:eastAsia="Arial" w:hAnsi="Arial"/>
                <w:sz w:val="22"/>
                <w:szCs w:val="22"/>
                <w:color w:val="auto"/>
                <w:vertAlign w:val="subscript"/>
              </w:rPr>
              <w:t>%</w:t>
            </w:r>
          </w:p>
        </w:tc>
        <w:tc>
          <w:tcPr>
            <w:tcW w:w="760" w:type="dxa"/>
            <w:vAlign w:val="bottom"/>
          </w:tcPr>
          <w:p>
            <w:pPr>
              <w:jc w:val="right"/>
              <w:ind w:right="19"/>
              <w:spacing w:after="0"/>
              <w:rPr>
                <w:sz w:val="20"/>
                <w:szCs w:val="20"/>
                <w:color w:val="auto"/>
              </w:rPr>
            </w:pPr>
            <w:r>
              <w:rPr>
                <w:rFonts w:ascii="Arial" w:cs="Arial" w:eastAsia="Arial" w:hAnsi="Arial"/>
                <w:sz w:val="16"/>
                <w:szCs w:val="16"/>
                <w:color w:val="auto"/>
                <w:w w:val="87"/>
              </w:rPr>
              <w:t>$ (32,609)</w:t>
            </w:r>
          </w:p>
        </w:tc>
        <w:tc>
          <w:tcPr>
            <w:tcW w:w="760" w:type="dxa"/>
            <w:vAlign w:val="bottom"/>
            <w:gridSpan w:val="2"/>
          </w:tcPr>
          <w:p>
            <w:pPr>
              <w:jc w:val="right"/>
              <w:spacing w:after="0"/>
              <w:rPr>
                <w:sz w:val="20"/>
                <w:szCs w:val="20"/>
                <w:color w:val="auto"/>
              </w:rPr>
            </w:pPr>
            <w:r>
              <w:rPr>
                <w:rFonts w:ascii="Arial" w:cs="Arial" w:eastAsia="Arial" w:hAnsi="Arial"/>
                <w:sz w:val="16"/>
                <w:szCs w:val="16"/>
                <w:color w:val="auto"/>
              </w:rPr>
              <w:t>-15.5%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1800" w:right="20" w:hanging="334"/>
        <w:spacing w:after="0" w:line="277" w:lineRule="auto"/>
        <w:tabs>
          <w:tab w:leader="none" w:pos="18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Includes the sale of goods other than Bassett-branded products, such as accessories and bedding, and also includes the sale of furniture protection plans.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Analysis of Quarterly Results - Retail</w:t>
      </w:r>
    </w:p>
    <w:p>
      <w:pPr>
        <w:spacing w:after="0" w:line="22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Net sales for the three months ended August 26, 2023 decreased $18,622 or 26% from the prior year period. Written sales (the value of sales orders taken but not delivered) declined 13% from the third quarter of 2022. Gross margin for the three months ended August 26, 2023 was essentially flat compared to the prior period as lower margins from store closure sales in the current quarter were offset by improved margins on in-line goods. SG&amp;A expenses as a percentage of sales for the three months ended August 26, 2023 increased 1,130 basis points primarily due to decreased leverage of fixed costs from lower sales volumes coupled with increased advertising, warehousing and delivery costs.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Analysis of Year-to-Date Results - Retail</w:t>
      </w:r>
    </w:p>
    <w:p>
      <w:pPr>
        <w:spacing w:after="0" w:line="22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Net sales for the nine months ended August 26, 2023 decreased $32,609 or 16% from the prior year period. Written sales (the value of sales orders taken but not delivered) declined 15% from the first nine months of 2022. Gross margin for the nine months ended August 26, 2023 was essentially flat compared to the prior period as lower margins from store closure sales in the current year were offset by improved margins on in-line goods and lower unit costs as measured on a LIFO basis. SG&amp;A expenses as a percentage of sales for the nine months ended August 26, 2023 increased 690 primarily due to decreased leverage of fixed costs from lower sales volumes coupled with increased advertising and warehousing and delivery costs.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Retail Backlog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Retail backlog at August 26, 2023 was $32,702 compared to $51,041 at November 26, 2022 and $59,981 at August 27, 2022.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 of 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1" w:name="page32"/>
    <w:bookmarkEnd w:id="31"/>
    <w:p>
      <w:pPr>
        <w:jc w:val="center"/>
        <w:spacing w:after="0"/>
        <w:rPr>
          <w:sz w:val="20"/>
          <w:szCs w:val="20"/>
          <w:color w:val="auto"/>
        </w:rPr>
      </w:pPr>
      <w:r>
        <w:rPr>
          <w:rFonts w:ascii="Arial" w:cs="Arial" w:eastAsia="Arial" w:hAnsi="Arial"/>
          <w:sz w:val="18"/>
          <w:szCs w:val="18"/>
          <w:u w:val="single" w:color="auto"/>
          <w:color w:val="auto"/>
        </w:rPr>
        <w:t>PART I-FINANCIAL INFORMATION-CONTINUED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BASSETT FURNITURE INDUSTRIES, INCORPORATED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AUGUST 26, 2023</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(Dollars in thousands except share and per share data)</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Corporate and Other</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Revenues, costs and expenses of corporate and other for the three and nine months ended August 26, 2023 and August 27, 2022 are as follows:</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3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40" w:type="dxa"/>
            <w:vAlign w:val="bottom"/>
            <w:gridSpan w:val="5"/>
          </w:tcPr>
          <w:p>
            <w:pPr>
              <w:jc w:val="right"/>
              <w:ind w:right="680"/>
              <w:spacing w:after="0"/>
              <w:rPr>
                <w:sz w:val="20"/>
                <w:szCs w:val="20"/>
                <w:color w:val="auto"/>
              </w:rPr>
            </w:pPr>
            <w:r>
              <w:rPr>
                <w:rFonts w:ascii="Arial" w:cs="Arial" w:eastAsia="Arial" w:hAnsi="Arial"/>
                <w:sz w:val="18"/>
                <w:szCs w:val="18"/>
                <w:color w:val="auto"/>
              </w:rPr>
              <w:t>Quarter Ended</w:t>
            </w:r>
          </w:p>
        </w:tc>
        <w:tc>
          <w:tcPr>
            <w:tcW w:w="140" w:type="dxa"/>
            <w:vAlign w:val="bottom"/>
          </w:tcPr>
          <w:p>
            <w:pPr>
              <w:spacing w:after="0"/>
              <w:rPr>
                <w:sz w:val="20"/>
                <w:szCs w:val="20"/>
                <w:color w:val="auto"/>
              </w:rPr>
            </w:pPr>
          </w:p>
        </w:tc>
        <w:tc>
          <w:tcPr>
            <w:tcW w:w="1140" w:type="dxa"/>
            <w:vAlign w:val="bottom"/>
            <w:gridSpan w:val="3"/>
          </w:tcPr>
          <w:p>
            <w:pPr>
              <w:ind w:left="580"/>
              <w:spacing w:after="0"/>
              <w:rPr>
                <w:sz w:val="20"/>
                <w:szCs w:val="20"/>
                <w:color w:val="auto"/>
              </w:rPr>
            </w:pPr>
            <w:r>
              <w:rPr>
                <w:rFonts w:ascii="Arial" w:cs="Arial" w:eastAsia="Arial" w:hAnsi="Arial"/>
                <w:sz w:val="18"/>
                <w:szCs w:val="18"/>
                <w:color w:val="auto"/>
                <w:w w:val="85"/>
              </w:rPr>
              <w:t>Change</w:t>
            </w:r>
          </w:p>
        </w:tc>
        <w:tc>
          <w:tcPr>
            <w:tcW w:w="7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40" w:type="dxa"/>
            <w:vAlign w:val="bottom"/>
            <w:gridSpan w:val="5"/>
          </w:tcPr>
          <w:p>
            <w:pPr>
              <w:jc w:val="right"/>
              <w:ind w:right="500"/>
              <w:spacing w:after="0"/>
              <w:rPr>
                <w:sz w:val="20"/>
                <w:szCs w:val="20"/>
                <w:color w:val="auto"/>
              </w:rPr>
            </w:pPr>
            <w:r>
              <w:rPr>
                <w:rFonts w:ascii="Arial" w:cs="Arial" w:eastAsia="Arial" w:hAnsi="Arial"/>
                <w:sz w:val="18"/>
                <w:szCs w:val="18"/>
                <w:color w:val="auto"/>
                <w:w w:val="96"/>
              </w:rPr>
              <w:t>Nine Months Ended</w:t>
            </w:r>
          </w:p>
        </w:tc>
        <w:tc>
          <w:tcPr>
            <w:tcW w:w="140" w:type="dxa"/>
            <w:vAlign w:val="bottom"/>
          </w:tcPr>
          <w:p>
            <w:pPr>
              <w:spacing w:after="0"/>
              <w:rPr>
                <w:sz w:val="20"/>
                <w:szCs w:val="20"/>
                <w:color w:val="auto"/>
              </w:rPr>
            </w:pPr>
          </w:p>
        </w:tc>
        <w:tc>
          <w:tcPr>
            <w:tcW w:w="1140" w:type="dxa"/>
            <w:vAlign w:val="bottom"/>
            <w:gridSpan w:val="3"/>
          </w:tcPr>
          <w:p>
            <w:pPr>
              <w:ind w:left="580"/>
              <w:spacing w:after="0"/>
              <w:rPr>
                <w:sz w:val="20"/>
                <w:szCs w:val="20"/>
                <w:color w:val="auto"/>
              </w:rPr>
            </w:pPr>
            <w:r>
              <w:rPr>
                <w:rFonts w:ascii="Arial" w:cs="Arial" w:eastAsia="Arial" w:hAnsi="Arial"/>
                <w:sz w:val="18"/>
                <w:szCs w:val="18"/>
                <w:color w:val="auto"/>
                <w:w w:val="85"/>
              </w:rPr>
              <w:t>Change</w:t>
            </w:r>
          </w:p>
        </w:tc>
        <w:tc>
          <w:tcPr>
            <w:tcW w:w="72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195"/>
        </w:trPr>
        <w:tc>
          <w:tcPr>
            <w:tcW w:w="2380" w:type="dxa"/>
            <w:vAlign w:val="bottom"/>
          </w:tcPr>
          <w:p>
            <w:pPr>
              <w:spacing w:after="0"/>
              <w:rPr>
                <w:sz w:val="16"/>
                <w:szCs w:val="16"/>
                <w:color w:val="auto"/>
              </w:rPr>
            </w:pPr>
          </w:p>
        </w:tc>
        <w:tc>
          <w:tcPr>
            <w:tcW w:w="1120" w:type="dxa"/>
            <w:vAlign w:val="bottom"/>
            <w:tcBorders>
              <w:top w:val="single" w:sz="8" w:color="auto"/>
            </w:tcBorders>
            <w:gridSpan w:val="3"/>
          </w:tcPr>
          <w:p>
            <w:pPr>
              <w:jc w:val="right"/>
              <w:ind w:right="280"/>
              <w:spacing w:after="0" w:line="195" w:lineRule="exact"/>
              <w:rPr>
                <w:sz w:val="20"/>
                <w:szCs w:val="20"/>
                <w:color w:val="auto"/>
              </w:rPr>
            </w:pPr>
            <w:r>
              <w:rPr>
                <w:rFonts w:ascii="Arial" w:cs="Arial" w:eastAsia="Arial" w:hAnsi="Arial"/>
                <w:sz w:val="18"/>
                <w:szCs w:val="18"/>
                <w:color w:val="auto"/>
                <w:w w:val="95"/>
              </w:rPr>
              <w:t>August 26,</w:t>
            </w:r>
          </w:p>
        </w:tc>
        <w:tc>
          <w:tcPr>
            <w:tcW w:w="880" w:type="dxa"/>
            <w:vAlign w:val="bottom"/>
            <w:tcBorders>
              <w:top w:val="single" w:sz="8" w:color="auto"/>
            </w:tcBorders>
            <w:gridSpan w:val="2"/>
          </w:tcPr>
          <w:p>
            <w:pPr>
              <w:jc w:val="right"/>
              <w:spacing w:after="0" w:line="195" w:lineRule="exact"/>
              <w:rPr>
                <w:sz w:val="20"/>
                <w:szCs w:val="20"/>
                <w:color w:val="auto"/>
              </w:rPr>
            </w:pPr>
            <w:r>
              <w:rPr>
                <w:rFonts w:ascii="Arial" w:cs="Arial" w:eastAsia="Arial" w:hAnsi="Arial"/>
                <w:sz w:val="18"/>
                <w:szCs w:val="18"/>
                <w:color w:val="auto"/>
                <w:w w:val="95"/>
              </w:rPr>
              <w:t>August 27,</w:t>
            </w:r>
          </w:p>
        </w:tc>
        <w:tc>
          <w:tcPr>
            <w:tcW w:w="2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tcBorders>
              <w:top w:val="single" w:sz="8" w:color="auto"/>
            </w:tcBorders>
            <w:gridSpan w:val="3"/>
          </w:tcPr>
          <w:p>
            <w:pPr>
              <w:jc w:val="right"/>
              <w:ind w:right="280"/>
              <w:spacing w:after="0" w:line="195" w:lineRule="exact"/>
              <w:rPr>
                <w:sz w:val="20"/>
                <w:szCs w:val="20"/>
                <w:color w:val="auto"/>
              </w:rPr>
            </w:pPr>
            <w:r>
              <w:rPr>
                <w:rFonts w:ascii="Arial" w:cs="Arial" w:eastAsia="Arial" w:hAnsi="Arial"/>
                <w:sz w:val="18"/>
                <w:szCs w:val="18"/>
                <w:color w:val="auto"/>
                <w:w w:val="95"/>
              </w:rPr>
              <w:t>August 26,</w:t>
            </w:r>
          </w:p>
        </w:tc>
        <w:tc>
          <w:tcPr>
            <w:tcW w:w="880" w:type="dxa"/>
            <w:vAlign w:val="bottom"/>
            <w:tcBorders>
              <w:top w:val="single" w:sz="8" w:color="auto"/>
            </w:tcBorders>
            <w:gridSpan w:val="2"/>
          </w:tcPr>
          <w:p>
            <w:pPr>
              <w:jc w:val="right"/>
              <w:spacing w:after="0" w:line="195" w:lineRule="exact"/>
              <w:rPr>
                <w:sz w:val="20"/>
                <w:szCs w:val="20"/>
                <w:color w:val="auto"/>
              </w:rPr>
            </w:pPr>
            <w:r>
              <w:rPr>
                <w:rFonts w:ascii="Arial" w:cs="Arial" w:eastAsia="Arial" w:hAnsi="Arial"/>
                <w:sz w:val="18"/>
                <w:szCs w:val="18"/>
                <w:color w:val="auto"/>
                <w:w w:val="95"/>
              </w:rPr>
              <w:t>August 27,</w:t>
            </w:r>
          </w:p>
        </w:tc>
        <w:tc>
          <w:tcPr>
            <w:tcW w:w="2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r>
      <w:tr>
        <w:trPr>
          <w:trHeight w:val="230"/>
        </w:trPr>
        <w:tc>
          <w:tcPr>
            <w:tcW w:w="23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ind w:right="190"/>
              <w:spacing w:after="0"/>
              <w:rPr>
                <w:sz w:val="20"/>
                <w:szCs w:val="20"/>
                <w:color w:val="auto"/>
              </w:rPr>
            </w:pPr>
            <w:r>
              <w:rPr>
                <w:rFonts w:ascii="Arial" w:cs="Arial" w:eastAsia="Arial" w:hAnsi="Arial"/>
                <w:sz w:val="18"/>
                <w:szCs w:val="18"/>
                <w:color w:val="auto"/>
              </w:rPr>
              <w:t>2023</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jc w:val="right"/>
              <w:ind w:right="170"/>
              <w:spacing w:after="0"/>
              <w:rPr>
                <w:sz w:val="20"/>
                <w:szCs w:val="20"/>
                <w:color w:val="auto"/>
              </w:rPr>
            </w:pPr>
            <w:r>
              <w:rPr>
                <w:rFonts w:ascii="Arial" w:cs="Arial" w:eastAsia="Arial" w:hAnsi="Arial"/>
                <w:sz w:val="18"/>
                <w:szCs w:val="18"/>
                <w:color w:val="auto"/>
              </w:rPr>
              <w:t>2022</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gridSpan w:val="3"/>
          </w:tcPr>
          <w:p>
            <w:pPr>
              <w:ind w:left="40"/>
              <w:spacing w:after="0"/>
              <w:rPr>
                <w:sz w:val="20"/>
                <w:szCs w:val="20"/>
                <w:color w:val="auto"/>
              </w:rPr>
            </w:pPr>
            <w:r>
              <w:rPr>
                <w:rFonts w:ascii="Arial" w:cs="Arial" w:eastAsia="Arial" w:hAnsi="Arial"/>
                <w:sz w:val="18"/>
                <w:szCs w:val="18"/>
                <w:color w:val="auto"/>
              </w:rPr>
              <w:t>Dollars</w:t>
            </w:r>
          </w:p>
        </w:tc>
        <w:tc>
          <w:tcPr>
            <w:tcW w:w="980" w:type="dxa"/>
            <w:vAlign w:val="bottom"/>
            <w:gridSpan w:val="2"/>
          </w:tcPr>
          <w:p>
            <w:pPr>
              <w:jc w:val="right"/>
              <w:ind w:right="440"/>
              <w:spacing w:after="0"/>
              <w:rPr>
                <w:sz w:val="20"/>
                <w:szCs w:val="20"/>
                <w:color w:val="auto"/>
              </w:rPr>
            </w:pPr>
            <w:r>
              <w:rPr>
                <w:rFonts w:ascii="Arial" w:cs="Arial" w:eastAsia="Arial" w:hAnsi="Arial"/>
                <w:sz w:val="18"/>
                <w:szCs w:val="18"/>
                <w:color w:val="auto"/>
                <w:w w:val="83"/>
              </w:rPr>
              <w:t>Percent</w:t>
            </w:r>
          </w:p>
        </w:tc>
        <w:tc>
          <w:tcPr>
            <w:tcW w:w="180" w:type="dxa"/>
            <w:vAlign w:val="bottom"/>
          </w:tcPr>
          <w:p>
            <w:pPr>
              <w:spacing w:after="0"/>
              <w:rPr>
                <w:sz w:val="20"/>
                <w:szCs w:val="20"/>
                <w:color w:val="auto"/>
              </w:rPr>
            </w:pPr>
          </w:p>
        </w:tc>
        <w:tc>
          <w:tcPr>
            <w:tcW w:w="720" w:type="dxa"/>
            <w:vAlign w:val="bottom"/>
          </w:tcPr>
          <w:p>
            <w:pPr>
              <w:jc w:val="right"/>
              <w:ind w:right="170"/>
              <w:spacing w:after="0"/>
              <w:rPr>
                <w:sz w:val="20"/>
                <w:szCs w:val="20"/>
                <w:color w:val="auto"/>
              </w:rPr>
            </w:pPr>
            <w:r>
              <w:rPr>
                <w:rFonts w:ascii="Arial" w:cs="Arial" w:eastAsia="Arial" w:hAnsi="Arial"/>
                <w:sz w:val="18"/>
                <w:szCs w:val="18"/>
                <w:color w:val="auto"/>
              </w:rPr>
              <w:t>2023</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jc w:val="right"/>
              <w:ind w:right="170"/>
              <w:spacing w:after="0"/>
              <w:rPr>
                <w:sz w:val="20"/>
                <w:szCs w:val="20"/>
                <w:color w:val="auto"/>
              </w:rPr>
            </w:pPr>
            <w:r>
              <w:rPr>
                <w:rFonts w:ascii="Arial" w:cs="Arial" w:eastAsia="Arial" w:hAnsi="Arial"/>
                <w:sz w:val="18"/>
                <w:szCs w:val="18"/>
                <w:color w:val="auto"/>
              </w:rPr>
              <w:t>2022</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gridSpan w:val="3"/>
          </w:tcPr>
          <w:p>
            <w:pPr>
              <w:ind w:left="40"/>
              <w:spacing w:after="0"/>
              <w:rPr>
                <w:sz w:val="20"/>
                <w:szCs w:val="20"/>
                <w:color w:val="auto"/>
              </w:rPr>
            </w:pPr>
            <w:r>
              <w:rPr>
                <w:rFonts w:ascii="Arial" w:cs="Arial" w:eastAsia="Arial" w:hAnsi="Arial"/>
                <w:sz w:val="18"/>
                <w:szCs w:val="18"/>
                <w:color w:val="auto"/>
              </w:rPr>
              <w:t>Dollars</w:t>
            </w: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w w:val="83"/>
              </w:rPr>
              <w:t>Percent</w:t>
            </w:r>
          </w:p>
        </w:tc>
      </w:tr>
      <w:tr>
        <w:trPr>
          <w:trHeight w:val="209"/>
        </w:trPr>
        <w:tc>
          <w:tcPr>
            <w:tcW w:w="23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38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1,796</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1"/>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1,796</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7,044</w:t>
            </w:r>
          </w:p>
        </w:tc>
        <w:tc>
          <w:tcPr>
            <w:tcW w:w="180" w:type="dxa"/>
            <w:vAlign w:val="bottom"/>
            <w:shd w:val="clear" w:color="auto" w:fill="CCEEFF"/>
          </w:tcPr>
          <w:p>
            <w:pPr>
              <w:jc w:val="right"/>
              <w:ind w:right="21"/>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7,044</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100.0%</w:t>
            </w:r>
          </w:p>
        </w:tc>
      </w:tr>
      <w:tr>
        <w:trPr>
          <w:trHeight w:val="20"/>
        </w:trPr>
        <w:tc>
          <w:tcPr>
            <w:tcW w:w="23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r>
      <w:tr>
        <w:trPr>
          <w:trHeight w:val="209"/>
        </w:trPr>
        <w:tc>
          <w:tcPr>
            <w:tcW w:w="2380" w:type="dxa"/>
            <w:vAlign w:val="bottom"/>
          </w:tcPr>
          <w:p>
            <w:pPr>
              <w:spacing w:after="0"/>
              <w:rPr>
                <w:sz w:val="20"/>
                <w:szCs w:val="20"/>
                <w:color w:val="auto"/>
              </w:rPr>
            </w:pPr>
            <w:r>
              <w:rPr>
                <w:rFonts w:ascii="Arial" w:cs="Arial" w:eastAsia="Arial" w:hAnsi="Arial"/>
                <w:sz w:val="18"/>
                <w:szCs w:val="18"/>
                <w:color w:val="auto"/>
              </w:rPr>
              <w:t>Gross profit</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915</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915</w:t>
            </w:r>
          </w:p>
        </w:tc>
        <w:tc>
          <w:tcPr>
            <w:tcW w:w="18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100.0%</w:t>
            </w:r>
          </w:p>
        </w:tc>
        <w:tc>
          <w:tcPr>
            <w:tcW w:w="1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3,832</w:t>
            </w:r>
          </w:p>
        </w:tc>
        <w:tc>
          <w:tcPr>
            <w:tcW w:w="18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3,832</w:t>
            </w:r>
          </w:p>
        </w:tc>
        <w:tc>
          <w:tcPr>
            <w:tcW w:w="18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100.0%</w:t>
            </w:r>
          </w:p>
        </w:tc>
      </w:tr>
      <w:tr>
        <w:trPr>
          <w:trHeight w:val="216"/>
        </w:trPr>
        <w:tc>
          <w:tcPr>
            <w:tcW w:w="2380" w:type="dxa"/>
            <w:vAlign w:val="bottom"/>
            <w:shd w:val="clear" w:color="auto" w:fill="CCEEFF"/>
          </w:tcPr>
          <w:p>
            <w:pPr>
              <w:spacing w:after="0"/>
              <w:rPr>
                <w:sz w:val="20"/>
                <w:szCs w:val="20"/>
                <w:color w:val="auto"/>
              </w:rPr>
            </w:pPr>
            <w:r>
              <w:rPr>
                <w:rFonts w:ascii="Arial" w:cs="Arial" w:eastAsia="Arial" w:hAnsi="Arial"/>
                <w:sz w:val="18"/>
                <w:szCs w:val="18"/>
                <w:color w:val="auto"/>
              </w:rPr>
              <w:t>SG&amp;A expenses</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8,335</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7,839</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496</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6.3%</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25,972</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21,633</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4,339</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20.1%</w:t>
            </w:r>
          </w:p>
        </w:tc>
      </w:tr>
      <w:tr>
        <w:trPr>
          <w:trHeight w:val="20"/>
        </w:trPr>
        <w:tc>
          <w:tcPr>
            <w:tcW w:w="23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r>
      <w:tr>
        <w:trPr>
          <w:trHeight w:val="210"/>
        </w:trPr>
        <w:tc>
          <w:tcPr>
            <w:tcW w:w="2380" w:type="dxa"/>
            <w:vAlign w:val="bottom"/>
          </w:tcPr>
          <w:p>
            <w:pPr>
              <w:spacing w:after="0"/>
              <w:rPr>
                <w:sz w:val="20"/>
                <w:szCs w:val="20"/>
                <w:color w:val="auto"/>
              </w:rPr>
            </w:pPr>
            <w:r>
              <w:rPr>
                <w:rFonts w:ascii="Arial" w:cs="Arial" w:eastAsia="Arial" w:hAnsi="Arial"/>
                <w:sz w:val="18"/>
                <w:szCs w:val="18"/>
                <w:color w:val="auto"/>
              </w:rPr>
              <w:t>Net expenses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(7,420)</w:t>
            </w:r>
          </w:p>
        </w:tc>
        <w:tc>
          <w:tcPr>
            <w:tcW w:w="160" w:type="dxa"/>
            <w:vAlign w:val="bottom"/>
          </w:tcPr>
          <w:p>
            <w:pPr>
              <w:jc w:val="right"/>
              <w:ind w:right="1"/>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(7,839)</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419</w:t>
            </w:r>
          </w:p>
        </w:tc>
        <w:tc>
          <w:tcPr>
            <w:tcW w:w="18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-5.3%</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(22,140)</w:t>
            </w:r>
          </w:p>
        </w:tc>
        <w:tc>
          <w:tcPr>
            <w:tcW w:w="180" w:type="dxa"/>
            <w:vAlign w:val="bottom"/>
          </w:tcPr>
          <w:p>
            <w:pPr>
              <w:jc w:val="right"/>
              <w:ind w:right="21"/>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(21,633)</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(507)</w:t>
            </w:r>
          </w:p>
        </w:tc>
        <w:tc>
          <w:tcPr>
            <w:tcW w:w="18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2.3%</w:t>
            </w:r>
          </w:p>
        </w:tc>
      </w:tr>
      <w:tr>
        <w:trPr>
          <w:trHeight w:val="20"/>
        </w:trPr>
        <w:tc>
          <w:tcPr>
            <w:tcW w:w="23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Analysis of Quarterly Results </w:t>
      </w:r>
      <w:r>
        <w:rPr>
          <w:rFonts w:ascii="Arial" w:cs="Arial" w:eastAsia="Arial" w:hAnsi="Arial"/>
          <w:sz w:val="18"/>
          <w:szCs w:val="18"/>
          <w:color w:val="auto"/>
        </w:rPr>
        <w:t>–</w:t>
      </w:r>
      <w:r>
        <w:rPr>
          <w:rFonts w:ascii="Arial" w:cs="Arial" w:eastAsia="Arial" w:hAnsi="Arial"/>
          <w:sz w:val="18"/>
          <w:szCs w:val="18"/>
          <w:i w:val="1"/>
          <w:iCs w:val="1"/>
          <w:color w:val="auto"/>
        </w:rPr>
        <w:t xml:space="preserve"> Corporate and Other</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increases in sales and gross profit over the prior year period were due to the acquisition of Noa Home on September 2, 2022. The $496 increase in SG&amp;A expenses was primarily due to the addition of Noa Home partially offset by decreased corporate spending associated with incentive compensation and national advertising.</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Analysis of Year-to-Date Results </w:t>
      </w:r>
      <w:r>
        <w:rPr>
          <w:rFonts w:ascii="Arial" w:cs="Arial" w:eastAsia="Arial" w:hAnsi="Arial"/>
          <w:sz w:val="18"/>
          <w:szCs w:val="18"/>
          <w:color w:val="auto"/>
        </w:rPr>
        <w:t>–</w:t>
      </w:r>
      <w:r>
        <w:rPr>
          <w:rFonts w:ascii="Arial" w:cs="Arial" w:eastAsia="Arial" w:hAnsi="Arial"/>
          <w:sz w:val="18"/>
          <w:szCs w:val="18"/>
          <w:i w:val="1"/>
          <w:iCs w:val="1"/>
          <w:color w:val="auto"/>
        </w:rPr>
        <w:t xml:space="preserve"> Corporate and Other</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increases in sales and gross profit over the prior year period were due to the acquisition of Noa Home on September 2, 2022. The $4,339 increase in SG&amp;A expenses was primarily due to the addition of Noa Home and increased corporate consulting expenses associated with our digital transformation efforts and the development of a new store prototype design partially offset by lower corporate incentive compensation expenses.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080" w:type="dxa"/>
            <w:vAlign w:val="bottom"/>
            <w:gridSpan w:val="3"/>
          </w:tcPr>
          <w:p>
            <w:pPr>
              <w:spacing w:after="0"/>
              <w:rPr>
                <w:sz w:val="20"/>
                <w:szCs w:val="20"/>
                <w:color w:val="auto"/>
              </w:rPr>
            </w:pPr>
            <w:r>
              <w:rPr>
                <w:rFonts w:ascii="Arial" w:cs="Arial" w:eastAsia="Arial" w:hAnsi="Arial"/>
                <w:sz w:val="18"/>
                <w:szCs w:val="18"/>
                <w:b w:val="1"/>
                <w:bCs w:val="1"/>
                <w:color w:val="auto"/>
              </w:rPr>
              <w:t xml:space="preserve">Discontinued Operations </w:t>
            </w:r>
            <w:r>
              <w:rPr>
                <w:rFonts w:ascii="Arial" w:cs="Arial" w:eastAsia="Arial" w:hAnsi="Arial"/>
                <w:sz w:val="18"/>
                <w:szCs w:val="18"/>
                <w:color w:val="auto"/>
              </w:rPr>
              <w:t>–</w:t>
            </w:r>
            <w:r>
              <w:rPr>
                <w:rFonts w:ascii="Arial" w:cs="Arial" w:eastAsia="Arial" w:hAnsi="Arial"/>
                <w:sz w:val="18"/>
                <w:szCs w:val="18"/>
                <w:b w:val="1"/>
                <w:bCs w:val="1"/>
                <w:color w:val="auto"/>
              </w:rPr>
              <w:t xml:space="preserve"> Logistical Services</w:t>
            </w:r>
          </w:p>
        </w:tc>
        <w:tc>
          <w:tcPr>
            <w:tcW w:w="3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438"/>
        </w:trPr>
        <w:tc>
          <w:tcPr>
            <w:tcW w:w="840" w:type="dxa"/>
            <w:vAlign w:val="bottom"/>
            <w:tcBorders>
              <w:top w:val="single" w:sz="8" w:color="auto"/>
            </w:tcBorders>
          </w:tcPr>
          <w:p>
            <w:pPr>
              <w:spacing w:after="0"/>
              <w:rPr>
                <w:sz w:val="24"/>
                <w:szCs w:val="24"/>
                <w:color w:val="auto"/>
              </w:rPr>
            </w:pPr>
          </w:p>
        </w:tc>
        <w:tc>
          <w:tcPr>
            <w:tcW w:w="2680" w:type="dxa"/>
            <w:vAlign w:val="bottom"/>
            <w:tcBorders>
              <w:top w:val="single" w:sz="8" w:color="auto"/>
            </w:tcBorders>
          </w:tcPr>
          <w:p>
            <w:pPr>
              <w:spacing w:after="0"/>
              <w:rPr>
                <w:sz w:val="24"/>
                <w:szCs w:val="24"/>
                <w:color w:val="auto"/>
              </w:rPr>
            </w:pPr>
          </w:p>
        </w:tc>
        <w:tc>
          <w:tcPr>
            <w:tcW w:w="15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60" w:type="dxa"/>
            <w:vAlign w:val="bottom"/>
          </w:tcPr>
          <w:p>
            <w:pPr>
              <w:jc w:val="right"/>
              <w:ind w:right="190"/>
              <w:spacing w:after="0"/>
              <w:rPr>
                <w:sz w:val="20"/>
                <w:szCs w:val="20"/>
                <w:color w:val="auto"/>
              </w:rPr>
            </w:pPr>
            <w:r>
              <w:rPr>
                <w:rFonts w:ascii="Arial" w:cs="Arial" w:eastAsia="Arial" w:hAnsi="Arial"/>
                <w:sz w:val="18"/>
                <w:szCs w:val="18"/>
                <w:color w:val="auto"/>
              </w:rPr>
              <w:t>Quarter Ended</w:t>
            </w: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Nine Months Ended</w:t>
            </w: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30"/>
        </w:trPr>
        <w:tc>
          <w:tcPr>
            <w:tcW w:w="84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August 27, 2022</w:t>
            </w:r>
          </w:p>
        </w:tc>
        <w:tc>
          <w:tcPr>
            <w:tcW w:w="42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August 27, 2022</w:t>
            </w:r>
          </w:p>
        </w:tc>
        <w:tc>
          <w:tcPr>
            <w:tcW w:w="44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210"/>
        </w:trPr>
        <w:tc>
          <w:tcPr>
            <w:tcW w:w="84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840" w:type="dxa"/>
            <w:vAlign w:val="bottom"/>
          </w:tcPr>
          <w:p>
            <w:pPr>
              <w:spacing w:after="0"/>
              <w:rPr>
                <w:sz w:val="18"/>
                <w:szCs w:val="18"/>
                <w:color w:val="auto"/>
              </w:rPr>
            </w:pPr>
          </w:p>
        </w:tc>
        <w:tc>
          <w:tcPr>
            <w:tcW w:w="42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Logistical services revenue</w:t>
            </w:r>
          </w:p>
        </w:tc>
        <w:tc>
          <w:tcPr>
            <w:tcW w:w="360" w:type="dxa"/>
            <w:vAlign w:val="bottom"/>
            <w:shd w:val="clear" w:color="auto" w:fill="CCEEFF"/>
          </w:tcPr>
          <w:p>
            <w:pPr>
              <w:jc w:val="right"/>
              <w:ind w:right="207"/>
              <w:spacing w:after="0"/>
              <w:rPr>
                <w:sz w:val="20"/>
                <w:szCs w:val="20"/>
                <w:color w:val="auto"/>
              </w:rPr>
            </w:pPr>
            <w:r>
              <w:rPr>
                <w:rFonts w:ascii="Arial" w:cs="Arial" w:eastAsia="Arial" w:hAnsi="Arial"/>
                <w:sz w:val="15"/>
                <w:szCs w:val="15"/>
                <w:color w:val="auto"/>
                <w:w w:val="71"/>
              </w:rPr>
              <w:t>$</w:t>
            </w:r>
          </w:p>
        </w:tc>
        <w:tc>
          <w:tcPr>
            <w:tcW w:w="1660" w:type="dxa"/>
            <w:vAlign w:val="bottom"/>
            <w:shd w:val="clear" w:color="auto" w:fill="CCEEFF"/>
          </w:tcPr>
          <w:p>
            <w:pPr>
              <w:jc w:val="right"/>
              <w:ind w:right="81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0.0%</w:t>
            </w:r>
          </w:p>
        </w:tc>
        <w:tc>
          <w:tcPr>
            <w:tcW w:w="300" w:type="dxa"/>
            <w:vAlign w:val="bottom"/>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1700" w:type="dxa"/>
            <w:vAlign w:val="bottom"/>
            <w:shd w:val="clear" w:color="auto" w:fill="CCEEFF"/>
          </w:tcPr>
          <w:p>
            <w:pPr>
              <w:jc w:val="right"/>
              <w:ind w:right="770"/>
              <w:spacing w:after="0"/>
              <w:rPr>
                <w:sz w:val="20"/>
                <w:szCs w:val="20"/>
                <w:color w:val="auto"/>
              </w:rPr>
            </w:pPr>
            <w:r>
              <w:rPr>
                <w:rFonts w:ascii="Arial" w:cs="Arial" w:eastAsia="Arial" w:hAnsi="Arial"/>
                <w:sz w:val="18"/>
                <w:szCs w:val="18"/>
                <w:color w:val="auto"/>
              </w:rPr>
              <w:t>16,776</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4"/>
              </w:rPr>
              <w:t>100.0%</w:t>
            </w:r>
          </w:p>
        </w:tc>
      </w:tr>
      <w:tr>
        <w:trPr>
          <w:trHeight w:val="216"/>
        </w:trPr>
        <w:tc>
          <w:tcPr>
            <w:tcW w:w="840" w:type="dxa"/>
            <w:vAlign w:val="bottom"/>
          </w:tcPr>
          <w:p>
            <w:pPr>
              <w:spacing w:after="0"/>
              <w:rPr>
                <w:sz w:val="18"/>
                <w:szCs w:val="18"/>
                <w:color w:val="auto"/>
              </w:rPr>
            </w:pPr>
          </w:p>
        </w:tc>
        <w:tc>
          <w:tcPr>
            <w:tcW w:w="4240" w:type="dxa"/>
            <w:vAlign w:val="bottom"/>
            <w:gridSpan w:val="2"/>
          </w:tcPr>
          <w:p>
            <w:pPr>
              <w:ind w:left="20"/>
              <w:spacing w:after="0"/>
              <w:rPr>
                <w:sz w:val="20"/>
                <w:szCs w:val="20"/>
                <w:color w:val="auto"/>
              </w:rPr>
            </w:pPr>
            <w:r>
              <w:rPr>
                <w:rFonts w:ascii="Arial" w:cs="Arial" w:eastAsia="Arial" w:hAnsi="Arial"/>
                <w:sz w:val="18"/>
                <w:szCs w:val="18"/>
                <w:color w:val="auto"/>
              </w:rPr>
              <w:t>Cost of logistical services</w:t>
            </w:r>
          </w:p>
        </w:tc>
        <w:tc>
          <w:tcPr>
            <w:tcW w:w="360" w:type="dxa"/>
            <w:vAlign w:val="bottom"/>
          </w:tcPr>
          <w:p>
            <w:pPr>
              <w:spacing w:after="0"/>
              <w:rPr>
                <w:sz w:val="18"/>
                <w:szCs w:val="18"/>
                <w:color w:val="auto"/>
              </w:rPr>
            </w:pPr>
          </w:p>
        </w:tc>
        <w:tc>
          <w:tcPr>
            <w:tcW w:w="1660" w:type="dxa"/>
            <w:vAlign w:val="bottom"/>
          </w:tcPr>
          <w:p>
            <w:pPr>
              <w:jc w:val="right"/>
              <w:ind w:right="81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0.0%</w:t>
            </w:r>
          </w:p>
        </w:tc>
        <w:tc>
          <w:tcPr>
            <w:tcW w:w="300" w:type="dxa"/>
            <w:vAlign w:val="bottom"/>
          </w:tcPr>
          <w:p>
            <w:pPr>
              <w:spacing w:after="0"/>
              <w:rPr>
                <w:sz w:val="18"/>
                <w:szCs w:val="18"/>
                <w:color w:val="auto"/>
              </w:rPr>
            </w:pPr>
          </w:p>
        </w:tc>
        <w:tc>
          <w:tcPr>
            <w:tcW w:w="1700" w:type="dxa"/>
            <w:vAlign w:val="bottom"/>
          </w:tcPr>
          <w:p>
            <w:pPr>
              <w:jc w:val="right"/>
              <w:ind w:right="770"/>
              <w:spacing w:after="0"/>
              <w:rPr>
                <w:sz w:val="20"/>
                <w:szCs w:val="20"/>
                <w:color w:val="auto"/>
              </w:rPr>
            </w:pPr>
            <w:r>
              <w:rPr>
                <w:rFonts w:ascii="Arial" w:cs="Arial" w:eastAsia="Arial" w:hAnsi="Arial"/>
                <w:sz w:val="18"/>
                <w:szCs w:val="18"/>
                <w:color w:val="auto"/>
              </w:rPr>
              <w:t>15,001</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89.4%</w:t>
            </w:r>
          </w:p>
        </w:tc>
      </w:tr>
      <w:tr>
        <w:trPr>
          <w:trHeight w:val="216"/>
        </w:trPr>
        <w:tc>
          <w:tcPr>
            <w:tcW w:w="840" w:type="dxa"/>
            <w:vAlign w:val="bottom"/>
          </w:tcPr>
          <w:p>
            <w:pPr>
              <w:spacing w:after="0"/>
              <w:rPr>
                <w:sz w:val="18"/>
                <w:szCs w:val="18"/>
                <w:color w:val="auto"/>
              </w:rPr>
            </w:pPr>
          </w:p>
        </w:tc>
        <w:tc>
          <w:tcPr>
            <w:tcW w:w="42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loss, net</w:t>
            </w:r>
          </w:p>
        </w:tc>
        <w:tc>
          <w:tcPr>
            <w:tcW w:w="360" w:type="dxa"/>
            <w:vAlign w:val="bottom"/>
            <w:shd w:val="clear" w:color="auto" w:fill="CCEEFF"/>
          </w:tcPr>
          <w:p>
            <w:pPr>
              <w:spacing w:after="0"/>
              <w:rPr>
                <w:sz w:val="18"/>
                <w:szCs w:val="18"/>
                <w:color w:val="auto"/>
              </w:rPr>
            </w:pPr>
          </w:p>
        </w:tc>
        <w:tc>
          <w:tcPr>
            <w:tcW w:w="1660" w:type="dxa"/>
            <w:vAlign w:val="bottom"/>
            <w:shd w:val="clear" w:color="auto" w:fill="CCEEFF"/>
          </w:tcPr>
          <w:p>
            <w:pPr>
              <w:jc w:val="right"/>
              <w:ind w:right="81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0.0%</w:t>
            </w:r>
          </w:p>
        </w:tc>
        <w:tc>
          <w:tcPr>
            <w:tcW w:w="300" w:type="dxa"/>
            <w:vAlign w:val="bottom"/>
            <w:shd w:val="clear" w:color="auto" w:fill="CCEEFF"/>
          </w:tcPr>
          <w:p>
            <w:pPr>
              <w:spacing w:after="0"/>
              <w:rPr>
                <w:sz w:val="18"/>
                <w:szCs w:val="18"/>
                <w:color w:val="auto"/>
              </w:rPr>
            </w:pPr>
          </w:p>
        </w:tc>
        <w:tc>
          <w:tcPr>
            <w:tcW w:w="1700" w:type="dxa"/>
            <w:vAlign w:val="bottom"/>
            <w:shd w:val="clear" w:color="auto" w:fill="CCEEFF"/>
          </w:tcPr>
          <w:p>
            <w:pPr>
              <w:jc w:val="right"/>
              <w:ind w:right="730"/>
              <w:spacing w:after="0"/>
              <w:rPr>
                <w:sz w:val="20"/>
                <w:szCs w:val="20"/>
                <w:color w:val="auto"/>
              </w:rPr>
            </w:pPr>
            <w:r>
              <w:rPr>
                <w:rFonts w:ascii="Arial" w:cs="Arial" w:eastAsia="Arial" w:hAnsi="Arial"/>
                <w:sz w:val="18"/>
                <w:szCs w:val="18"/>
                <w:color w:val="auto"/>
              </w:rPr>
              <w:t>(63)</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-0.4%</w:t>
            </w:r>
          </w:p>
        </w:tc>
      </w:tr>
      <w:tr>
        <w:trPr>
          <w:trHeight w:val="20"/>
        </w:trPr>
        <w:tc>
          <w:tcPr>
            <w:tcW w:w="840" w:type="dxa"/>
            <w:vAlign w:val="bottom"/>
          </w:tcPr>
          <w:p>
            <w:pPr>
              <w:spacing w:after="0" w:line="20" w:lineRule="exact"/>
              <w:rPr>
                <w:sz w:val="1"/>
                <w:szCs w:val="1"/>
                <w:color w:val="auto"/>
              </w:rPr>
            </w:pPr>
          </w:p>
        </w:tc>
        <w:tc>
          <w:tcPr>
            <w:tcW w:w="2680" w:type="dxa"/>
            <w:vAlign w:val="bottom"/>
            <w:shd w:val="clear" w:color="auto" w:fill="CCEEFF"/>
          </w:tcPr>
          <w:p>
            <w:pPr>
              <w:spacing w:after="0" w:line="20" w:lineRule="exact"/>
              <w:rPr>
                <w:sz w:val="1"/>
                <w:szCs w:val="1"/>
                <w:color w:val="auto"/>
              </w:rPr>
            </w:pPr>
          </w:p>
        </w:tc>
        <w:tc>
          <w:tcPr>
            <w:tcW w:w="156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7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r>
      <w:tr>
        <w:trPr>
          <w:trHeight w:val="210"/>
        </w:trPr>
        <w:tc>
          <w:tcPr>
            <w:tcW w:w="840" w:type="dxa"/>
            <w:vAlign w:val="bottom"/>
          </w:tcPr>
          <w:p>
            <w:pPr>
              <w:spacing w:after="0"/>
              <w:rPr>
                <w:sz w:val="18"/>
                <w:szCs w:val="18"/>
                <w:color w:val="auto"/>
              </w:rPr>
            </w:pPr>
          </w:p>
        </w:tc>
        <w:tc>
          <w:tcPr>
            <w:tcW w:w="4240" w:type="dxa"/>
            <w:vAlign w:val="bottom"/>
            <w:gridSpan w:val="2"/>
          </w:tcPr>
          <w:p>
            <w:pPr>
              <w:ind w:left="20"/>
              <w:spacing w:after="0"/>
              <w:rPr>
                <w:sz w:val="20"/>
                <w:szCs w:val="20"/>
                <w:color w:val="auto"/>
              </w:rPr>
            </w:pPr>
            <w:r>
              <w:rPr>
                <w:rFonts w:ascii="Arial" w:cs="Arial" w:eastAsia="Arial" w:hAnsi="Arial"/>
                <w:sz w:val="18"/>
                <w:szCs w:val="18"/>
                <w:color w:val="auto"/>
              </w:rPr>
              <w:t>Income from discontinued operations before tax</w:t>
            </w:r>
          </w:p>
        </w:tc>
        <w:tc>
          <w:tcPr>
            <w:tcW w:w="360" w:type="dxa"/>
            <w:vAlign w:val="bottom"/>
          </w:tcPr>
          <w:p>
            <w:pPr>
              <w:jc w:val="right"/>
              <w:ind w:right="207"/>
              <w:spacing w:after="0"/>
              <w:rPr>
                <w:sz w:val="20"/>
                <w:szCs w:val="20"/>
                <w:color w:val="auto"/>
              </w:rPr>
            </w:pPr>
            <w:r>
              <w:rPr>
                <w:rFonts w:ascii="Arial" w:cs="Arial" w:eastAsia="Arial" w:hAnsi="Arial"/>
                <w:sz w:val="15"/>
                <w:szCs w:val="15"/>
                <w:color w:val="auto"/>
                <w:w w:val="71"/>
              </w:rPr>
              <w:t>$</w:t>
            </w:r>
          </w:p>
        </w:tc>
        <w:tc>
          <w:tcPr>
            <w:tcW w:w="1660" w:type="dxa"/>
            <w:vAlign w:val="bottom"/>
          </w:tcPr>
          <w:p>
            <w:pPr>
              <w:jc w:val="right"/>
              <w:ind w:right="81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0.0%</w:t>
            </w:r>
          </w:p>
        </w:tc>
        <w:tc>
          <w:tcPr>
            <w:tcW w:w="300" w:type="dxa"/>
            <w:vAlign w:val="bottom"/>
          </w:tcPr>
          <w:p>
            <w:pPr>
              <w:jc w:val="right"/>
              <w:ind w:right="147"/>
              <w:spacing w:after="0"/>
              <w:rPr>
                <w:sz w:val="20"/>
                <w:szCs w:val="20"/>
                <w:color w:val="auto"/>
              </w:rPr>
            </w:pPr>
            <w:r>
              <w:rPr>
                <w:rFonts w:ascii="Arial" w:cs="Arial" w:eastAsia="Arial" w:hAnsi="Arial"/>
                <w:sz w:val="15"/>
                <w:szCs w:val="15"/>
                <w:color w:val="auto"/>
                <w:w w:val="71"/>
              </w:rPr>
              <w:t>$</w:t>
            </w:r>
          </w:p>
        </w:tc>
        <w:tc>
          <w:tcPr>
            <w:tcW w:w="1700" w:type="dxa"/>
            <w:vAlign w:val="bottom"/>
          </w:tcPr>
          <w:p>
            <w:pPr>
              <w:jc w:val="right"/>
              <w:ind w:right="790"/>
              <w:spacing w:after="0"/>
              <w:rPr>
                <w:sz w:val="20"/>
                <w:szCs w:val="20"/>
                <w:color w:val="auto"/>
              </w:rPr>
            </w:pPr>
            <w:r>
              <w:rPr>
                <w:rFonts w:ascii="Arial" w:cs="Arial" w:eastAsia="Arial" w:hAnsi="Arial"/>
                <w:sz w:val="18"/>
                <w:szCs w:val="18"/>
                <w:color w:val="auto"/>
              </w:rPr>
              <w:t>1,712</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10.2%</w:t>
            </w:r>
          </w:p>
        </w:tc>
      </w:tr>
      <w:tr>
        <w:trPr>
          <w:trHeight w:val="20"/>
        </w:trPr>
        <w:tc>
          <w:tcPr>
            <w:tcW w:w="84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amounts shown above represent the results of Zenith’s business transactions with third parties. Because the sale of Zenith was closed on the first business day of the second fiscal quarter of 2022, operating results for that period are insignificant.</w:t>
      </w:r>
    </w:p>
    <w:p>
      <w:pPr>
        <w:spacing w:after="0" w:line="170"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Zenith also charged Bassett for logistical services provided to our wholesale segment in the amount of $9,121 during the nine months ended August 27, 2022. These shipping and handling costs are included in selling, general and administrative expenses in the accompanying condensed consolidated statements of operations. Upon the sale of Zenith we entered into a service agreement with J.B. Hunt for the continuation of these services for a period of seven years. We incurred expense for logistical services performed by J.B. Hunt of $6,278 and $21,429 during the three and nine months ended August 26, 2023, respectively, and $10,307 and $19,852 for the three and nine months ended August 27, 2022, respectively.</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 of 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2" w:name="page33"/>
    <w:bookmarkEnd w:id="32"/>
    <w:p>
      <w:pPr>
        <w:jc w:val="center"/>
        <w:ind w:right="20"/>
        <w:spacing w:after="0"/>
        <w:rPr>
          <w:sz w:val="20"/>
          <w:szCs w:val="20"/>
          <w:color w:val="auto"/>
        </w:rPr>
      </w:pPr>
      <w:r>
        <w:rPr>
          <w:rFonts w:ascii="Arial" w:cs="Arial" w:eastAsia="Arial" w:hAnsi="Arial"/>
          <w:sz w:val="18"/>
          <w:szCs w:val="18"/>
          <w:u w:val="single" w:color="auto"/>
          <w:color w:val="auto"/>
        </w:rPr>
        <w:t>PART I-FINANCIAL INFORMATION-CONTINUED</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8"/>
          <w:szCs w:val="18"/>
          <w:u w:val="single" w:color="auto"/>
          <w:color w:val="auto"/>
        </w:rPr>
        <w:t>BASSETT FURNITURE INDUSTRIES, INCORPORATED AND SUBSIDIARIES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u w:val="single" w:color="auto"/>
          <w:color w:val="auto"/>
        </w:rPr>
        <w:t>AUGUST 26, 2023</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u w:val="single" w:color="auto"/>
          <w:color w:val="auto"/>
        </w:rPr>
        <w:t>(Dollars in thousands except share and per share data)</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Other Items Affecting Net Income (Loss)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Income</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Interest income for the three and nine months ended August 26, 2023 was $923 and $1,644, respectively, compared to $120 and $132 for the three and nine months ended August 27, 2022. The net change from the prior year periods was primarily due to higher interest income on our cash equivalents and investments in certificates of deposit, along with the increase in invested cash following the sale of Zenith at the beginning of the second quarter of fiscal 2022.</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 (Loss), Net</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Other loss, net, for the three and nine months ended August 26, 2023 was $309 and $1,381, respectively, compared to $714 and $1,982 for the three and nine months ended August 27, 2022. The net change from the prior year periods was primarily due to lower costs associated with Company-owned life insurance.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calculate an anticipated effective tax rate for the year based on our annual estimates of pretax income and use that effective tax rate to record our year-to-date income tax provision. Any change in annual projections of pretax income could have a significant impact on our effective tax rate for the respective quarter.</w:t>
      </w:r>
    </w:p>
    <w:p>
      <w:pPr>
        <w:spacing w:after="0" w:line="184"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Our effective tax rate was 18.8% and 43.3% for the three and nine months ended August 26, 2023, respectively, and 22.8% and 25.6% for the three and nine months ended August 27, 2022, respectively. The effective rate for the three months ended August 26, 2023 differs from the federal statutory rate of 21% primarily due to the effect of a change in our estimate of annual pretax income on our anticipated effective rate for the full year, offset by increases in the valuation allowance placed on deferred tax assets associated with Noa Home and the effects of state income taxes and various permanent differences. For the nine months ended August 26, 2023, the effective rate differs from the federal statutory rate primarily due to the non-taxable gain on revaluation of contingent consideration associated with the acquisition of Noa Home, increases in the valuation allowance placed on deferred tax assets associated with Noa Home and the effects of state income taxes and various permanent differences. For the three and nine months ended August 27, 2022, the effective rates differ from the federal statutory rate of 21% primarily due to the effects of state income taxes and various permanent differences, including tax of $522 associated with the non-deductible goodwill written off in connection with the sale of Zenith and included in income tax on discontinued operations.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Cash Flows</w:t>
      </w:r>
    </w:p>
    <w:p>
      <w:pPr>
        <w:spacing w:after="0" w:line="225"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Cash provided by operations for the first nine months of fiscal 2023 was $10,250 compared to cash used in operations of $12,295 for the first nine months of fiscal 2022, representing an increase of $22,545 in cash flows from operations. Cash provided by the operating activities of our discontinued operations was $1,681 for the first nine months of fiscal 2022. Excluding the decline in operating cash flow from discontinued operations, cash flows from continuing operations increased $24,226 for the first nine months of fiscal 2023 from the prior year period. This increase was primarily the result of significantly lower investment in inventory partially offset by lower income from continuing operations and other changes in working capital.</w:t>
      </w:r>
    </w:p>
    <w:p>
      <w:pPr>
        <w:spacing w:after="0" w:line="16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Our overall cash position declined $13,613 during the first nine months of 2023 compared to an increase of $32,496 for the first nine months of 2022, which had included the proceeds from the sale of Zenith. During the first nine months of fiscal 2023, we spent $14,657 on purchases of property and equipment primarily consisting of expenditures related to our digital transformation project, upfit of the new Tampa, Florida store that is expected to open in the fourth quarter of 2023, the opening of the Inwood Village store in Dallas, Texas, the remodel of the Austin, Texas store and the remodeling of two other stores in the Dallas, Texas market. We also paid $4,407 in dividends during the nine months ended August 26, 2023, a $14,327 decrease from the corresponding period in 2022 as the prior year included a $1.50 per share special dividend. Finally, we repurchased 249,480 shares spending $4,056 during the current year, a $6,207 decrease compared to the prior period. We expect capital expenditures for the full year to range from $17 million to $19 million. As of August 26, 2023, $21,943 remains available for future purchases under our stock repurchase plan. With cash and cash equivalents and short-term investments totaling $65,755 on hand at August 26, 2023, expected future operating cash flows and the availability under our credit line noted below, we believe we have sufficient liquidity to fund operations for the foreseeable future.</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 of 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3" w:name="page34"/>
    <w:bookmarkEnd w:id="33"/>
    <w:p>
      <w:pPr>
        <w:jc w:val="center"/>
        <w:ind w:right="20"/>
        <w:spacing w:after="0"/>
        <w:rPr>
          <w:sz w:val="20"/>
          <w:szCs w:val="20"/>
          <w:color w:val="auto"/>
        </w:rPr>
      </w:pPr>
      <w:r>
        <w:rPr>
          <w:rFonts w:ascii="Arial" w:cs="Arial" w:eastAsia="Arial" w:hAnsi="Arial"/>
          <w:sz w:val="18"/>
          <w:szCs w:val="18"/>
          <w:u w:val="single" w:color="auto"/>
          <w:color w:val="auto"/>
        </w:rPr>
        <w:t>PART I-FINANCIAL INFORMATION-CONTINUED</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8"/>
          <w:szCs w:val="18"/>
          <w:u w:val="single" w:color="auto"/>
          <w:color w:val="auto"/>
        </w:rPr>
        <w:t>BASSETT FURNITURE INDUSTRIES, INCORPORATED AND SUBSIDIARIES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u w:val="single" w:color="auto"/>
          <w:color w:val="auto"/>
        </w:rPr>
        <w:t>AUGUST 26, 2023</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u w:val="single" w:color="auto"/>
          <w:color w:val="auto"/>
        </w:rPr>
        <w:t>(Dollars in thousands except share and per share data)</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Debt and Other Obligations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bank credit facility provides for a line of credit of up to $25,000. At August 26, 2023, we had $3,731 outstanding under standby letters of credit against our line, leaving availability under our credit line of $21,269. The line bears interest at the One-Month Term SOFR plus 1.5% and is unsecured. Our bank charges a fee of 0.25% on the daily unused balance of the line, payable quarterly. Under the terms of the bank credit facility, we must maintain the following financial covenants, measured quarterly on a rolling twelve-month basis:</w:t>
      </w:r>
    </w:p>
    <w:p>
      <w:pPr>
        <w:spacing w:after="0" w:line="187" w:lineRule="exact"/>
        <w:rPr>
          <w:sz w:val="20"/>
          <w:szCs w:val="20"/>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Consolidated fixed charge coverage ratio of not less than 1.4 times,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Consolidated lease-adjusted leverage ratio not to exceed 3.0 times,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Minimum tangible net worth of $140,000.</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were in compliance with these covenants at August 26, 2023. The credit facility will mature on January 27, 2025, at which time any amounts outstanding under the facility will be due.</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lease land and buildings that are used in the operation of our Company-owned retail stores as well as in the operation of certain of our licensee-owned stores, and we lease land and buildings used in our wholesale manufacturing operations. We also lease local delivery trucks used in our retail segment. The present value of our obligations for leases with terms in excess of one year at August 26, 2023 is $105,900 and is included in our accompanying condensed consolidated balance sheet at August 26, 2023. We were contingently liable under a licensee lease obligation guarantee in the amount of $1,906 at August 26, 2023. The remaining term under this lease guarantee extends for five years. See Note 10 to our condensed consolidated financial statements for additional details regarding our lease guarantees.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Investment in Retail Real Estate</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a substantial investment in real estate acquired for use as retail locations and occupied by Company-owned retail stores, including a site in Tampa, Florida acquired in 2022 with a planned opening late in fiscal 2023. Such real estate is included in property and equipment, net, in the accompanying condensed consolidated balance sheets and consists of eight properties with an aggregate square footage of 203,465 and a net book value of $20,905 at August 26, 2023.</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There have been no material changes to our critical accounting policies and estimates from the information provided in Item 7, “Management’s Discussion and Analysis of Financial Condition and Results of Operations”, included in our Annual Report on Form 10-K for the fiscal year ended November 26, 2022.</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We utilize stand-by letters of credit in the procurement of certain goods in the normal course of business. In addition, we have guaranteed certain lease obligations of licensee operators for some of their store locations. See Note 10 to our condensed consolidated financial statements for further discussion of lease guarantees, including descriptions of the terms of such commitments and methods used to mitigate risks associated with these arrangements.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Contingencies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are involved in various legal and environmental matters which arise in the normal course of business. Although the final outcome of these matters cannot be determined, based on the facts presently known, it is our opinion that the final resolution of these matters will not have a material adverse effect on our financial position or future results of operations. See Note 10 to our condensed consolidated financial statements for further information regarding certain contingencies as of August 26, 2023.</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 of 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4" w:name="page35"/>
    <w:bookmarkEnd w:id="34"/>
    <w:p>
      <w:pPr>
        <w:jc w:val="center"/>
        <w:ind w:right="20"/>
        <w:spacing w:after="0"/>
        <w:rPr>
          <w:sz w:val="20"/>
          <w:szCs w:val="20"/>
          <w:color w:val="auto"/>
        </w:rPr>
      </w:pPr>
      <w:r>
        <w:rPr>
          <w:rFonts w:ascii="Arial" w:cs="Arial" w:eastAsia="Arial" w:hAnsi="Arial"/>
          <w:sz w:val="18"/>
          <w:szCs w:val="18"/>
          <w:u w:val="single" w:color="auto"/>
          <w:color w:val="auto"/>
        </w:rPr>
        <w:t>PART I-FINANCIAL INFORMATION-CONTINUED</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8"/>
          <w:szCs w:val="18"/>
          <w:u w:val="single" w:color="auto"/>
          <w:color w:val="auto"/>
        </w:rPr>
        <w:t>BASSETT FURNITURE INDUSTRIES, INCORPORATED AND SUBSIDIARIES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u w:val="single" w:color="auto"/>
          <w:color w:val="auto"/>
        </w:rPr>
        <w:t>AUGUST 26, 2023</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u w:val="single" w:color="auto"/>
          <w:color w:val="auto"/>
        </w:rPr>
        <w:t>(Dollars in thousands except share and per share data)</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 about Market Risk:</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are exposed to market risk from changes in the value of foreign currencies. Substantially all of our imports purchased outside of North America are denominated in U.S. dollars. Therefore, we believe that gains or losses resulting from changes in the value of foreign currencies relating to foreign purchases not denominated in U.S. dollars would not be material to our results from operations in fiscal 2023. We are also exposed to foreign currency market risk through our investment in Noa Home. Our investment in Noa Home is subject to changes in the value of the Canadian dollar versus the U.S. dollar. Additionally, Noa Home is exposed to other local currency fluctuation risk through its operations in Australia, Singapore and the United Kingdom. The impact of currency fluctuations on our financial position and results of operations since the acquisition of Noa Home on September 2, 2022 has not been significant.</w:t>
      </w:r>
    </w:p>
    <w:p>
      <w:pPr>
        <w:spacing w:after="0" w:line="19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are exposed to market risk from changes in the cost and availability of raw materials used in our manufacturing processes, principally wood, woven fabric, and foam products. The cost of foam products, which are petroleum-based, is sensitive to changes in the price of oil.</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are also exposed to commodity price risk related to diesel fuel prices for fuel used in our retail segment for home delivery as well as through amounts we are charged for logistical services by our service providers. We manage our exposure to that risk primarily through the application of fuel surcharges to our customers.</w:t>
      </w:r>
    </w:p>
    <w:p>
      <w:pPr>
        <w:spacing w:after="0" w:line="184"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have potential exposure to market risk related to conditions in the commercial real estate market. Our retail real estate holdings of $20,905 at August 26, 2023 for Company-owned stores could suffer significant impairment in value if we are forced to close additional stores and sell or lease the related properties during periods of weakness in certain markets. Additionally, if we are required to assume responsibility for payment under the lease obligations of $1,906 which we have guaranteed on behalf of licensees as of August 26, 2023 we may not be able to secure sufficient sub-lease income in the current market to offset the payments required under the guarantees. We are also exposed to risk related to conditions in the commercial real estate rental market with respect to the right-of-use assets we carry on our balance sheet for leased retail store locations, manufacturing and warehouse facilities. At August 26, 2023, the unamortized balance of such right-of-use assets used in continuing operations totaled $89,617. Should we have to close or otherwise abandon one of these leased locations, we could incur additional impairment charges if rental market conditions do not support a fair value for the right of use asset in excess of its carrying value.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Company’s principal executive officer and principal financial officer have evaluated the Company’s disclosure controls and procedures (as defined in Exchange Act Rule 13a-15(e)) as of the end of the period covered by this Quarterly Report on Form 10-Q. Based upon their evaluation, the principal executive officer and principal financial officer concluded that the Company’s disclosure controls and procedures are effective. There has been no change in the Company’s internal control over financial reporting during the Company’s most recent fiscal quarter that has materially affected, or is reasonably likely to materially affect, the Company’s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 of 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5" w:name="page36"/>
    <w:bookmarkEnd w:id="35"/>
    <w:p>
      <w:pPr>
        <w:jc w:val="center"/>
        <w:spacing w:after="0"/>
        <w:rPr>
          <w:sz w:val="20"/>
          <w:szCs w:val="20"/>
          <w:color w:val="auto"/>
        </w:rPr>
      </w:pPr>
      <w:r>
        <w:rPr>
          <w:rFonts w:ascii="Arial" w:cs="Arial" w:eastAsia="Arial" w:hAnsi="Arial"/>
          <w:sz w:val="18"/>
          <w:szCs w:val="18"/>
          <w:u w:val="single" w:color="auto"/>
          <w:color w:val="auto"/>
        </w:rPr>
        <w:t>PART II - OTHER INFORMATION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BASSETT FURNITURE INDUSTRIES, INCORPORATED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AUGUST 26, 2023</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 except share and per share data)</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Use of Proceeds and Issuer Purchases of Equity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the stock repurchase activity by or on behalf of the Company or any “affiliated purchaser,” as defined by Rule 10b-18(a)</w:t>
      </w:r>
    </w:p>
    <w:p>
      <w:pPr>
        <w:spacing w:after="0" w:line="46" w:lineRule="exact"/>
        <w:rPr>
          <w:sz w:val="20"/>
          <w:szCs w:val="20"/>
          <w:color w:val="auto"/>
        </w:rPr>
      </w:pPr>
    </w:p>
    <w:p>
      <w:pPr>
        <w:ind w:firstLine="8"/>
        <w:spacing w:after="0" w:line="260" w:lineRule="auto"/>
        <w:tabs>
          <w:tab w:leader="none" w:pos="258" w:val="left"/>
        </w:tabs>
        <w:numPr>
          <w:ilvl w:val="0"/>
          <w:numId w:val="19"/>
        </w:numPr>
        <w:rPr>
          <w:rFonts w:ascii="Arial" w:cs="Arial" w:eastAsia="Arial" w:hAnsi="Arial"/>
          <w:sz w:val="18"/>
          <w:szCs w:val="18"/>
          <w:color w:val="auto"/>
        </w:rPr>
      </w:pPr>
      <w:r>
        <w:rPr>
          <w:rFonts w:ascii="Arial" w:cs="Arial" w:eastAsia="Arial" w:hAnsi="Arial"/>
          <w:sz w:val="18"/>
          <w:szCs w:val="18"/>
          <w:color w:val="auto"/>
        </w:rPr>
        <w:t>of the Exchange Act, for the three months ended August 26, 2023 and the approximate dollar value of shares that may yet be purchased pursuant to our stock repurchase program:</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5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Total Number of Shares</w:t>
            </w:r>
          </w:p>
        </w:tc>
        <w:tc>
          <w:tcPr>
            <w:tcW w:w="120" w:type="dxa"/>
            <w:vAlign w:val="bottom"/>
          </w:tcPr>
          <w:p>
            <w:pPr>
              <w:spacing w:after="0"/>
              <w:rPr>
                <w:sz w:val="18"/>
                <w:szCs w:val="18"/>
                <w:color w:val="auto"/>
              </w:rPr>
            </w:pPr>
          </w:p>
        </w:tc>
        <w:tc>
          <w:tcPr>
            <w:tcW w:w="222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2"/>
              </w:rPr>
              <w:t>Approximate Dollar Value</w:t>
            </w:r>
          </w:p>
        </w:tc>
      </w:tr>
      <w:tr>
        <w:trPr>
          <w:trHeight w:val="216"/>
        </w:trPr>
        <w:tc>
          <w:tcPr>
            <w:tcW w:w="35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Purchased as Part of</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2"/>
              </w:rPr>
              <w:t>of</w:t>
            </w:r>
          </w:p>
        </w:tc>
      </w:tr>
      <w:tr>
        <w:trPr>
          <w:trHeight w:val="216"/>
        </w:trPr>
        <w:tc>
          <w:tcPr>
            <w:tcW w:w="3500" w:type="dxa"/>
            <w:vAlign w:val="bottom"/>
          </w:tcPr>
          <w:p>
            <w:pPr>
              <w:spacing w:after="0"/>
              <w:rPr>
                <w:sz w:val="18"/>
                <w:szCs w:val="18"/>
                <w:color w:val="auto"/>
              </w:rPr>
            </w:pPr>
          </w:p>
        </w:tc>
        <w:tc>
          <w:tcPr>
            <w:tcW w:w="17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2"/>
              </w:rPr>
              <w:t>Total</w:t>
            </w: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Publicly Announced</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Shares that May Yet Be</w:t>
            </w:r>
          </w:p>
        </w:tc>
      </w:tr>
      <w:tr>
        <w:trPr>
          <w:trHeight w:val="216"/>
        </w:trPr>
        <w:tc>
          <w:tcPr>
            <w:tcW w:w="3500" w:type="dxa"/>
            <w:vAlign w:val="bottom"/>
          </w:tcPr>
          <w:p>
            <w:pPr>
              <w:spacing w:after="0"/>
              <w:rPr>
                <w:sz w:val="18"/>
                <w:szCs w:val="18"/>
                <w:color w:val="auto"/>
              </w:rPr>
            </w:pPr>
          </w:p>
        </w:tc>
        <w:tc>
          <w:tcPr>
            <w:tcW w:w="17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6"/>
              </w:rPr>
              <w:t>Shares</w:t>
            </w:r>
          </w:p>
        </w:tc>
        <w:tc>
          <w:tcPr>
            <w:tcW w:w="200" w:type="dxa"/>
            <w:vAlign w:val="bottom"/>
          </w:tcPr>
          <w:p>
            <w:pPr>
              <w:spacing w:after="0"/>
              <w:rPr>
                <w:sz w:val="18"/>
                <w:szCs w:val="18"/>
                <w:color w:val="auto"/>
              </w:rPr>
            </w:pPr>
          </w:p>
        </w:tc>
        <w:tc>
          <w:tcPr>
            <w:tcW w:w="148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87"/>
              </w:rPr>
              <w:t>Average</w:t>
            </w:r>
          </w:p>
        </w:tc>
        <w:tc>
          <w:tcPr>
            <w:tcW w:w="20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7"/>
              </w:rPr>
              <w:t>Plans</w:t>
            </w:r>
          </w:p>
        </w:tc>
        <w:tc>
          <w:tcPr>
            <w:tcW w:w="120" w:type="dxa"/>
            <w:vAlign w:val="bottom"/>
          </w:tcPr>
          <w:p>
            <w:pPr>
              <w:spacing w:after="0"/>
              <w:rPr>
                <w:sz w:val="18"/>
                <w:szCs w:val="18"/>
                <w:color w:val="auto"/>
              </w:rPr>
            </w:pPr>
          </w:p>
        </w:tc>
        <w:tc>
          <w:tcPr>
            <w:tcW w:w="222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9"/>
              </w:rPr>
              <w:t>Purchased Under the Plans</w:t>
            </w:r>
          </w:p>
        </w:tc>
      </w:tr>
      <w:tr>
        <w:trPr>
          <w:trHeight w:val="234"/>
        </w:trPr>
        <w:tc>
          <w:tcPr>
            <w:tcW w:w="3500" w:type="dxa"/>
            <w:vAlign w:val="bottom"/>
          </w:tcPr>
          <w:p>
            <w:pPr>
              <w:spacing w:after="0"/>
              <w:rPr>
                <w:sz w:val="20"/>
                <w:szCs w:val="20"/>
                <w:color w:val="auto"/>
              </w:rPr>
            </w:pPr>
          </w:p>
        </w:tc>
        <w:tc>
          <w:tcPr>
            <w:tcW w:w="17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6"/>
              </w:rPr>
              <w:t>Purchased</w:t>
            </w:r>
          </w:p>
        </w:tc>
        <w:tc>
          <w:tcPr>
            <w:tcW w:w="200" w:type="dxa"/>
            <w:vAlign w:val="bottom"/>
          </w:tcPr>
          <w:p>
            <w:pPr>
              <w:spacing w:after="0"/>
              <w:rPr>
                <w:sz w:val="20"/>
                <w:szCs w:val="20"/>
                <w:color w:val="auto"/>
              </w:rPr>
            </w:pPr>
          </w:p>
        </w:tc>
        <w:tc>
          <w:tcPr>
            <w:tcW w:w="148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89"/>
              </w:rPr>
              <w:t>Price Paid</w:t>
            </w:r>
          </w:p>
        </w:tc>
        <w:tc>
          <w:tcPr>
            <w:tcW w:w="20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or Programs (1)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1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or Programs (1)</w:t>
            </w:r>
          </w:p>
        </w:tc>
      </w:tr>
      <w:tr>
        <w:trPr>
          <w:trHeight w:val="210"/>
        </w:trPr>
        <w:tc>
          <w:tcPr>
            <w:tcW w:w="3500" w:type="dxa"/>
            <w:vAlign w:val="bottom"/>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2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May 28, 2023 - July 1, 2023</w:t>
            </w:r>
          </w:p>
        </w:tc>
        <w:tc>
          <w:tcPr>
            <w:tcW w:w="17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24,100</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14.29</w:t>
            </w:r>
          </w:p>
        </w:tc>
        <w:tc>
          <w:tcPr>
            <w:tcW w:w="2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24,100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22,205</w:t>
            </w:r>
          </w:p>
        </w:tc>
      </w:tr>
      <w:tr>
        <w:trPr>
          <w:trHeight w:val="216"/>
        </w:trPr>
        <w:tc>
          <w:tcPr>
            <w:tcW w:w="3500" w:type="dxa"/>
            <w:vAlign w:val="bottom"/>
          </w:tcPr>
          <w:p>
            <w:pPr>
              <w:spacing w:after="0"/>
              <w:rPr>
                <w:sz w:val="20"/>
                <w:szCs w:val="20"/>
                <w:color w:val="auto"/>
              </w:rPr>
            </w:pPr>
            <w:r>
              <w:rPr>
                <w:rFonts w:ascii="Arial" w:cs="Arial" w:eastAsia="Arial" w:hAnsi="Arial"/>
                <w:sz w:val="18"/>
                <w:szCs w:val="18"/>
                <w:color w:val="auto"/>
              </w:rPr>
              <w:t>July 2, 2023 - July 29, 2023</w:t>
            </w:r>
          </w:p>
        </w:tc>
        <w:tc>
          <w:tcPr>
            <w:tcW w:w="1720" w:type="dxa"/>
            <w:vAlign w:val="bottom"/>
            <w:gridSpan w:val="2"/>
          </w:tcPr>
          <w:p>
            <w:pPr>
              <w:jc w:val="right"/>
              <w:ind w:right="240"/>
              <w:spacing w:after="0"/>
              <w:rPr>
                <w:sz w:val="20"/>
                <w:szCs w:val="20"/>
                <w:color w:val="auto"/>
              </w:rPr>
            </w:pPr>
            <w:r>
              <w:rPr>
                <w:rFonts w:ascii="Arial" w:cs="Arial" w:eastAsia="Arial" w:hAnsi="Arial"/>
                <w:sz w:val="18"/>
                <w:szCs w:val="18"/>
                <w:color w:val="auto"/>
              </w:rPr>
              <w:t>16,043</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16.37</w:t>
            </w:r>
          </w:p>
        </w:tc>
        <w:tc>
          <w:tcPr>
            <w:tcW w:w="2000" w:type="dxa"/>
            <w:vAlign w:val="bottom"/>
            <w:gridSpan w:val="2"/>
          </w:tcPr>
          <w:p>
            <w:pPr>
              <w:jc w:val="right"/>
              <w:ind w:right="100"/>
              <w:spacing w:after="0"/>
              <w:rPr>
                <w:sz w:val="20"/>
                <w:szCs w:val="20"/>
                <w:color w:val="auto"/>
              </w:rPr>
            </w:pPr>
            <w:r>
              <w:rPr>
                <w:rFonts w:ascii="Arial" w:cs="Arial" w:eastAsia="Arial" w:hAnsi="Arial"/>
                <w:sz w:val="18"/>
                <w:szCs w:val="18"/>
                <w:color w:val="auto"/>
              </w:rPr>
              <w:t>16,043</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100" w:type="dxa"/>
            <w:vAlign w:val="bottom"/>
            <w:gridSpan w:val="2"/>
          </w:tcPr>
          <w:p>
            <w:pPr>
              <w:jc w:val="right"/>
              <w:ind w:right="100"/>
              <w:spacing w:after="0"/>
              <w:rPr>
                <w:sz w:val="20"/>
                <w:szCs w:val="20"/>
                <w:color w:val="auto"/>
              </w:rPr>
            </w:pPr>
            <w:r>
              <w:rPr>
                <w:rFonts w:ascii="Arial" w:cs="Arial" w:eastAsia="Arial" w:hAnsi="Arial"/>
                <w:sz w:val="18"/>
                <w:szCs w:val="18"/>
                <w:color w:val="auto"/>
              </w:rPr>
              <w:t>21,943</w:t>
            </w:r>
          </w:p>
        </w:tc>
      </w:tr>
      <w:tr>
        <w:trPr>
          <w:trHeight w:val="216"/>
        </w:trPr>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July 30, 2023 - August 26, 2023</w:t>
            </w:r>
          </w:p>
        </w:tc>
        <w:tc>
          <w:tcPr>
            <w:tcW w:w="17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21,943</w:t>
            </w:r>
          </w:p>
        </w:tc>
      </w:tr>
    </w:tbl>
    <w:p>
      <w:pPr>
        <w:spacing w:after="0" w:line="202" w:lineRule="exact"/>
        <w:rPr>
          <w:sz w:val="20"/>
          <w:szCs w:val="20"/>
          <w:color w:val="auto"/>
        </w:rPr>
      </w:pPr>
    </w:p>
    <w:p>
      <w:pPr>
        <w:jc w:val="both"/>
        <w:ind w:left="260" w:hanging="252"/>
        <w:spacing w:after="0" w:line="263" w:lineRule="auto"/>
        <w:tabs>
          <w:tab w:leader="none" w:pos="284"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Company is authorized to repurchase Company stock under a plan which was originally announced in 1998. On March 9, 2022, the Board of Directors increased the remaining limit of the repurchase plan to $40,000. At August 26, 2023, $21,943 remained available for share repurchases under the plan.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 Exhibits:</w:t>
      </w:r>
    </w:p>
    <w:p>
      <w:pPr>
        <w:spacing w:after="0" w:line="225" w:lineRule="exact"/>
        <w:rPr>
          <w:sz w:val="20"/>
          <w:szCs w:val="20"/>
          <w:color w:val="auto"/>
        </w:rPr>
      </w:pPr>
    </w:p>
    <w:p>
      <w:pPr>
        <w:ind w:left="340"/>
        <w:spacing w:after="0" w:line="277" w:lineRule="auto"/>
        <w:rPr>
          <w:sz w:val="20"/>
          <w:szCs w:val="20"/>
          <w:color w:val="auto"/>
        </w:rPr>
      </w:pPr>
      <w:r>
        <w:rPr>
          <w:rFonts w:ascii="Arial" w:cs="Arial" w:eastAsia="Arial" w:hAnsi="Arial"/>
          <w:sz w:val="18"/>
          <w:szCs w:val="18"/>
          <w:color w:val="auto"/>
        </w:rPr>
        <w:t>Exhibit 3a – Articles of Incorporation as amended to date are incorporated herein by reference to the Exhibit to Form 10-Q for the fiscal quarter ended February 28, 1994.</w:t>
      </w:r>
    </w:p>
    <w:p>
      <w:pPr>
        <w:spacing w:after="0" w:line="170" w:lineRule="exact"/>
        <w:rPr>
          <w:sz w:val="20"/>
          <w:szCs w:val="20"/>
          <w:color w:val="auto"/>
        </w:rPr>
      </w:pPr>
    </w:p>
    <w:p>
      <w:pPr>
        <w:ind w:left="340"/>
        <w:spacing w:after="0"/>
        <w:rPr>
          <w:rFonts w:ascii="Arial" w:cs="Arial" w:eastAsia="Arial" w:hAnsi="Arial"/>
          <w:sz w:val="16"/>
          <w:szCs w:val="16"/>
          <w:color w:val="auto"/>
        </w:rPr>
      </w:pPr>
      <w:r>
        <w:rPr>
          <w:rFonts w:ascii="Arial" w:cs="Arial" w:eastAsia="Arial" w:hAnsi="Arial"/>
          <w:sz w:val="16"/>
          <w:szCs w:val="16"/>
          <w:color w:val="auto"/>
        </w:rPr>
        <w:t xml:space="preserve">Exhibit 3b – </w:t>
      </w:r>
      <w:hyperlink r:id="rId61">
        <w:r>
          <w:rPr>
            <w:rFonts w:ascii="Arial" w:cs="Arial" w:eastAsia="Arial" w:hAnsi="Arial"/>
            <w:sz w:val="16"/>
            <w:szCs w:val="16"/>
            <w:u w:val="single" w:color="auto"/>
            <w:color w:val="0000EE"/>
          </w:rPr>
          <w:t>By-laws as amended to date are incorporated herein by reference to Exhibit 3.1 to Form 8-K filed with the SEC on November 23, 2022.</w:t>
        </w:r>
      </w:hyperlink>
    </w:p>
    <w:p>
      <w:pPr>
        <w:spacing w:after="0" w:line="248" w:lineRule="exact"/>
        <w:rPr>
          <w:sz w:val="20"/>
          <w:szCs w:val="20"/>
          <w:color w:val="auto"/>
        </w:rPr>
      </w:pPr>
    </w:p>
    <w:p>
      <w:pPr>
        <w:ind w:left="340"/>
        <w:spacing w:after="0" w:line="277" w:lineRule="auto"/>
        <w:rPr>
          <w:sz w:val="20"/>
          <w:szCs w:val="20"/>
          <w:color w:val="auto"/>
        </w:rPr>
      </w:pPr>
      <w:r>
        <w:rPr>
          <w:rFonts w:ascii="Arial" w:cs="Arial" w:eastAsia="Arial" w:hAnsi="Arial"/>
          <w:sz w:val="18"/>
          <w:szCs w:val="18"/>
          <w:color w:val="auto"/>
        </w:rPr>
        <w:t>Exhibit 4 – Registrant hereby agrees to furnish the SEC, upon request, other instruments defining the rights of holders of long-term debt of the Registrant.</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Exhibit 31a – </w:t>
      </w:r>
      <w:r>
        <w:rPr>
          <w:rFonts w:ascii="Arial" w:cs="Arial" w:eastAsia="Arial" w:hAnsi="Arial"/>
          <w:sz w:val="18"/>
          <w:szCs w:val="18"/>
          <w:u w:val="single" w:color="auto"/>
          <w:color w:val="0000EE"/>
        </w:rPr>
        <w:t>Chief Executive Officer’s certification pursuant to Section 302 of the Sarbanes-Oxley Act of 2002</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Exhibit 31b – </w:t>
      </w:r>
      <w:r>
        <w:rPr>
          <w:rFonts w:ascii="Arial" w:cs="Arial" w:eastAsia="Arial" w:hAnsi="Arial"/>
          <w:sz w:val="18"/>
          <w:szCs w:val="18"/>
          <w:u w:val="single" w:color="auto"/>
          <w:color w:val="0000EE"/>
        </w:rPr>
        <w:t>Chief Financial Officer’s certification pursuant to Section 302 of the Sarbanes-Oxley Act of 2002</w:t>
      </w:r>
    </w:p>
    <w:p>
      <w:pPr>
        <w:spacing w:after="0" w:line="225" w:lineRule="exact"/>
        <w:rPr>
          <w:sz w:val="20"/>
          <w:szCs w:val="20"/>
          <w:color w:val="auto"/>
        </w:rPr>
      </w:pPr>
    </w:p>
    <w:p>
      <w:pPr>
        <w:ind w:left="340" w:right="20"/>
        <w:spacing w:after="0" w:line="277" w:lineRule="auto"/>
        <w:rPr>
          <w:sz w:val="20"/>
          <w:szCs w:val="20"/>
          <w:color w:val="auto"/>
        </w:rPr>
      </w:pPr>
      <w:r>
        <w:rPr>
          <w:rFonts w:ascii="Arial" w:cs="Arial" w:eastAsia="Arial" w:hAnsi="Arial"/>
          <w:sz w:val="18"/>
          <w:szCs w:val="18"/>
          <w:color w:val="auto"/>
        </w:rPr>
        <w:t xml:space="preserve">Exhibit 32a – </w:t>
      </w:r>
      <w:r>
        <w:rPr>
          <w:rFonts w:ascii="Arial" w:cs="Arial" w:eastAsia="Arial" w:hAnsi="Arial"/>
          <w:sz w:val="18"/>
          <w:szCs w:val="18"/>
          <w:u w:val="single" w:color="auto"/>
          <w:color w:val="0000EE"/>
        </w:rPr>
        <w:t>Chief Executive Officer’s certification pursuant to 18 U.S.C. 1350, as adopted pursuant to Section 906 of the Sarbanes-Oxley Act of</w:t>
      </w:r>
      <w:r>
        <w:rPr>
          <w:rFonts w:ascii="Arial" w:cs="Arial" w:eastAsia="Arial" w:hAnsi="Arial"/>
          <w:sz w:val="18"/>
          <w:szCs w:val="18"/>
          <w:color w:val="auto"/>
        </w:rPr>
        <w:t xml:space="preserve"> </w:t>
      </w:r>
      <w:r>
        <w:rPr>
          <w:rFonts w:ascii="Arial" w:cs="Arial" w:eastAsia="Arial" w:hAnsi="Arial"/>
          <w:sz w:val="18"/>
          <w:szCs w:val="18"/>
          <w:u w:val="single" w:color="auto"/>
          <w:color w:val="0000EE"/>
        </w:rPr>
        <w:t>2002</w:t>
      </w:r>
    </w:p>
    <w:p>
      <w:pPr>
        <w:spacing w:after="0" w:line="170" w:lineRule="exact"/>
        <w:rPr>
          <w:sz w:val="20"/>
          <w:szCs w:val="20"/>
          <w:color w:val="auto"/>
        </w:rPr>
      </w:pPr>
    </w:p>
    <w:p>
      <w:pPr>
        <w:ind w:left="340"/>
        <w:spacing w:after="0" w:line="277" w:lineRule="auto"/>
        <w:rPr>
          <w:sz w:val="20"/>
          <w:szCs w:val="20"/>
          <w:color w:val="auto"/>
        </w:rPr>
      </w:pPr>
      <w:r>
        <w:rPr>
          <w:rFonts w:ascii="Arial" w:cs="Arial" w:eastAsia="Arial" w:hAnsi="Arial"/>
          <w:sz w:val="18"/>
          <w:szCs w:val="18"/>
          <w:color w:val="auto"/>
        </w:rPr>
        <w:t xml:space="preserve">Exhibit 32b – </w:t>
      </w:r>
      <w:r>
        <w:rPr>
          <w:rFonts w:ascii="Arial" w:cs="Arial" w:eastAsia="Arial" w:hAnsi="Arial"/>
          <w:sz w:val="18"/>
          <w:szCs w:val="18"/>
          <w:u w:val="single" w:color="auto"/>
          <w:color w:val="0000EE"/>
        </w:rPr>
        <w:t>Chief Financial Officer’s certification pursuant to 18 U.S.C. 1350, as adopted pursuant to Section 906 of the Sarbanes-Oxley Act of</w:t>
      </w:r>
      <w:r>
        <w:rPr>
          <w:rFonts w:ascii="Arial" w:cs="Arial" w:eastAsia="Arial" w:hAnsi="Arial"/>
          <w:sz w:val="18"/>
          <w:szCs w:val="18"/>
          <w:color w:val="auto"/>
        </w:rPr>
        <w:t xml:space="preserve"> </w:t>
      </w:r>
      <w:r>
        <w:rPr>
          <w:rFonts w:ascii="Arial" w:cs="Arial" w:eastAsia="Arial" w:hAnsi="Arial"/>
          <w:sz w:val="18"/>
          <w:szCs w:val="18"/>
          <w:u w:val="single" w:color="auto"/>
          <w:color w:val="0000EE"/>
        </w:rPr>
        <w:t>2002</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 of 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6" w:name="page37"/>
    <w:bookmarkEnd w:id="36"/>
    <w:p>
      <w:pPr>
        <w:jc w:val="center"/>
        <w:ind w:right="-760"/>
        <w:spacing w:after="0"/>
        <w:rPr>
          <w:sz w:val="20"/>
          <w:szCs w:val="20"/>
          <w:color w:val="auto"/>
        </w:rPr>
      </w:pPr>
      <w:r>
        <w:rPr>
          <w:rFonts w:ascii="Arial" w:cs="Arial" w:eastAsia="Arial" w:hAnsi="Arial"/>
          <w:sz w:val="18"/>
          <w:szCs w:val="18"/>
          <w:u w:val="single" w:color="auto"/>
          <w:color w:val="auto"/>
        </w:rPr>
        <w:t>PART II - OTHER INFORMATION</w:t>
      </w:r>
    </w:p>
    <w:p>
      <w:pPr>
        <w:spacing w:after="0" w:line="23" w:lineRule="exact"/>
        <w:rPr>
          <w:sz w:val="20"/>
          <w:szCs w:val="20"/>
          <w:color w:val="auto"/>
        </w:rPr>
      </w:pPr>
    </w:p>
    <w:p>
      <w:pPr>
        <w:jc w:val="center"/>
        <w:ind w:right="-760"/>
        <w:spacing w:after="0"/>
        <w:rPr>
          <w:sz w:val="20"/>
          <w:szCs w:val="20"/>
          <w:color w:val="auto"/>
        </w:rPr>
      </w:pPr>
      <w:r>
        <w:rPr>
          <w:rFonts w:ascii="Arial" w:cs="Arial" w:eastAsia="Arial" w:hAnsi="Arial"/>
          <w:sz w:val="17"/>
          <w:szCs w:val="17"/>
          <w:u w:val="single" w:color="auto"/>
          <w:color w:val="auto"/>
        </w:rPr>
        <w:t>BASSETT FURNITURE INDUSTRIES, INCORPORATED AND SUBSIDIARIES</w:t>
      </w:r>
    </w:p>
    <w:p>
      <w:pPr>
        <w:spacing w:after="0" w:line="21" w:lineRule="exact"/>
        <w:rPr>
          <w:sz w:val="20"/>
          <w:szCs w:val="20"/>
          <w:color w:val="auto"/>
        </w:rPr>
      </w:pPr>
    </w:p>
    <w:p>
      <w:pPr>
        <w:jc w:val="center"/>
        <w:ind w:right="-760"/>
        <w:spacing w:after="0"/>
        <w:rPr>
          <w:sz w:val="20"/>
          <w:szCs w:val="20"/>
          <w:color w:val="auto"/>
        </w:rPr>
      </w:pPr>
      <w:r>
        <w:rPr>
          <w:rFonts w:ascii="Arial" w:cs="Arial" w:eastAsia="Arial" w:hAnsi="Arial"/>
          <w:sz w:val="18"/>
          <w:szCs w:val="18"/>
          <w:u w:val="single" w:color="auto"/>
          <w:color w:val="auto"/>
        </w:rPr>
        <w:t>AUGUST 26, 2023</w:t>
      </w:r>
    </w:p>
    <w:p>
      <w:pPr>
        <w:spacing w:after="0" w:line="9" w:lineRule="exact"/>
        <w:rPr>
          <w:sz w:val="20"/>
          <w:szCs w:val="20"/>
          <w:color w:val="auto"/>
        </w:rPr>
      </w:pPr>
    </w:p>
    <w:p>
      <w:pPr>
        <w:jc w:val="center"/>
        <w:ind w:right="-760"/>
        <w:spacing w:after="0"/>
        <w:rPr>
          <w:sz w:val="20"/>
          <w:szCs w:val="20"/>
          <w:color w:val="auto"/>
        </w:rPr>
      </w:pPr>
      <w:r>
        <w:rPr>
          <w:rFonts w:ascii="Arial" w:cs="Arial" w:eastAsia="Arial" w:hAnsi="Arial"/>
          <w:sz w:val="18"/>
          <w:szCs w:val="18"/>
          <w:color w:val="auto"/>
        </w:rPr>
        <w:t>(Dollars in thousands except share and per share data)</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color w:val="auto"/>
        </w:rPr>
        <w:t>Exhibit 101.INS Inline XBRL Instance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Exhibit 101.SCH Inline XBRL Taxonomy Extension Schema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Exhibit 101.CAL Inline XBRL Taxonomy Extension Calculation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Exhibit 101.DEF Inline XBRL Taxonomy Extension Definition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Exhibit 101.LAB Inline XBRL Taxonomy Extension Labels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Exhibit 101.PRE Inline XBRL Taxonomy Extension Presentation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Exhibit 104. Cover Page Interactive Data File (formatted as Inline XBRL and contained in Exhibit 101).</w:t>
      </w:r>
    </w:p>
    <w:p>
      <w:pPr>
        <w:spacing w:after="0" w:line="200" w:lineRule="exact"/>
        <w:rPr>
          <w:sz w:val="20"/>
          <w:szCs w:val="20"/>
          <w:color w:val="auto"/>
        </w:rPr>
      </w:pPr>
    </w:p>
    <w:p>
      <w:pPr>
        <w:spacing w:after="0" w:line="268"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37 of 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83185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799"/>
          </w:cols>
          <w:pgMar w:left="660" w:top="125" w:right="1440" w:bottom="1440" w:gutter="0" w:footer="0" w:header="0"/>
        </w:sectPr>
      </w:pPr>
    </w:p>
    <w:bookmarkStart w:id="37" w:name="page38"/>
    <w:bookmarkEnd w:id="37"/>
    <w:p>
      <w:pPr>
        <w:jc w:val="center"/>
        <w:spacing w:after="0"/>
        <w:rPr>
          <w:sz w:val="20"/>
          <w:szCs w:val="20"/>
          <w:color w:val="auto"/>
        </w:rPr>
      </w:pPr>
      <w:r>
        <w:rPr>
          <w:rFonts w:ascii="Arial" w:cs="Arial" w:eastAsia="Arial" w:hAnsi="Arial"/>
          <w:sz w:val="18"/>
          <w:szCs w:val="18"/>
          <w:u w:val="single" w:color="auto"/>
          <w:color w:val="auto"/>
        </w:rPr>
        <w:t>SIGNATURES</w:t>
      </w:r>
    </w:p>
    <w:p>
      <w:pPr>
        <w:spacing w:after="0" w:line="200" w:lineRule="exact"/>
        <w:rPr>
          <w:sz w:val="20"/>
          <w:szCs w:val="20"/>
          <w:color w:val="auto"/>
        </w:rPr>
      </w:pPr>
    </w:p>
    <w:p>
      <w:pPr>
        <w:spacing w:after="0" w:line="24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BASSETT FURNITURE INDUSTRIES, INCORPORATED</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8"/>
          <w:szCs w:val="18"/>
          <w:color w:val="auto"/>
        </w:rPr>
        <w:t>R</w:t>
      </w:r>
      <w:r>
        <w:rPr>
          <w:rFonts w:ascii="Arial" w:cs="Arial" w:eastAsia="Arial" w:hAnsi="Arial"/>
          <w:sz w:val="12"/>
          <w:szCs w:val="12"/>
          <w:color w:val="auto"/>
        </w:rPr>
        <w:t>obert</w:t>
      </w:r>
      <w:r>
        <w:rPr>
          <w:rFonts w:ascii="Arial" w:cs="Arial" w:eastAsia="Arial" w:hAnsi="Arial"/>
          <w:sz w:val="18"/>
          <w:szCs w:val="18"/>
          <w:color w:val="auto"/>
        </w:rPr>
        <w:t xml:space="preserve"> H. S</w:t>
      </w:r>
      <w:r>
        <w:rPr>
          <w:rFonts w:ascii="Arial" w:cs="Arial" w:eastAsia="Arial" w:hAnsi="Arial"/>
          <w:sz w:val="12"/>
          <w:szCs w:val="12"/>
          <w:color w:val="auto"/>
        </w:rPr>
        <w:t>pilman</w:t>
      </w:r>
      <w:r>
        <w:rPr>
          <w:rFonts w:ascii="Arial" w:cs="Arial" w:eastAsia="Arial" w:hAnsi="Arial"/>
          <w:sz w:val="18"/>
          <w:szCs w:val="18"/>
          <w:color w:val="auto"/>
        </w:rPr>
        <w:t>, J</w:t>
      </w:r>
      <w:r>
        <w:rPr>
          <w:rFonts w:ascii="Arial" w:cs="Arial" w:eastAsia="Arial" w:hAnsi="Arial"/>
          <w:sz w:val="12"/>
          <w:szCs w:val="12"/>
          <w:color w:val="auto"/>
        </w:rPr>
        <w:t>r</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14605</wp:posOffset>
            </wp:positionV>
            <wp:extent cx="165417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4">
                      <a:extLst>
                        <a:ext uri="{28A0092B-C50C-407E-A947-70E740481C1C}"/>
                      </a:extLst>
                    </a:blip>
                    <a:srcRect/>
                    <a:stretch>
                      <a:fillRect/>
                    </a:stretch>
                  </pic:blipFill>
                  <pic:spPr bwMode="auto">
                    <a:xfrm>
                      <a:off x="0" y="0"/>
                      <a:ext cx="16541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Robert H. Spilman, Jr., Chairman and Chief Executive Officer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September 28,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8"/>
          <w:szCs w:val="18"/>
          <w:color w:val="auto"/>
        </w:rPr>
        <w:t>J. M</w:t>
      </w:r>
      <w:r>
        <w:rPr>
          <w:rFonts w:ascii="Arial" w:cs="Arial" w:eastAsia="Arial" w:hAnsi="Arial"/>
          <w:sz w:val="12"/>
          <w:szCs w:val="12"/>
          <w:color w:val="auto"/>
        </w:rPr>
        <w:t>ichael</w:t>
      </w:r>
      <w:r>
        <w:rPr>
          <w:rFonts w:ascii="Arial" w:cs="Arial" w:eastAsia="Arial" w:hAnsi="Arial"/>
          <w:sz w:val="18"/>
          <w:szCs w:val="18"/>
          <w:color w:val="auto"/>
        </w:rPr>
        <w:t xml:space="preserve"> D</w:t>
      </w:r>
      <w:r>
        <w:rPr>
          <w:rFonts w:ascii="Arial" w:cs="Arial" w:eastAsia="Arial" w:hAnsi="Arial"/>
          <w:sz w:val="12"/>
          <w:szCs w:val="12"/>
          <w:color w:val="auto"/>
        </w:rPr>
        <w:t>aniel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14605</wp:posOffset>
            </wp:positionV>
            <wp:extent cx="165417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5">
                      <a:extLst>
                        <a:ext uri="{28A0092B-C50C-407E-A947-70E740481C1C}"/>
                      </a:extLst>
                    </a:blip>
                    <a:srcRect/>
                    <a:stretch>
                      <a:fillRect/>
                    </a:stretch>
                  </pic:blipFill>
                  <pic:spPr bwMode="auto">
                    <a:xfrm>
                      <a:off x="0" y="0"/>
                      <a:ext cx="1654175"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J. Michael Daniel, Senior Vice President and Chief Financial Officer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September 28, 2023</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 of 38</w:t>
      </w:r>
    </w:p>
    <w:p>
      <w:pPr>
        <w:sectPr>
          <w:pgSz w:w="11900" w:h="16838" w:orient="portrait"/>
          <w:cols w:equalWidth="0" w:num="1">
            <w:col w:w="11240"/>
          </w:cols>
          <w:pgMar w:left="320" w:top="584" w:right="339" w:bottom="1440" w:gutter="0" w:footer="0" w:header="0"/>
        </w:sectPr>
      </w:pPr>
    </w:p>
    <w:bookmarkStart w:id="38" w:name="page39"/>
    <w:bookmarkEnd w:id="38"/>
    <w:p>
      <w:pPr>
        <w:jc w:val="right"/>
        <w:spacing w:after="0"/>
        <w:rPr>
          <w:sz w:val="20"/>
          <w:szCs w:val="20"/>
          <w:color w:val="auto"/>
        </w:rPr>
      </w:pPr>
      <w:r>
        <w:rPr>
          <w:rFonts w:ascii="Arial" w:cs="Arial" w:eastAsia="Arial" w:hAnsi="Arial"/>
          <w:sz w:val="18"/>
          <w:szCs w:val="18"/>
          <w:color w:val="auto"/>
        </w:rPr>
        <w:t>Exhibit 31a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Robert H. Spilman, Jr., certify that:</w:t>
      </w:r>
    </w:p>
    <w:p>
      <w:pPr>
        <w:spacing w:after="0" w:line="225" w:lineRule="exact"/>
        <w:rPr>
          <w:sz w:val="20"/>
          <w:szCs w:val="20"/>
          <w:color w:val="auto"/>
        </w:rPr>
      </w:pPr>
    </w:p>
    <w:p>
      <w:pPr>
        <w:ind w:left="340" w:hanging="332"/>
        <w:spacing w:after="0"/>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Bassett Furniture Industries, Incorporated;</w:t>
      </w:r>
    </w:p>
    <w:p>
      <w:pPr>
        <w:spacing w:after="0" w:line="225"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1"/>
          <w:numId w:val="2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1"/>
          <w:numId w:val="2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660" w:hanging="328"/>
        <w:spacing w:after="0" w:line="308" w:lineRule="auto"/>
        <w:tabs>
          <w:tab w:leader="none" w:pos="660" w:val="left"/>
        </w:tabs>
        <w:numPr>
          <w:ilvl w:val="1"/>
          <w:numId w:val="21"/>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660" w:hanging="328"/>
        <w:spacing w:after="0" w:line="263" w:lineRule="auto"/>
        <w:tabs>
          <w:tab w:leader="none" w:pos="660" w:val="left"/>
        </w:tabs>
        <w:numPr>
          <w:ilvl w:val="1"/>
          <w:numId w:val="2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340" w:hanging="332"/>
        <w:spacing w:after="0" w:line="308" w:lineRule="auto"/>
        <w:tabs>
          <w:tab w:leader="none" w:pos="34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660" w:hanging="328"/>
        <w:spacing w:after="0" w:line="277" w:lineRule="auto"/>
        <w:tabs>
          <w:tab w:leader="none" w:pos="660" w:val="left"/>
        </w:tabs>
        <w:numPr>
          <w:ilvl w:val="1"/>
          <w:numId w:val="2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1"/>
          <w:numId w:val="2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September 28, 2023</w:t>
      </w:r>
    </w:p>
    <w:p>
      <w:pPr>
        <w:spacing w:after="0" w:line="200" w:lineRule="exact"/>
        <w:rPr>
          <w:sz w:val="20"/>
          <w:szCs w:val="20"/>
          <w:color w:val="auto"/>
        </w:rPr>
      </w:pPr>
    </w:p>
    <w:p>
      <w:pPr>
        <w:spacing w:after="0" w:line="241"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8"/>
          <w:szCs w:val="18"/>
          <w:color w:val="auto"/>
        </w:rPr>
        <w:t>R</w:t>
      </w:r>
      <w:r>
        <w:rPr>
          <w:rFonts w:ascii="Arial" w:cs="Arial" w:eastAsia="Arial" w:hAnsi="Arial"/>
          <w:sz w:val="12"/>
          <w:szCs w:val="12"/>
          <w:color w:val="auto"/>
        </w:rPr>
        <w:t>obert</w:t>
      </w:r>
      <w:r>
        <w:rPr>
          <w:rFonts w:ascii="Arial" w:cs="Arial" w:eastAsia="Arial" w:hAnsi="Arial"/>
          <w:sz w:val="18"/>
          <w:szCs w:val="18"/>
          <w:color w:val="auto"/>
        </w:rPr>
        <w:t xml:space="preserve"> H. S</w:t>
      </w:r>
      <w:r>
        <w:rPr>
          <w:rFonts w:ascii="Arial" w:cs="Arial" w:eastAsia="Arial" w:hAnsi="Arial"/>
          <w:sz w:val="12"/>
          <w:szCs w:val="12"/>
          <w:color w:val="auto"/>
        </w:rPr>
        <w:t>pilman</w:t>
      </w:r>
      <w:r>
        <w:rPr>
          <w:rFonts w:ascii="Arial" w:cs="Arial" w:eastAsia="Arial" w:hAnsi="Arial"/>
          <w:sz w:val="18"/>
          <w:szCs w:val="18"/>
          <w:color w:val="auto"/>
        </w:rPr>
        <w:t>, J</w:t>
      </w:r>
      <w:r>
        <w:rPr>
          <w:rFonts w:ascii="Arial" w:cs="Arial" w:eastAsia="Arial" w:hAnsi="Arial"/>
          <w:sz w:val="12"/>
          <w:szCs w:val="12"/>
          <w:color w:val="auto"/>
        </w:rPr>
        <w:t>r</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14605</wp:posOffset>
            </wp:positionV>
            <wp:extent cx="165417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6">
                      <a:extLst>
                        <a:ext uri="{28A0092B-C50C-407E-A947-70E740481C1C}"/>
                      </a:extLst>
                    </a:blip>
                    <a:srcRect/>
                    <a:stretch>
                      <a:fillRect/>
                    </a:stretch>
                  </pic:blipFill>
                  <pic:spPr bwMode="auto">
                    <a:xfrm>
                      <a:off x="0" y="0"/>
                      <a:ext cx="1654175"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Robert H. Spilman, Jr., Chairman and Chief Executive Officer</w:t>
      </w:r>
    </w:p>
    <w:p>
      <w:pPr>
        <w:sectPr>
          <w:pgSz w:w="11900" w:h="16838" w:orient="portrait"/>
          <w:cols w:equalWidth="0" w:num="1">
            <w:col w:w="11240"/>
          </w:cols>
          <w:pgMar w:left="320" w:top="341" w:right="339" w:bottom="1440" w:gutter="0" w:footer="0" w:header="0"/>
        </w:sectPr>
      </w:pPr>
    </w:p>
    <w:bookmarkStart w:id="39" w:name="page40"/>
    <w:bookmarkEnd w:id="39"/>
    <w:p>
      <w:pPr>
        <w:jc w:val="right"/>
        <w:spacing w:after="0"/>
        <w:rPr>
          <w:sz w:val="20"/>
          <w:szCs w:val="20"/>
          <w:color w:val="auto"/>
        </w:rPr>
      </w:pPr>
      <w:r>
        <w:rPr>
          <w:rFonts w:ascii="Arial" w:cs="Arial" w:eastAsia="Arial" w:hAnsi="Arial"/>
          <w:sz w:val="18"/>
          <w:szCs w:val="18"/>
          <w:color w:val="auto"/>
        </w:rPr>
        <w:t>Exhibit 31b</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J. Michael Daniel, certify that:</w:t>
      </w:r>
    </w:p>
    <w:p>
      <w:pPr>
        <w:spacing w:after="0" w:line="225" w:lineRule="exact"/>
        <w:rPr>
          <w:sz w:val="20"/>
          <w:szCs w:val="20"/>
          <w:color w:val="auto"/>
        </w:rPr>
      </w:pPr>
    </w:p>
    <w:p>
      <w:pPr>
        <w:ind w:left="340" w:hanging="332"/>
        <w:spacing w:after="0"/>
        <w:tabs>
          <w:tab w:leader="none" w:pos="3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Bassett Furniture Industries, Incorporated;</w:t>
      </w:r>
    </w:p>
    <w:p>
      <w:pPr>
        <w:spacing w:after="0" w:line="225"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1"/>
          <w:numId w:val="2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1"/>
          <w:numId w:val="2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660" w:hanging="328"/>
        <w:spacing w:after="0" w:line="308" w:lineRule="auto"/>
        <w:tabs>
          <w:tab w:leader="none" w:pos="660" w:val="left"/>
        </w:tabs>
        <w:numPr>
          <w:ilvl w:val="1"/>
          <w:numId w:val="22"/>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660" w:hanging="328"/>
        <w:spacing w:after="0" w:line="263" w:lineRule="auto"/>
        <w:tabs>
          <w:tab w:leader="none" w:pos="660" w:val="left"/>
        </w:tabs>
        <w:numPr>
          <w:ilvl w:val="1"/>
          <w:numId w:val="2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340" w:hanging="332"/>
        <w:spacing w:after="0" w:line="308" w:lineRule="auto"/>
        <w:tabs>
          <w:tab w:leader="none" w:pos="34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660" w:hanging="328"/>
        <w:spacing w:after="0" w:line="277" w:lineRule="auto"/>
        <w:tabs>
          <w:tab w:leader="none" w:pos="660" w:val="left"/>
        </w:tabs>
        <w:numPr>
          <w:ilvl w:val="1"/>
          <w:numId w:val="2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1"/>
          <w:numId w:val="2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color w:val="auto"/>
        </w:rPr>
        <w:t>September 28, 2023</w:t>
      </w:r>
    </w:p>
    <w:p>
      <w:pPr>
        <w:spacing w:after="0" w:line="200" w:lineRule="exact"/>
        <w:rPr>
          <w:sz w:val="20"/>
          <w:szCs w:val="20"/>
          <w:color w:val="auto"/>
        </w:rPr>
      </w:pPr>
    </w:p>
    <w:p>
      <w:pPr>
        <w:spacing w:after="0" w:line="24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8"/>
          <w:szCs w:val="18"/>
          <w:color w:val="auto"/>
        </w:rPr>
        <w:t>J. M</w:t>
      </w:r>
      <w:r>
        <w:rPr>
          <w:rFonts w:ascii="Arial" w:cs="Arial" w:eastAsia="Arial" w:hAnsi="Arial"/>
          <w:sz w:val="12"/>
          <w:szCs w:val="12"/>
          <w:color w:val="auto"/>
        </w:rPr>
        <w:t>ichael</w:t>
      </w:r>
      <w:r>
        <w:rPr>
          <w:rFonts w:ascii="Arial" w:cs="Arial" w:eastAsia="Arial" w:hAnsi="Arial"/>
          <w:sz w:val="18"/>
          <w:szCs w:val="18"/>
          <w:color w:val="auto"/>
        </w:rPr>
        <w:t xml:space="preserve"> D</w:t>
      </w:r>
      <w:r>
        <w:rPr>
          <w:rFonts w:ascii="Arial" w:cs="Arial" w:eastAsia="Arial" w:hAnsi="Arial"/>
          <w:sz w:val="12"/>
          <w:szCs w:val="12"/>
          <w:color w:val="auto"/>
        </w:rPr>
        <w:t>aniel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14605</wp:posOffset>
            </wp:positionV>
            <wp:extent cx="165417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7">
                      <a:extLst>
                        <a:ext uri="{28A0092B-C50C-407E-A947-70E740481C1C}"/>
                      </a:extLst>
                    </a:blip>
                    <a:srcRect/>
                    <a:stretch>
                      <a:fillRect/>
                    </a:stretch>
                  </pic:blipFill>
                  <pic:spPr bwMode="auto">
                    <a:xfrm>
                      <a:off x="0" y="0"/>
                      <a:ext cx="1654175"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J. Michael Daniel, Senior Vice President and Chief Financial Officer</w:t>
      </w:r>
    </w:p>
    <w:p>
      <w:pPr>
        <w:sectPr>
          <w:pgSz w:w="11900" w:h="16838" w:orient="portrait"/>
          <w:cols w:equalWidth="0" w:num="1">
            <w:col w:w="11240"/>
          </w:cols>
          <w:pgMar w:left="320" w:top="341" w:right="339" w:bottom="1440" w:gutter="0" w:footer="0" w:header="0"/>
        </w:sectPr>
      </w:pPr>
    </w:p>
    <w:bookmarkStart w:id="40" w:name="page41"/>
    <w:bookmarkEnd w:id="40"/>
    <w:p>
      <w:pPr>
        <w:jc w:val="right"/>
        <w:spacing w:after="0"/>
        <w:rPr>
          <w:sz w:val="20"/>
          <w:szCs w:val="20"/>
          <w:color w:val="auto"/>
        </w:rPr>
      </w:pPr>
      <w:r>
        <w:rPr>
          <w:rFonts w:ascii="Arial" w:cs="Arial" w:eastAsia="Arial" w:hAnsi="Arial"/>
          <w:sz w:val="18"/>
          <w:szCs w:val="18"/>
          <w:color w:val="auto"/>
        </w:rPr>
        <w:t>Exhibit 32a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 18 U.S.C. SECTION 1350,</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OF THE SARBANES-OXLEY ACT OF 2002</w:t>
      </w:r>
    </w:p>
    <w:p>
      <w:pPr>
        <w:spacing w:after="0" w:line="200" w:lineRule="exact"/>
        <w:rPr>
          <w:sz w:val="20"/>
          <w:szCs w:val="20"/>
          <w:color w:val="auto"/>
        </w:rPr>
      </w:pPr>
    </w:p>
    <w:p>
      <w:pPr>
        <w:spacing w:after="0" w:line="227" w:lineRule="exact"/>
        <w:rPr>
          <w:sz w:val="20"/>
          <w:szCs w:val="20"/>
          <w:color w:val="auto"/>
        </w:rPr>
      </w:pPr>
    </w:p>
    <w:p>
      <w:pPr>
        <w:jc w:val="both"/>
        <w:ind w:right="320"/>
        <w:spacing w:after="0" w:line="286" w:lineRule="auto"/>
        <w:rPr>
          <w:sz w:val="20"/>
          <w:szCs w:val="20"/>
          <w:color w:val="auto"/>
        </w:rPr>
      </w:pPr>
      <w:r>
        <w:rPr>
          <w:rFonts w:ascii="Arial" w:cs="Arial" w:eastAsia="Arial" w:hAnsi="Arial"/>
          <w:sz w:val="17"/>
          <w:szCs w:val="17"/>
          <w:color w:val="auto"/>
        </w:rPr>
        <w:t>In connection with the Quarterly Report of Bassett Furniture Industries, Incorporated (the “Company”) on Form 10-Q for the period ending August 26, 2023, as filed with the Securities and Exchange Commission on the date hereof (the “Report”), I, Robert H. Spilman, Jr., Chief Executive Officer of the Company, certify, pursuant to 18 U.S.C. ss.1350, as adopted pursuant to ss.906 of the Sarbanes-Oxley Act of 2002, that:</w:t>
      </w:r>
    </w:p>
    <w:p>
      <w:pPr>
        <w:spacing w:after="0" w:line="165" w:lineRule="exact"/>
        <w:rPr>
          <w:sz w:val="20"/>
          <w:szCs w:val="20"/>
          <w:color w:val="auto"/>
        </w:rPr>
      </w:pPr>
    </w:p>
    <w:p>
      <w:pPr>
        <w:ind w:left="980" w:hanging="324"/>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980" w:right="600" w:hanging="324"/>
        <w:spacing w:after="0" w:line="277" w:lineRule="auto"/>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September 28, 2023</w:t>
      </w:r>
    </w:p>
    <w:p>
      <w:pPr>
        <w:spacing w:after="0" w:line="200" w:lineRule="exact"/>
        <w:rPr>
          <w:sz w:val="20"/>
          <w:szCs w:val="20"/>
          <w:color w:val="auto"/>
        </w:rPr>
      </w:pPr>
    </w:p>
    <w:p>
      <w:pPr>
        <w:spacing w:after="0" w:line="241"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8"/>
          <w:szCs w:val="18"/>
          <w:color w:val="auto"/>
        </w:rPr>
        <w:t>R</w:t>
      </w:r>
      <w:r>
        <w:rPr>
          <w:rFonts w:ascii="Arial" w:cs="Arial" w:eastAsia="Arial" w:hAnsi="Arial"/>
          <w:sz w:val="12"/>
          <w:szCs w:val="12"/>
          <w:color w:val="auto"/>
        </w:rPr>
        <w:t>obert</w:t>
      </w:r>
      <w:r>
        <w:rPr>
          <w:rFonts w:ascii="Arial" w:cs="Arial" w:eastAsia="Arial" w:hAnsi="Arial"/>
          <w:sz w:val="18"/>
          <w:szCs w:val="18"/>
          <w:color w:val="auto"/>
        </w:rPr>
        <w:t xml:space="preserve"> H. S</w:t>
      </w:r>
      <w:r>
        <w:rPr>
          <w:rFonts w:ascii="Arial" w:cs="Arial" w:eastAsia="Arial" w:hAnsi="Arial"/>
          <w:sz w:val="12"/>
          <w:szCs w:val="12"/>
          <w:color w:val="auto"/>
        </w:rPr>
        <w:t>pilman</w:t>
      </w:r>
      <w:r>
        <w:rPr>
          <w:rFonts w:ascii="Arial" w:cs="Arial" w:eastAsia="Arial" w:hAnsi="Arial"/>
          <w:sz w:val="18"/>
          <w:szCs w:val="18"/>
          <w:color w:val="auto"/>
        </w:rPr>
        <w:t>, J</w:t>
      </w:r>
      <w:r>
        <w:rPr>
          <w:rFonts w:ascii="Arial" w:cs="Arial" w:eastAsia="Arial" w:hAnsi="Arial"/>
          <w:sz w:val="12"/>
          <w:szCs w:val="12"/>
          <w:color w:val="auto"/>
        </w:rPr>
        <w:t>r</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14605</wp:posOffset>
            </wp:positionV>
            <wp:extent cx="164592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8">
                      <a:extLst>
                        <a:ext uri="{28A0092B-C50C-407E-A947-70E740481C1C}"/>
                      </a:extLst>
                    </a:blip>
                    <a:srcRect/>
                    <a:stretch>
                      <a:fillRect/>
                    </a:stretch>
                  </pic:blipFill>
                  <pic:spPr bwMode="auto">
                    <a:xfrm>
                      <a:off x="0" y="0"/>
                      <a:ext cx="164592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Robert H. Spilman, Jr.,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Chairman and Chief Executive Officer</w:t>
      </w:r>
    </w:p>
    <w:p>
      <w:pPr>
        <w:spacing w:after="0" w:line="211" w:lineRule="exact"/>
        <w:rPr>
          <w:sz w:val="20"/>
          <w:szCs w:val="20"/>
          <w:color w:val="auto"/>
        </w:rPr>
      </w:pPr>
    </w:p>
    <w:p>
      <w:pPr>
        <w:ind w:right="100"/>
        <w:spacing w:after="0" w:line="308" w:lineRule="auto"/>
        <w:rPr>
          <w:sz w:val="20"/>
          <w:szCs w:val="20"/>
          <w:color w:val="auto"/>
        </w:rPr>
      </w:pPr>
      <w:r>
        <w:rPr>
          <w:rFonts w:ascii="Arial" w:cs="Arial" w:eastAsia="Arial" w:hAnsi="Arial"/>
          <w:sz w:val="17"/>
          <w:szCs w:val="17"/>
          <w:i w:val="1"/>
          <w:iCs w:val="1"/>
          <w:color w:val="auto"/>
        </w:rPr>
        <w:t>A signed original of this written statement required by Section 906 has been provided to Bassett Furniture Industries, Incorporated and will be retained by Bassett Furniture Industries, Incorporated and furnished to the Securities and Exchange Commission or its staff upon request.</w:t>
      </w:r>
    </w:p>
    <w:p>
      <w:pPr>
        <w:sectPr>
          <w:pgSz w:w="11900" w:h="16838" w:orient="portrait"/>
          <w:cols w:equalWidth="0" w:num="1">
            <w:col w:w="11240"/>
          </w:cols>
          <w:pgMar w:left="320" w:top="341" w:right="339" w:bottom="1440" w:gutter="0" w:footer="0" w:header="0"/>
        </w:sectPr>
      </w:pPr>
    </w:p>
    <w:bookmarkStart w:id="41" w:name="page42"/>
    <w:bookmarkEnd w:id="41"/>
    <w:p>
      <w:pPr>
        <w:jc w:val="right"/>
        <w:spacing w:after="0"/>
        <w:rPr>
          <w:sz w:val="20"/>
          <w:szCs w:val="20"/>
          <w:color w:val="auto"/>
        </w:rPr>
      </w:pPr>
      <w:r>
        <w:rPr>
          <w:rFonts w:ascii="Arial" w:cs="Arial" w:eastAsia="Arial" w:hAnsi="Arial"/>
          <w:sz w:val="18"/>
          <w:szCs w:val="18"/>
          <w:color w:val="auto"/>
        </w:rPr>
        <w:t>Exhibit 32b</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 18 U.S.C. SECTION 1350,</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OF THE SARBANES-OXLEY ACT OF 2002</w:t>
      </w:r>
    </w:p>
    <w:p>
      <w:pPr>
        <w:spacing w:after="0" w:line="200" w:lineRule="exact"/>
        <w:rPr>
          <w:sz w:val="20"/>
          <w:szCs w:val="20"/>
          <w:color w:val="auto"/>
        </w:rPr>
      </w:pPr>
    </w:p>
    <w:p>
      <w:pPr>
        <w:spacing w:after="0" w:line="227" w:lineRule="exact"/>
        <w:rPr>
          <w:sz w:val="20"/>
          <w:szCs w:val="20"/>
          <w:color w:val="auto"/>
        </w:rPr>
      </w:pPr>
    </w:p>
    <w:p>
      <w:pPr>
        <w:ind w:right="360"/>
        <w:spacing w:after="0" w:line="286" w:lineRule="auto"/>
        <w:rPr>
          <w:sz w:val="20"/>
          <w:szCs w:val="20"/>
          <w:color w:val="auto"/>
        </w:rPr>
      </w:pPr>
      <w:r>
        <w:rPr>
          <w:rFonts w:ascii="Arial" w:cs="Arial" w:eastAsia="Arial" w:hAnsi="Arial"/>
          <w:sz w:val="17"/>
          <w:szCs w:val="17"/>
          <w:color w:val="auto"/>
        </w:rPr>
        <w:t>In connection with the Quarterly Report of Bassett Furniture Industries, Incorporated (the “Company”) on Form 10-Q for the period ending August 26, 2023, as filed with the Securities and Exchange Commission on the date hereof (the “Report”), I, J. Michael Daniel, Chief Financial Officer of the Company, certify, pursuant to 18 U.S.C. ss.1350, as adopted pursuant to ss.906 of the Sarbanes-Oxley Act of 2002, that:</w:t>
      </w:r>
    </w:p>
    <w:p>
      <w:pPr>
        <w:spacing w:after="0" w:line="165" w:lineRule="exact"/>
        <w:rPr>
          <w:sz w:val="20"/>
          <w:szCs w:val="20"/>
          <w:color w:val="auto"/>
        </w:rPr>
      </w:pPr>
    </w:p>
    <w:p>
      <w:pPr>
        <w:ind w:left="820" w:hanging="326"/>
        <w:spacing w:after="0"/>
        <w:tabs>
          <w:tab w:leader="none" w:pos="8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820" w:right="760" w:hanging="326"/>
        <w:spacing w:after="0" w:line="277" w:lineRule="auto"/>
        <w:tabs>
          <w:tab w:leader="none" w:pos="8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September 28, 2023</w:t>
      </w:r>
    </w:p>
    <w:p>
      <w:pPr>
        <w:spacing w:after="0" w:line="200" w:lineRule="exact"/>
        <w:rPr>
          <w:sz w:val="20"/>
          <w:szCs w:val="20"/>
          <w:color w:val="auto"/>
        </w:rPr>
      </w:pPr>
    </w:p>
    <w:p>
      <w:pPr>
        <w:spacing w:after="0" w:line="241"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8"/>
          <w:szCs w:val="18"/>
          <w:color w:val="auto"/>
        </w:rPr>
        <w:t>J. M</w:t>
      </w:r>
      <w:r>
        <w:rPr>
          <w:rFonts w:ascii="Arial" w:cs="Arial" w:eastAsia="Arial" w:hAnsi="Arial"/>
          <w:sz w:val="12"/>
          <w:szCs w:val="12"/>
          <w:color w:val="auto"/>
        </w:rPr>
        <w:t>ichael</w:t>
      </w:r>
      <w:r>
        <w:rPr>
          <w:rFonts w:ascii="Arial" w:cs="Arial" w:eastAsia="Arial" w:hAnsi="Arial"/>
          <w:sz w:val="18"/>
          <w:szCs w:val="18"/>
          <w:color w:val="auto"/>
        </w:rPr>
        <w:t xml:space="preserve"> D</w:t>
      </w:r>
      <w:r>
        <w:rPr>
          <w:rFonts w:ascii="Arial" w:cs="Arial" w:eastAsia="Arial" w:hAnsi="Arial"/>
          <w:sz w:val="12"/>
          <w:szCs w:val="12"/>
          <w:color w:val="auto"/>
        </w:rPr>
        <w:t>aniel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142240</wp:posOffset>
            </wp:positionH>
            <wp:positionV relativeFrom="paragraph">
              <wp:posOffset>14605</wp:posOffset>
            </wp:positionV>
            <wp:extent cx="168021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9">
                      <a:extLst>
                        <a:ext uri="{28A0092B-C50C-407E-A947-70E740481C1C}"/>
                      </a:extLst>
                    </a:blip>
                    <a:srcRect/>
                    <a:stretch>
                      <a:fillRect/>
                    </a:stretch>
                  </pic:blipFill>
                  <pic:spPr bwMode="auto">
                    <a:xfrm>
                      <a:off x="0" y="0"/>
                      <a:ext cx="168021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J. Michael Daniel,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Senior Vice President and Chief Financial Officer</w:t>
      </w:r>
    </w:p>
    <w:p>
      <w:pPr>
        <w:spacing w:after="0" w:line="211" w:lineRule="exact"/>
        <w:rPr>
          <w:sz w:val="20"/>
          <w:szCs w:val="20"/>
          <w:color w:val="auto"/>
        </w:rPr>
      </w:pPr>
    </w:p>
    <w:p>
      <w:pPr>
        <w:ind w:right="100"/>
        <w:spacing w:after="0" w:line="308" w:lineRule="auto"/>
        <w:rPr>
          <w:sz w:val="20"/>
          <w:szCs w:val="20"/>
          <w:color w:val="auto"/>
        </w:rPr>
      </w:pPr>
      <w:r>
        <w:rPr>
          <w:rFonts w:ascii="Arial" w:cs="Arial" w:eastAsia="Arial" w:hAnsi="Arial"/>
          <w:sz w:val="17"/>
          <w:szCs w:val="17"/>
          <w:i w:val="1"/>
          <w:iCs w:val="1"/>
          <w:color w:val="auto"/>
        </w:rPr>
        <w:t>A signed original of this written statement required by Section 906 has been provided to Bassett Furniture Industries, Incorporated and will be retained by Bassett Furniture Industries, Incorporated and furnished to the Securities and Exchange Commission or its staff upon request.</w:t>
      </w:r>
    </w:p>
    <w:sectPr>
      <w:pgSz w:w="11900" w:h="16838" w:orient="portrait"/>
      <w:cols w:equalWidth="0" w:num="1">
        <w:col w:w="11240"/>
      </w:cols>
      <w:pgMar w:left="320" w:top="34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40E0F76"/>
    <w:multiLevelType w:val="hybridMultilevel"/>
    <w:lvl w:ilvl="0">
      <w:lvlJc w:val="left"/>
      <w:lvlText w:val="☒"/>
      <w:numFmt w:val="bullet"/>
      <w:start w:val="1"/>
    </w:lvl>
  </w:abstractNum>
  <w:abstractNum w:abstractNumId="1">
    <w:nsid w:val="3352255A"/>
    <w:multiLevelType w:val="hybridMultilevel"/>
    <w:lvl w:ilvl="0">
      <w:lvlJc w:val="left"/>
      <w:lvlText w:val="☐"/>
      <w:numFmt w:val="bullet"/>
      <w:start w:val="1"/>
    </w:lvl>
  </w:abstractNum>
  <w:abstractNum w:abstractNumId="2">
    <w:nsid w:val="109CF92E"/>
    <w:multiLevelType w:val="hybridMultilevel"/>
    <w:lvl w:ilvl="0">
      <w:lvlJc w:val="left"/>
      <w:lvlText w:val="%1."/>
      <w:numFmt w:val="decimal"/>
      <w:start w:val="1"/>
    </w:lvl>
  </w:abstractNum>
  <w:abstractNum w:abstractNumId="3">
    <w:nsid w:val="DED7263"/>
    <w:multiLevelType w:val="hybridMultilevel"/>
    <w:lvl w:ilvl="0">
      <w:lvlJc w:val="left"/>
      <w:lvlText w:val="$"/>
      <w:numFmt w:val="bullet"/>
      <w:start w:val="1"/>
    </w:lvl>
  </w:abstractNum>
  <w:abstractNum w:abstractNumId="4">
    <w:nsid w:val="7FDCC233"/>
    <w:multiLevelType w:val="hybridMultilevel"/>
    <w:lvl w:ilvl="0">
      <w:lvlJc w:val="left"/>
      <w:lvlText w:val="$"/>
      <w:numFmt w:val="bullet"/>
      <w:start w:val="1"/>
    </w:lvl>
  </w:abstractNum>
  <w:abstractNum w:abstractNumId="5">
    <w:nsid w:val="1BEFD79F"/>
    <w:multiLevelType w:val="hybridMultilevel"/>
    <w:lvl w:ilvl="0">
      <w:lvlJc w:val="left"/>
      <w:lvlText w:val="●"/>
      <w:numFmt w:val="bullet"/>
      <w:start w:val="1"/>
    </w:lvl>
  </w:abstractNum>
  <w:abstractNum w:abstractNumId="6">
    <w:nsid w:val="41A7C4C9"/>
    <w:multiLevelType w:val="hybridMultilevel"/>
    <w:lvl w:ilvl="0">
      <w:lvlJc w:val="left"/>
      <w:lvlText w:val="(%1)"/>
      <w:numFmt w:val="decimal"/>
      <w:start w:val="1"/>
    </w:lvl>
  </w:abstractNum>
  <w:abstractNum w:abstractNumId="7">
    <w:nsid w:val="6B68079A"/>
    <w:multiLevelType w:val="hybridMultilevel"/>
    <w:lvl w:ilvl="0">
      <w:lvlJc w:val="left"/>
      <w:lvlText w:val="$"/>
      <w:numFmt w:val="bullet"/>
      <w:start w:val="1"/>
    </w:lvl>
  </w:abstractNum>
  <w:abstractNum w:abstractNumId="8">
    <w:nsid w:val="4E6AFB66"/>
    <w:multiLevelType w:val="hybridMultilevel"/>
    <w:lvl w:ilvl="0">
      <w:lvlJc w:val="left"/>
      <w:lvlText w:val="$"/>
      <w:numFmt w:val="bullet"/>
      <w:start w:val="1"/>
    </w:lvl>
  </w:abstractNum>
  <w:abstractNum w:abstractNumId="9">
    <w:nsid w:val="25E45D32"/>
    <w:multiLevelType w:val="hybridMultilevel"/>
    <w:lvl w:ilvl="0">
      <w:lvlJc w:val="left"/>
      <w:lvlText w:val="●"/>
      <w:numFmt w:val="bullet"/>
      <w:start w:val="1"/>
    </w:lvl>
  </w:abstractNum>
  <w:abstractNum w:abstractNumId="10">
    <w:nsid w:val="519B500D"/>
    <w:multiLevelType w:val="hybridMultilevel"/>
    <w:lvl w:ilvl="0">
      <w:lvlJc w:val="left"/>
      <w:lvlText w:val="(%1)"/>
      <w:numFmt w:val="decimal"/>
      <w:start w:val="1"/>
    </w:lvl>
  </w:abstractNum>
  <w:abstractNum w:abstractNumId="11">
    <w:nsid w:val="431BD7B7"/>
    <w:multiLevelType w:val="hybridMultilevel"/>
    <w:lvl w:ilvl="0">
      <w:lvlJc w:val="left"/>
      <w:lvlText w:val="•"/>
      <w:numFmt w:val="bullet"/>
      <w:start w:val="1"/>
    </w:lvl>
  </w:abstractNum>
  <w:abstractNum w:abstractNumId="12">
    <w:nsid w:val="3F2DBA31"/>
    <w:multiLevelType w:val="hybridMultilevel"/>
    <w:lvl w:ilvl="0">
      <w:lvlJc w:val="left"/>
      <w:lvlText w:val="●"/>
      <w:numFmt w:val="bullet"/>
      <w:start w:val="1"/>
    </w:lvl>
  </w:abstractNum>
  <w:abstractNum w:abstractNumId="13">
    <w:nsid w:val="7C83E458"/>
    <w:multiLevelType w:val="hybridMultilevel"/>
    <w:lvl w:ilvl="0">
      <w:lvlJc w:val="left"/>
      <w:lvlText w:val="(%1)"/>
      <w:numFmt w:val="decimal"/>
      <w:start w:val="1"/>
    </w:lvl>
  </w:abstractNum>
  <w:abstractNum w:abstractNumId="14">
    <w:nsid w:val="257130A3"/>
    <w:multiLevelType w:val="hybridMultilevel"/>
    <w:lvl w:ilvl="0">
      <w:lvlJc w:val="left"/>
      <w:lvlText w:val="(%1)"/>
      <w:numFmt w:val="decimal"/>
      <w:start w:val="1"/>
    </w:lvl>
  </w:abstractNum>
  <w:abstractNum w:abstractNumId="15">
    <w:nsid w:val="62BBD95A"/>
    <w:multiLevelType w:val="hybridMultilevel"/>
    <w:lvl w:ilvl="0">
      <w:lvlJc w:val="left"/>
      <w:lvlText w:val="(%1)"/>
      <w:numFmt w:val="decimal"/>
      <w:start w:val="1"/>
    </w:lvl>
  </w:abstractNum>
  <w:abstractNum w:abstractNumId="16">
    <w:nsid w:val="436C6125"/>
    <w:multiLevelType w:val="hybridMultilevel"/>
    <w:lvl w:ilvl="0">
      <w:lvlJc w:val="left"/>
      <w:lvlText w:val="(%1)"/>
      <w:numFmt w:val="decimal"/>
      <w:start w:val="1"/>
    </w:lvl>
  </w:abstractNum>
  <w:abstractNum w:abstractNumId="17">
    <w:nsid w:val="628C895D"/>
    <w:multiLevelType w:val="hybridMultilevel"/>
    <w:lvl w:ilvl="0">
      <w:lvlJc w:val="left"/>
      <w:lvlText w:val="●"/>
      <w:numFmt w:val="bullet"/>
      <w:start w:val="1"/>
    </w:lvl>
  </w:abstractNum>
  <w:abstractNum w:abstractNumId="18">
    <w:nsid w:val="333AB105"/>
    <w:multiLevelType w:val="hybridMultilevel"/>
    <w:lvl w:ilvl="0">
      <w:lvlJc w:val="left"/>
      <w:lvlText w:val="(%1)"/>
      <w:numFmt w:val="decimal"/>
      <w:start w:val="3"/>
    </w:lvl>
  </w:abstractNum>
  <w:abstractNum w:abstractNumId="19">
    <w:nsid w:val="721DA317"/>
    <w:multiLevelType w:val="hybridMultilevel"/>
    <w:lvl w:ilvl="0">
      <w:lvlJc w:val="left"/>
      <w:lvlText w:val="(%1)"/>
      <w:numFmt w:val="decimal"/>
      <w:start w:val="1"/>
    </w:lvl>
  </w:abstractNum>
  <w:abstractNum w:abstractNumId="20">
    <w:nsid w:val="2443A858"/>
    <w:multiLevelType w:val="hybridMultilevel"/>
    <w:lvl w:ilvl="0">
      <w:lvlJc w:val="left"/>
      <w:lvlText w:val="%1."/>
      <w:numFmt w:val="decimal"/>
      <w:start w:val="1"/>
    </w:lvl>
    <w:lvl w:ilvl="1">
      <w:lvlJc w:val="left"/>
      <w:lvlText w:val="%2)"/>
      <w:numFmt w:val="lowerLetter"/>
      <w:start w:val="1"/>
    </w:lvl>
  </w:abstractNum>
  <w:abstractNum w:abstractNumId="21">
    <w:nsid w:val="2D1D5AE9"/>
    <w:multiLevelType w:val="hybridMultilevel"/>
    <w:lvl w:ilvl="0">
      <w:lvlJc w:val="left"/>
      <w:lvlText w:val="%1."/>
      <w:numFmt w:val="decimal"/>
      <w:start w:val="1"/>
    </w:lvl>
    <w:lvl w:ilvl="1">
      <w:lvlJc w:val="left"/>
      <w:lvlText w:val="%2)"/>
      <w:numFmt w:val="lowerLetter"/>
      <w:start w:val="1"/>
    </w:lvl>
  </w:abstractNum>
  <w:abstractNum w:abstractNumId="22">
    <w:nsid w:val="6763845E"/>
    <w:multiLevelType w:val="hybridMultilevel"/>
    <w:lvl w:ilvl="0">
      <w:lvlJc w:val="left"/>
      <w:lvlText w:val="%1."/>
      <w:numFmt w:val="decimal"/>
      <w:start w:val="1"/>
    </w:lvl>
  </w:abstractNum>
  <w:abstractNum w:abstractNumId="23">
    <w:nsid w:val="75A2A8D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2" Type="http://schemas.openxmlformats.org/officeDocument/2006/relationships/image" Target="media/image54.png"/><Relationship Id="rId63" Type="http://schemas.openxmlformats.org/officeDocument/2006/relationships/image" Target="media/image55.png"/><Relationship Id="rId64" Type="http://schemas.openxmlformats.org/officeDocument/2006/relationships/image" Target="media/image56.png"/><Relationship Id="rId65" Type="http://schemas.openxmlformats.org/officeDocument/2006/relationships/image" Target="media/image57.png"/><Relationship Id="rId66" Type="http://schemas.openxmlformats.org/officeDocument/2006/relationships/image" Target="media/image58.png"/><Relationship Id="rId67" Type="http://schemas.openxmlformats.org/officeDocument/2006/relationships/image" Target="media/image59.png"/><Relationship Id="rId68" Type="http://schemas.openxmlformats.org/officeDocument/2006/relationships/image" Target="media/image60.png"/><Relationship Id="rId69" Type="http://schemas.openxmlformats.org/officeDocument/2006/relationships/image" Target="media/image61.png"/><Relationship Id="rId61" Type="http://schemas.openxmlformats.org/officeDocument/2006/relationships/hyperlink" Target="http://www.sec.gov/Archives/edgar/data/10329/000143774922028017/ex_45035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2023-09-28T09:12:46Z</dcterms:created>
  <dcterms:modified xsi:type="dcterms:W3CDTF">2023-09-28T09:12:46Z</dcterms:modified>
</cp:coreProperties>
</file>