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2" w:lineRule="exact"/>
        <w:rPr>
          <w:sz w:val="24"/>
          <w:szCs w:val="24"/>
          <w:color w:val="auto"/>
        </w:r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3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5" w:lineRule="exact"/>
        <w:rPr>
          <w:sz w:val="24"/>
          <w:szCs w:val="24"/>
          <w:color w:val="auto"/>
        </w:rPr>
      </w:pPr>
    </w:p>
    <w:p>
      <w:pPr>
        <w:ind w:left="460" w:hanging="45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left="460" w:hanging="45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6" w:lineRule="exact"/>
        <w:rPr>
          <w:rFonts w:ascii="MS PGothic" w:cs="MS PGothic" w:eastAsia="MS PGothic" w:hAnsi="MS PGothic"/>
          <w:sz w:val="17"/>
          <w:szCs w:val="17"/>
          <w:color w:val="auto"/>
        </w:rPr>
      </w:pPr>
    </w:p>
    <w:p>
      <w:pPr>
        <w:ind w:left="460" w:hanging="45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460" w:hanging="45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0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 w:lineRule="exact"/>
        <w:rPr>
          <w:sz w:val="24"/>
          <w:szCs w:val="24"/>
          <w:color w:val="auto"/>
        </w:rPr>
      </w:pPr>
    </w:p>
    <w:p>
      <w:pPr>
        <w:ind w:left="460" w:hanging="459"/>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6" w:lineRule="exact"/>
        <w:rPr>
          <w:sz w:val="24"/>
          <w:szCs w:val="24"/>
          <w:color w:val="auto"/>
        </w:rPr>
      </w:pPr>
    </w:p>
    <w:p>
      <w:pPr>
        <w:ind w:left="460" w:hanging="459"/>
        <w:spacing w:after="0"/>
        <w:tabs>
          <w:tab w:leader="none" w:pos="4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 w:lineRule="exact"/>
        <w:rPr>
          <w:rFonts w:ascii="MS PGothic" w:cs="MS PGothic" w:eastAsia="MS PGothic" w:hAnsi="MS PGothic"/>
          <w:sz w:val="17"/>
          <w:szCs w:val="17"/>
          <w:color w:val="auto"/>
        </w:rPr>
      </w:pPr>
    </w:p>
    <w:p>
      <w:pPr>
        <w:ind w:left="460" w:hanging="459"/>
        <w:spacing w:after="0"/>
        <w:tabs>
          <w:tab w:leader="none" w:pos="4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190"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64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BASSETT FURNITURE INDUSTRIES, INCORPORATED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Bassett, Virginia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MARCH 6, 2024</w:t>
      </w:r>
    </w:p>
    <w:p>
      <w:pPr>
        <w:spacing w:after="0" w:line="212" w:lineRule="exact"/>
        <w:rPr>
          <w:sz w:val="20"/>
          <w:szCs w:val="20"/>
          <w:color w:val="auto"/>
        </w:rPr>
      </w:pPr>
    </w:p>
    <w:p>
      <w:pPr>
        <w:ind w:right="40" w:firstLine="303"/>
        <w:spacing w:after="0" w:line="251" w:lineRule="auto"/>
        <w:rPr>
          <w:sz w:val="20"/>
          <w:szCs w:val="20"/>
          <w:color w:val="auto"/>
        </w:rPr>
      </w:pPr>
      <w:r>
        <w:rPr>
          <w:rFonts w:ascii="Times New Roman" w:cs="Times New Roman" w:eastAsia="Times New Roman" w:hAnsi="Times New Roman"/>
          <w:sz w:val="17"/>
          <w:szCs w:val="17"/>
          <w:color w:val="auto"/>
        </w:rPr>
        <w:t>NOTICE IS HEREBY GIVEN that the Annual Meeting of Stockholders of Bassett Furniture Industries, Incorporated (the “Company”), will be held on Wednesday, March 6, 2024, at 10:00 a.m., local time (the “Annual Meeting”), virtually, via live audio webcast. You can access the Annual Meeting by visiting https://web.lumiagm.com/201995786 (password: bassett2024). To participate in the Annual Meeting, you will need the 11-digit control number included on your proxy card if you are a registered shareholder or the 16-digit control number obtained in the manner prescribed by your nominee. We encourage you to access the meeting prior to the start time to allow time for check in. Please note that there is no in-person Annual Meeting for you to attend. If you experience technical difficulties during the check-in process or during the meeting, please contact https://go.lumiglobal.com/faq for assistance. If your shares are not registered in your own name and you plan to vote online and ask questions during the annual meeting, you must contact your broker or nominee in whose name your shares are registered to obtain a legal proxy.</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Annual Meeting will be held for the purpose of considering and acting upon the following:</w:t>
      </w:r>
    </w:p>
    <w:p>
      <w:pPr>
        <w:spacing w:after="0" w:line="208" w:lineRule="exact"/>
        <w:rPr>
          <w:sz w:val="20"/>
          <w:szCs w:val="20"/>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each of the eight director nominees named in this proxy statement for a one-year term or until his or her successor is duly elected and qualified.</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ratify the selection of Ernst &amp; Young LLP as its independent registered public accounting firm for the fiscal year ending November 30, 2024.</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on an advisory vote regarding the approval of compensation paid to certain executive officers (“say-on-pay”).</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other matters that may properly come before the meeting or any adjournment thereof.</w:t>
      </w:r>
    </w:p>
    <w:p>
      <w:pPr>
        <w:spacing w:after="0" w:line="233" w:lineRule="exact"/>
        <w:rPr>
          <w:sz w:val="20"/>
          <w:szCs w:val="20"/>
          <w:color w:val="auto"/>
        </w:rPr>
      </w:pPr>
    </w:p>
    <w:p>
      <w:pPr>
        <w:ind w:right="120" w:firstLine="303"/>
        <w:spacing w:after="0" w:line="261" w:lineRule="auto"/>
        <w:rPr>
          <w:sz w:val="20"/>
          <w:szCs w:val="20"/>
          <w:color w:val="auto"/>
        </w:rPr>
      </w:pPr>
      <w:r>
        <w:rPr>
          <w:rFonts w:ascii="Times New Roman" w:cs="Times New Roman" w:eastAsia="Times New Roman" w:hAnsi="Times New Roman"/>
          <w:sz w:val="17"/>
          <w:szCs w:val="17"/>
          <w:color w:val="auto"/>
        </w:rPr>
        <w:t>The Board of Directors has fixed the close of business on January 18, 2024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65" w:lineRule="exact"/>
        <w:rPr>
          <w:sz w:val="20"/>
          <w:szCs w:val="20"/>
          <w:color w:val="auto"/>
        </w:rPr>
      </w:pPr>
    </w:p>
    <w:p>
      <w:pPr>
        <w:ind w:right="220" w:firstLine="303"/>
        <w:spacing w:after="0" w:line="258" w:lineRule="auto"/>
        <w:rPr>
          <w:sz w:val="20"/>
          <w:szCs w:val="20"/>
          <w:color w:val="auto"/>
        </w:rPr>
      </w:pPr>
      <w:r>
        <w:rPr>
          <w:rFonts w:ascii="Times New Roman" w:cs="Times New Roman" w:eastAsia="Times New Roman" w:hAnsi="Times New Roman"/>
          <w:sz w:val="17"/>
          <w:szCs w:val="17"/>
          <w:b w:val="1"/>
          <w:bCs w:val="1"/>
          <w:color w:val="auto"/>
        </w:rPr>
        <w:t>YOUR VOTE IS VERY IMPORTANT TO US. REGARDLESS OF WHETHER YOU PLAN TO ATTEND THE MEETING, PLEASE ACT PROMPTLY TO VOTE YOUR SHARES BY RETURNING THE ENCLOSED PROXY, DATED AND SIGNED. THE PROXY MAY BE REVOKED BY YOU AT ANY TIME BEFORE IT IS EXERCISED AND WILL NOT BE EXERCISED IF YOU ATTEND THE VIRTUAL MEETING AND VOTE VIRTUALLY AT THE MEETING.</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270510</wp:posOffset>
            </wp:positionV>
            <wp:extent cx="1264920" cy="34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Robert H. Spilman, Jr.</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Virginia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5,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2024 ANNUAL MEETING OF STOCKHOLDERS TO BE HELD MARCH 6, 2024</w:t>
      </w:r>
    </w:p>
    <w:p>
      <w:pPr>
        <w:spacing w:after="0" w:line="188" w:lineRule="exact"/>
        <w:rPr>
          <w:sz w:val="20"/>
          <w:szCs w:val="20"/>
          <w:color w:val="auto"/>
        </w:rPr>
      </w:pPr>
    </w:p>
    <w:p>
      <w:pPr>
        <w:ind w:left="3860" w:hanging="3421"/>
        <w:spacing w:after="0" w:line="279" w:lineRule="auto"/>
        <w:rPr>
          <w:sz w:val="20"/>
          <w:szCs w:val="20"/>
          <w:color w:val="auto"/>
        </w:rPr>
      </w:pPr>
      <w:r>
        <w:rPr>
          <w:rFonts w:ascii="Times New Roman" w:cs="Times New Roman" w:eastAsia="Times New Roman" w:hAnsi="Times New Roman"/>
          <w:sz w:val="17"/>
          <w:szCs w:val="17"/>
          <w:b w:val="1"/>
          <w:bCs w:val="1"/>
          <w:color w:val="auto"/>
        </w:rPr>
        <w:t>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Proxy Statement for the 2024 Annual Meeting of Stockholders and the Annual Report for the fiscal year ended November 25, 2023 are available at http://investors.bassettfurniture.com.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316865</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BASSETT FURNITURE INDUSTRIES, INCORPORATED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3525 Fairystone Park Highway, Bassett, Virginia 24055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ind w:right="140" w:firstLine="454"/>
        <w:spacing w:after="0" w:line="253"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by the Board of Directors of proxies to be used at the Annual Meeting of Stockholders of Bassett Furniture Industries, Incorporated (the “Company” or “Bassett”) to be held at 10:00 a.m., local time, on Wednesday, March 6, 2024, virtually, via live audio webcast at https://web.lumiagm.com/201995786. During the virtual meeting, stockholders of record or street holders who have obtained a legal proxy from their broker or nominee will be able to vote shares electronically and submit appropriate questions online during the annual meeting and the Company will answer appropriate questions, subject to time constraints. Questions relevant to meeting matters that the Company does not have time to answer during the meeting will be responded to in writing. This Proxy Statement and accompanying proxy are being sent to the stockholders of the Company on or about February 6, 2024.</w:t>
      </w:r>
    </w:p>
    <w:p>
      <w:pPr>
        <w:spacing w:after="0" w:line="176" w:lineRule="exact"/>
        <w:rPr>
          <w:sz w:val="20"/>
          <w:szCs w:val="20"/>
          <w:color w:val="auto"/>
        </w:rPr>
      </w:pPr>
    </w:p>
    <w:p>
      <w:pPr>
        <w:jc w:val="both"/>
        <w:ind w:right="520" w:firstLine="454"/>
        <w:spacing w:after="0" w:line="256" w:lineRule="auto"/>
        <w:rPr>
          <w:sz w:val="20"/>
          <w:szCs w:val="20"/>
          <w:color w:val="auto"/>
        </w:rPr>
      </w:pPr>
      <w:r>
        <w:rPr>
          <w:rFonts w:ascii="Times New Roman" w:cs="Times New Roman" w:eastAsia="Times New Roman" w:hAnsi="Times New Roman"/>
          <w:sz w:val="17"/>
          <w:szCs w:val="17"/>
          <w:color w:val="auto"/>
        </w:rPr>
        <w:t>The Company’s directors, officers and employees may solicit proxies in person or by telephone, e-mail, or other means for no additional compensation. Brokers, dealers, banks or voting trustees, or their nominees, who hold stock in their names for others or hold stock for others who have the right to give voting instructions, will be asked to forward proxy materials to their principals and request authority for the execution of the proxy. The Company will reimburse such institutions for their reasonable expenses in so doing. The total cost of soliciting proxies will be borne by the Company.</w:t>
      </w:r>
    </w:p>
    <w:p>
      <w:pPr>
        <w:spacing w:after="0" w:line="175" w:lineRule="exact"/>
        <w:rPr>
          <w:sz w:val="20"/>
          <w:szCs w:val="20"/>
          <w:color w:val="auto"/>
        </w:rPr>
      </w:pPr>
    </w:p>
    <w:p>
      <w:pPr>
        <w:ind w:firstLine="454"/>
        <w:spacing w:after="0" w:line="252" w:lineRule="auto"/>
        <w:rPr>
          <w:sz w:val="20"/>
          <w:szCs w:val="20"/>
          <w:color w:val="auto"/>
        </w:rPr>
      </w:pPr>
      <w:r>
        <w:rPr>
          <w:rFonts w:ascii="Times New Roman" w:cs="Times New Roman" w:eastAsia="Times New Roman" w:hAnsi="Times New Roman"/>
          <w:sz w:val="17"/>
          <w:szCs w:val="17"/>
          <w:color w:val="auto"/>
        </w:rPr>
        <w:t>Any stockholder of record may revoke his or her proxy before it is exercised by (1) sending written notice to Jay R. Hervey, Vice President, Secretary and General Counsel, Bassett Furniture Industries, Incorporated, Post Office Box 626, Bassett, Virginia 24055, (2) timely delivering a valid, later-dated proxy or (3) by voting electronically during the meeting. Any beneficial owner of common stock may revoke his or her proxy before it is exercised by contacting his or her bank, broker or other stockholder of record and submitting revised voting instructions. Proxies received by the Company that are in proper form will be voted as set forth on the proxy at the meeting or any adjournment of the meeting. If your shares are held in street name with your broker or by a nominee, you may not vote your shares electronically or ask questions at the virtual meeting unless you obtain a legal proxy from your broker or nominee who is the stockholder of record with respect to your shares.</w:t>
      </w:r>
    </w:p>
    <w:p>
      <w:pPr>
        <w:spacing w:after="0" w:line="177" w:lineRule="exact"/>
        <w:rPr>
          <w:sz w:val="20"/>
          <w:szCs w:val="20"/>
          <w:color w:val="auto"/>
        </w:rPr>
      </w:pPr>
    </w:p>
    <w:p>
      <w:pPr>
        <w:ind w:right="60" w:firstLine="454"/>
        <w:spacing w:after="0" w:line="285" w:lineRule="auto"/>
        <w:rPr>
          <w:sz w:val="20"/>
          <w:szCs w:val="20"/>
          <w:color w:val="auto"/>
        </w:rPr>
      </w:pPr>
      <w:r>
        <w:rPr>
          <w:rFonts w:ascii="Times New Roman" w:cs="Times New Roman" w:eastAsia="Times New Roman" w:hAnsi="Times New Roman"/>
          <w:sz w:val="16"/>
          <w:szCs w:val="16"/>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51" w:lineRule="exact"/>
        <w:rPr>
          <w:sz w:val="20"/>
          <w:szCs w:val="20"/>
          <w:color w:val="auto"/>
        </w:rPr>
      </w:pPr>
    </w:p>
    <w:p>
      <w:pPr>
        <w:ind w:right="20" w:firstLine="454"/>
        <w:spacing w:after="0" w:line="253" w:lineRule="auto"/>
        <w:rPr>
          <w:sz w:val="20"/>
          <w:szCs w:val="20"/>
          <w:color w:val="auto"/>
        </w:rPr>
      </w:pPr>
      <w:r>
        <w:rPr>
          <w:rFonts w:ascii="Times New Roman" w:cs="Times New Roman" w:eastAsia="Times New Roman" w:hAnsi="Times New Roman"/>
          <w:sz w:val="17"/>
          <w:szCs w:val="17"/>
          <w:color w:val="auto"/>
        </w:rPr>
        <w:t>Stockholders present or represented, via webcast or by proxy, and entitled to vote on a matter at the meeting, or any adjournment thereof will be entitled to one vote on such matter for each share of Common Stock, par value $5.00 per share, of the Company (the “common stock”) held by them of record at the close of business on January 18, 2024, which is the record date for determining the stockholders entitled to notice of and to vote at such meeting or any adjournment thereof. The number of shares of common stock of the Company outstanding on January 18, 2024, was 8,817,298. When voting is properly authorized over the Internet, electronically at the meeting or proxy cards are properly dated, executed and returned, the Common Stock will be voted in accordance with the instructions of the stockholder.</w:t>
      </w:r>
    </w:p>
    <w:p>
      <w:pPr>
        <w:spacing w:after="0" w:line="176" w:lineRule="exact"/>
        <w:rPr>
          <w:sz w:val="20"/>
          <w:szCs w:val="20"/>
          <w:color w:val="auto"/>
        </w:rPr>
      </w:pPr>
    </w:p>
    <w:p>
      <w:pPr>
        <w:ind w:right="120" w:firstLine="454"/>
        <w:spacing w:after="0" w:line="253" w:lineRule="auto"/>
        <w:rPr>
          <w:sz w:val="20"/>
          <w:szCs w:val="20"/>
          <w:color w:val="auto"/>
        </w:rPr>
      </w:pPr>
      <w:r>
        <w:rPr>
          <w:rFonts w:ascii="Times New Roman" w:cs="Times New Roman" w:eastAsia="Times New Roman" w:hAnsi="Times New Roman"/>
          <w:sz w:val="17"/>
          <w:szCs w:val="17"/>
          <w:color w:val="auto"/>
        </w:rPr>
        <w:t>If you hold your shares in street name through a brokerage account, your broker may or may not vote your shares in its discretion depending on the proposals before the meeting in the absence of your voting instructions. Pursuant to the New York Stock Exchange, which govern voting matters at the Annual Meeting, your broker may vote your shares in its discretion on “routine matters.” We believe that the ratification of the appointment of our independent registered public accounting firm is a routine matter on which brokers will be permitted to vote on behalf of their clients if no voting instructions are furnished. We believe that the election of directors and the say-on-pay advisory vote are not routine matters. When a matter is not routine and brokers have not received voting instructions from their clients, brokers cannot vote the shares on that matter. This is commonly referred to as a broker non-vote.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 w:name="page4"/>
    <w:bookmarkEnd w:id="3"/>
    <w:p>
      <w:pPr>
        <w:ind w:right="40" w:firstLine="454"/>
        <w:spacing w:after="0" w:line="274" w:lineRule="auto"/>
        <w:rPr>
          <w:sz w:val="20"/>
          <w:szCs w:val="20"/>
          <w:color w:val="auto"/>
        </w:rPr>
      </w:pPr>
      <w:r>
        <w:rPr>
          <w:rFonts w:ascii="Times New Roman" w:cs="Times New Roman" w:eastAsia="Times New Roman" w:hAnsi="Times New Roman"/>
          <w:sz w:val="16"/>
          <w:szCs w:val="16"/>
          <w:color w:val="auto"/>
        </w:rPr>
        <w:t>Presence via webcast or by proxy of the holders of a majority of the outstanding shares of common stock entitled to vote at the meeting will constitute a quorum. If a quorum is present, Directors will be elected by a plurality of the votes cast. Action on Proposals 2 and 3 will be approved if the votes cast in favor of the action exceed the votes cast opposing the action. Shares for which the holder has elected to abstain or to withhold the proxies’ authority to vote (including broker non-votes) on a matter will count toward a quorum but will have no effect on the action taken with respect to such matter. Accordingly, abstentions, votes withheld, broker or nominee non-votes (if any), and shares represented by proxies reflecting broker or nominee non-votes will have no effect on Proposals 1, 2 and 3.</w:t>
      </w:r>
    </w:p>
    <w:p>
      <w:pPr>
        <w:spacing w:after="0" w:line="160" w:lineRule="exact"/>
        <w:rPr>
          <w:sz w:val="20"/>
          <w:szCs w:val="20"/>
          <w:color w:val="auto"/>
        </w:rPr>
      </w:pPr>
    </w:p>
    <w:p>
      <w:pPr>
        <w:ind w:right="60" w:firstLine="454"/>
        <w:spacing w:after="0" w:line="256" w:lineRule="auto"/>
        <w:rPr>
          <w:sz w:val="20"/>
          <w:szCs w:val="20"/>
          <w:color w:val="auto"/>
        </w:rPr>
      </w:pPr>
      <w:r>
        <w:rPr>
          <w:rFonts w:ascii="Times New Roman" w:cs="Times New Roman" w:eastAsia="Times New Roman" w:hAnsi="Times New Roman"/>
          <w:sz w:val="17"/>
          <w:szCs w:val="17"/>
          <w:color w:val="auto"/>
        </w:rPr>
        <w:t>Some brokers and other nominee record holders may be “householding” our proxy materials. This means a single proxy statement and annual report with separate proxy cards, will be delivered to multiple stockholders who share an address, unless we receive other instructions. If you are a beneficial owner and receive multiple copies of our proxy materials and you would like to receive only one copy, or if you and another shareholder receive only one copy and would like to receive multiple copies, contact your bank, broker, or other nominee.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Stockholders and Holdings of Management</w:t>
      </w:r>
    </w:p>
    <w:p>
      <w:pPr>
        <w:spacing w:after="0" w:line="212" w:lineRule="exact"/>
        <w:rPr>
          <w:sz w:val="20"/>
          <w:szCs w:val="20"/>
          <w:color w:val="auto"/>
        </w:rPr>
      </w:pPr>
    </w:p>
    <w:p>
      <w:pPr>
        <w:ind w:firstLine="454"/>
        <w:spacing w:after="0" w:line="261" w:lineRule="auto"/>
        <w:rPr>
          <w:sz w:val="20"/>
          <w:szCs w:val="20"/>
          <w:color w:val="auto"/>
        </w:rPr>
      </w:pPr>
      <w:r>
        <w:rPr>
          <w:rFonts w:ascii="Times New Roman" w:cs="Times New Roman" w:eastAsia="Times New Roman" w:hAnsi="Times New Roman"/>
          <w:sz w:val="17"/>
          <w:szCs w:val="17"/>
          <w:color w:val="auto"/>
        </w:rPr>
        <w:t>The table below presents certain information as to the only persons known to the Company to be the beneficial owners of more than 5% of the common stock of the Company as of January 18, 2024. Except as otherwise noted, each of the beneficial owners listed below has sole voting and investment power with respect to the shares listed.</w:t>
      </w:r>
    </w:p>
    <w:p>
      <w:pPr>
        <w:spacing w:after="0" w:line="165"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Amount and</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address of</w:t>
            </w:r>
          </w:p>
        </w:tc>
        <w:tc>
          <w:tcPr>
            <w:tcW w:w="200" w:type="dxa"/>
            <w:vAlign w:val="bottom"/>
          </w:tcPr>
          <w:p>
            <w:pPr>
              <w:spacing w:after="0"/>
              <w:rPr>
                <w:sz w:val="17"/>
                <w:szCs w:val="17"/>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nature of</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Percent of common</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00" w:type="dxa"/>
            <w:vAlign w:val="bottom"/>
          </w:tcPr>
          <w:p>
            <w:pPr>
              <w:spacing w:after="0"/>
              <w:rPr>
                <w:sz w:val="19"/>
                <w:szCs w:val="19"/>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beneficial ownership</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stock outstanding</w:t>
            </w:r>
          </w:p>
        </w:tc>
        <w:tc>
          <w:tcPr>
            <w:tcW w:w="0" w:type="dxa"/>
            <w:vAlign w:val="bottom"/>
          </w:tcPr>
          <w:p>
            <w:pPr>
              <w:spacing w:after="0"/>
              <w:rPr>
                <w:sz w:val="1"/>
                <w:szCs w:val="1"/>
                <w:color w:val="auto"/>
              </w:rPr>
            </w:pPr>
          </w:p>
        </w:tc>
      </w:tr>
      <w:tr>
        <w:trPr>
          <w:trHeight w:val="195"/>
        </w:trPr>
        <w:tc>
          <w:tcPr>
            <w:tcW w:w="5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GAMCO Investors, Inc., et al.</w:t>
            </w:r>
          </w:p>
        </w:tc>
        <w:tc>
          <w:tcPr>
            <w:tcW w:w="2160" w:type="dxa"/>
            <w:vAlign w:val="bottom"/>
            <w:gridSpan w:val="3"/>
            <w:shd w:val="clear" w:color="auto" w:fill="CCEEFF"/>
          </w:tcPr>
          <w:p>
            <w:pPr>
              <w:jc w:val="right"/>
              <w:ind w:right="180"/>
              <w:spacing w:after="0" w:line="186" w:lineRule="exact"/>
              <w:rPr>
                <w:sz w:val="20"/>
                <w:szCs w:val="20"/>
                <w:color w:val="auto"/>
              </w:rPr>
            </w:pPr>
            <w:r>
              <w:rPr>
                <w:rFonts w:ascii="Times New Roman" w:cs="Times New Roman" w:eastAsia="Times New Roman" w:hAnsi="Times New Roman"/>
                <w:sz w:val="13"/>
                <w:szCs w:val="13"/>
                <w:color w:val="auto"/>
              </w:rPr>
              <w:t>934,150</w:t>
            </w:r>
            <w:r>
              <w:rPr>
                <w:rFonts w:ascii="Times New Roman" w:cs="Times New Roman" w:eastAsia="Times New Roman" w:hAnsi="Times New Roman"/>
                <w:sz w:val="21"/>
                <w:szCs w:val="21"/>
                <w:color w:val="auto"/>
                <w:vertAlign w:val="superscript"/>
              </w:rPr>
              <w:t>(1)</w:t>
            </w:r>
          </w:p>
        </w:tc>
        <w:tc>
          <w:tcPr>
            <w:tcW w:w="18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One Corporate Center</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Rye, NY 10580</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Dimensional Fund Advisors LP</w:t>
            </w:r>
          </w:p>
        </w:tc>
        <w:tc>
          <w:tcPr>
            <w:tcW w:w="2160" w:type="dxa"/>
            <w:vAlign w:val="bottom"/>
            <w:gridSpan w:val="3"/>
            <w:shd w:val="clear" w:color="auto" w:fill="CCEEFF"/>
          </w:tcPr>
          <w:p>
            <w:pPr>
              <w:jc w:val="right"/>
              <w:ind w:right="180"/>
              <w:spacing w:after="0" w:line="186" w:lineRule="exact"/>
              <w:rPr>
                <w:sz w:val="20"/>
                <w:szCs w:val="20"/>
                <w:color w:val="auto"/>
              </w:rPr>
            </w:pPr>
            <w:r>
              <w:rPr>
                <w:rFonts w:ascii="Times New Roman" w:cs="Times New Roman" w:eastAsia="Times New Roman" w:hAnsi="Times New Roman"/>
                <w:sz w:val="13"/>
                <w:szCs w:val="13"/>
                <w:color w:val="auto"/>
              </w:rPr>
              <w:t>742,107</w:t>
            </w:r>
            <w:r>
              <w:rPr>
                <w:rFonts w:ascii="Times New Roman" w:cs="Times New Roman" w:eastAsia="Times New Roman" w:hAnsi="Times New Roman"/>
                <w:sz w:val="21"/>
                <w:szCs w:val="21"/>
                <w:color w:val="auto"/>
                <w:vertAlign w:val="superscript"/>
              </w:rPr>
              <w:t>(2)</w:t>
            </w:r>
          </w:p>
        </w:tc>
        <w:tc>
          <w:tcPr>
            <w:tcW w:w="18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8.4%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Palisades West, Building One</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6300 Bee Cave Road</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Austin, TX 78746</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The Vanguard Group</w:t>
            </w:r>
          </w:p>
        </w:tc>
        <w:tc>
          <w:tcPr>
            <w:tcW w:w="2160" w:type="dxa"/>
            <w:vAlign w:val="bottom"/>
            <w:gridSpan w:val="3"/>
            <w:shd w:val="clear" w:color="auto" w:fill="CCEEFF"/>
          </w:tcPr>
          <w:p>
            <w:pPr>
              <w:jc w:val="right"/>
              <w:ind w:right="180"/>
              <w:spacing w:after="0" w:line="186" w:lineRule="exact"/>
              <w:rPr>
                <w:sz w:val="20"/>
                <w:szCs w:val="20"/>
                <w:color w:val="auto"/>
              </w:rPr>
            </w:pPr>
            <w:r>
              <w:rPr>
                <w:rFonts w:ascii="Times New Roman" w:cs="Times New Roman" w:eastAsia="Times New Roman" w:hAnsi="Times New Roman"/>
                <w:sz w:val="13"/>
                <w:szCs w:val="13"/>
                <w:color w:val="auto"/>
              </w:rPr>
              <w:t>463,205</w:t>
            </w:r>
            <w:r>
              <w:rPr>
                <w:rFonts w:ascii="Times New Roman" w:cs="Times New Roman" w:eastAsia="Times New Roman" w:hAnsi="Times New Roman"/>
                <w:sz w:val="21"/>
                <w:szCs w:val="21"/>
                <w:color w:val="auto"/>
                <w:vertAlign w:val="superscript"/>
              </w:rPr>
              <w:t>(3)</w:t>
            </w:r>
          </w:p>
        </w:tc>
        <w:tc>
          <w:tcPr>
            <w:tcW w:w="18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5.3%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100 Vanguard Blvd.</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Malvern, PA 19355</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hanging="599"/>
        <w:spacing w:after="0" w:line="222" w:lineRule="auto"/>
        <w:tabs>
          <w:tab w:leader="none" w:pos="60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As reported in a Schedule 13D/A filed on March 18, 2021, Gabelli Funds, LLC has sole voting and dispositive power with respect to 199,300 of these shares; GAMCO Asset Management Inc. has sole voting power with respect to 624,950 of these shares and sole dispositive power with respect to 673,850 of these shares; Teton Advisors, Inc. has sole voting and dispositive power with respect to 61,000 of these shares; and Mario Gabelli is deemed to have beneficial ownership of the shares held by each of the foregoing persons. See the Schedule 13D/A for certain disclaimers of beneficial ownership and interests of related entities in these shares.</w:t>
      </w:r>
    </w:p>
    <w:p>
      <w:pPr>
        <w:spacing w:after="0" w:line="3" w:lineRule="exact"/>
        <w:rPr>
          <w:rFonts w:ascii="Times New Roman" w:cs="Times New Roman" w:eastAsia="Times New Roman" w:hAnsi="Times New Roman"/>
          <w:sz w:val="28"/>
          <w:szCs w:val="28"/>
          <w:color w:val="auto"/>
          <w:vertAlign w:val="superscript"/>
        </w:rPr>
      </w:pPr>
    </w:p>
    <w:p>
      <w:pPr>
        <w:ind w:left="600" w:hanging="599"/>
        <w:spacing w:after="0" w:line="213" w:lineRule="auto"/>
        <w:tabs>
          <w:tab w:leader="none" w:pos="60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Dimensional Fund Advisors LP (“Dimensional”), a registered investment adviser, may be deemed to have beneficial ownership of these shares which are held by certain investment companies, trusts and accounts for which Dimensional serves as investment manager, adviser or sub-adviser. Dimensional has sole dispositive power with respect to 769,842 of these shares and sole voting power with respect to 756,909 of these shares. Dimensional disclaims beneficial ownership of all such shares. The information provided is based upon a Schedule 13G/A filed on February 10, 2023 by Dimensional.</w:t>
      </w:r>
    </w:p>
    <w:p>
      <w:pPr>
        <w:ind w:left="600" w:right="140" w:hanging="599"/>
        <w:spacing w:after="0" w:line="250"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Schedule 13G filed on February 9, 2023, The Vanguard Group, a registered investment advisor, has sole dispositive power with respect to 459,423 of these shares and shared dispositive power with respect to 3,782 of these shares.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 w:name="page5"/>
    <w:bookmarkEnd w:id="4"/>
    <w:p>
      <w:pPr>
        <w:ind w:firstLine="454"/>
        <w:spacing w:after="0" w:line="261" w:lineRule="auto"/>
        <w:rPr>
          <w:sz w:val="20"/>
          <w:szCs w:val="20"/>
          <w:color w:val="auto"/>
        </w:rPr>
      </w:pPr>
      <w:r>
        <w:rPr>
          <w:rFonts w:ascii="Times New Roman" w:cs="Times New Roman" w:eastAsia="Times New Roman" w:hAnsi="Times New Roman"/>
          <w:sz w:val="17"/>
          <w:szCs w:val="17"/>
          <w:color w:val="auto"/>
        </w:rPr>
        <w:t>The following information with respect to beneficial ownership, as of January 18, 2024, of shares of common stock is furnished with respect to (i) each current Director and Director nominee of the Company, (ii) each executive officer named in the Summary Compensation Table appearing later in this Proxy Statement and (iii) all current Directors and executive officers as a group:</w:t>
      </w:r>
    </w:p>
    <w:p>
      <w:pPr>
        <w:spacing w:after="0" w:line="165"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Amount and</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of</w:t>
            </w:r>
          </w:p>
        </w:tc>
        <w:tc>
          <w:tcPr>
            <w:tcW w:w="2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nature of</w:t>
            </w:r>
          </w:p>
        </w:tc>
        <w:tc>
          <w:tcPr>
            <w:tcW w:w="180" w:type="dxa"/>
            <w:vAlign w:val="bottom"/>
          </w:tcPr>
          <w:p>
            <w:pPr>
              <w:spacing w:after="0"/>
              <w:rPr>
                <w:sz w:val="17"/>
                <w:szCs w:val="17"/>
                <w:color w:val="auto"/>
              </w:rPr>
            </w:pPr>
          </w:p>
        </w:tc>
        <w:tc>
          <w:tcPr>
            <w:tcW w:w="18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Percent of common</w:t>
            </w:r>
          </w:p>
        </w:tc>
      </w:tr>
      <w:tr>
        <w:trPr>
          <w:trHeight w:val="22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0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beneficial ownership</w:t>
            </w:r>
          </w:p>
        </w:tc>
        <w:tc>
          <w:tcPr>
            <w:tcW w:w="180" w:type="dxa"/>
            <w:vAlign w:val="bottom"/>
          </w:tcPr>
          <w:p>
            <w:pPr>
              <w:spacing w:after="0"/>
              <w:rPr>
                <w:sz w:val="19"/>
                <w:szCs w:val="19"/>
                <w:color w:val="auto"/>
              </w:rPr>
            </w:pPr>
          </w:p>
        </w:tc>
        <w:tc>
          <w:tcPr>
            <w:tcW w:w="1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stock outstanding</w:t>
            </w:r>
          </w:p>
        </w:tc>
      </w:tr>
      <w:tr>
        <w:trPr>
          <w:trHeight w:val="19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Emma S. Battle</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9"/>
              </w:rPr>
              <w:t>5,720</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 Belk</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34,613</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Kristina Cashman</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16,180</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Virginia W. Hamlet</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12,533</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 Walter McDowell</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14,876</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H. Spilman, Jr.</w:t>
            </w:r>
          </w:p>
        </w:tc>
        <w:tc>
          <w:tcPr>
            <w:tcW w:w="1980" w:type="dxa"/>
            <w:vAlign w:val="bottom"/>
            <w:gridSpan w:val="2"/>
            <w:shd w:val="clear" w:color="auto" w:fill="CCEEFF"/>
          </w:tcPr>
          <w:p>
            <w:pPr>
              <w:jc w:val="center"/>
              <w:ind w:left="159"/>
              <w:spacing w:after="0" w:line="202" w:lineRule="exact"/>
              <w:rPr>
                <w:sz w:val="20"/>
                <w:szCs w:val="20"/>
                <w:color w:val="auto"/>
              </w:rPr>
            </w:pPr>
            <w:r>
              <w:rPr>
                <w:rFonts w:ascii="Times New Roman" w:cs="Times New Roman" w:eastAsia="Times New Roman" w:hAnsi="Times New Roman"/>
                <w:sz w:val="14"/>
                <w:szCs w:val="14"/>
                <w:color w:val="auto"/>
              </w:rPr>
              <w:t>291,386</w:t>
            </w:r>
            <w:r>
              <w:rPr>
                <w:rFonts w:ascii="Times New Roman" w:cs="Times New Roman" w:eastAsia="Times New Roman" w:hAnsi="Times New Roman"/>
                <w:sz w:val="23"/>
                <w:szCs w:val="23"/>
                <w:color w:val="auto"/>
                <w:vertAlign w:val="superscript"/>
              </w:rPr>
              <w:t>(1)</w:t>
            </w:r>
          </w:p>
        </w:tc>
        <w:tc>
          <w:tcPr>
            <w:tcW w:w="198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rPr>
              <w:t>3.3%</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C. Wampler, Jr.</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22,920</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C. Warden, Jr.</w:t>
            </w:r>
          </w:p>
        </w:tc>
        <w:tc>
          <w:tcPr>
            <w:tcW w:w="1980" w:type="dxa"/>
            <w:vAlign w:val="bottom"/>
            <w:gridSpan w:val="2"/>
            <w:shd w:val="clear" w:color="auto" w:fill="CCEEFF"/>
          </w:tcPr>
          <w:p>
            <w:pPr>
              <w:jc w:val="center"/>
              <w:ind w:left="119"/>
              <w:spacing w:after="0" w:line="202" w:lineRule="exact"/>
              <w:rPr>
                <w:sz w:val="20"/>
                <w:szCs w:val="20"/>
                <w:color w:val="auto"/>
              </w:rPr>
            </w:pPr>
            <w:r>
              <w:rPr>
                <w:rFonts w:ascii="Times New Roman" w:cs="Times New Roman" w:eastAsia="Times New Roman" w:hAnsi="Times New Roman"/>
                <w:sz w:val="14"/>
                <w:szCs w:val="14"/>
                <w:color w:val="auto"/>
              </w:rPr>
              <w:t>75,552</w:t>
            </w:r>
            <w:r>
              <w:rPr>
                <w:rFonts w:ascii="Times New Roman" w:cs="Times New Roman" w:eastAsia="Times New Roman" w:hAnsi="Times New Roman"/>
                <w:sz w:val="23"/>
                <w:szCs w:val="23"/>
                <w:color w:val="auto"/>
                <w:vertAlign w:val="superscript"/>
              </w:rPr>
              <w:t>(2)</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R. Cohenour</w:t>
            </w:r>
          </w:p>
        </w:tc>
        <w:tc>
          <w:tcPr>
            <w:tcW w:w="1980" w:type="dxa"/>
            <w:vAlign w:val="bottom"/>
            <w:gridSpan w:val="2"/>
            <w:shd w:val="clear" w:color="auto" w:fill="CCEEFF"/>
          </w:tcPr>
          <w:p>
            <w:pPr>
              <w:jc w:val="center"/>
              <w:ind w:left="119"/>
              <w:spacing w:after="0" w:line="202" w:lineRule="exact"/>
              <w:rPr>
                <w:sz w:val="20"/>
                <w:szCs w:val="20"/>
                <w:color w:val="auto"/>
              </w:rPr>
            </w:pPr>
            <w:r>
              <w:rPr>
                <w:rFonts w:ascii="Times New Roman" w:cs="Times New Roman" w:eastAsia="Times New Roman" w:hAnsi="Times New Roman"/>
                <w:sz w:val="14"/>
                <w:szCs w:val="14"/>
                <w:color w:val="auto"/>
              </w:rPr>
              <w:t>35,984</w:t>
            </w:r>
            <w:r>
              <w:rPr>
                <w:rFonts w:ascii="Times New Roman" w:cs="Times New Roman" w:eastAsia="Times New Roman" w:hAnsi="Times New Roman"/>
                <w:sz w:val="23"/>
                <w:szCs w:val="23"/>
                <w:color w:val="auto"/>
                <w:vertAlign w:val="superscript"/>
              </w:rPr>
              <w:t>(3)</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E. Bassett III</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52,233</w:t>
            </w:r>
          </w:p>
        </w:tc>
        <w:tc>
          <w:tcPr>
            <w:tcW w:w="198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 Michael Daniel</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52,266</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David C. Baker</w:t>
            </w:r>
            <w:r>
              <w:rPr>
                <w:rFonts w:ascii="Times New Roman" w:cs="Times New Roman" w:eastAsia="Times New Roman" w:hAnsi="Times New Roman"/>
                <w:sz w:val="23"/>
                <w:szCs w:val="23"/>
                <w:color w:val="auto"/>
                <w:vertAlign w:val="superscript"/>
              </w:rPr>
              <w:t>(4)</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35,339</w:t>
            </w:r>
          </w:p>
        </w:tc>
        <w:tc>
          <w:tcPr>
            <w:tcW w:w="1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85"/>
        </w:trPr>
        <w:tc>
          <w:tcPr>
            <w:tcW w:w="5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Current Directors and executive officers</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18"/>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 a group (12 persons)</w:t>
            </w:r>
          </w:p>
        </w:tc>
        <w:tc>
          <w:tcPr>
            <w:tcW w:w="198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7"/>
                <w:szCs w:val="17"/>
                <w:color w:val="auto"/>
                <w:w w:val="98"/>
              </w:rPr>
              <w:t>625,258</w:t>
            </w:r>
            <w:r>
              <w:rPr>
                <w:rFonts w:ascii="Times New Roman" w:cs="Times New Roman" w:eastAsia="Times New Roman" w:hAnsi="Times New Roman"/>
                <w:sz w:val="14"/>
                <w:szCs w:val="14"/>
                <w:color w:val="auto"/>
                <w:w w:val="98"/>
              </w:rPr>
              <w:t>(1) (2) (3)</w:t>
            </w:r>
          </w:p>
        </w:tc>
        <w:tc>
          <w:tcPr>
            <w:tcW w:w="198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rPr>
              <w:t>7.1%</w:t>
            </w:r>
          </w:p>
        </w:tc>
      </w:tr>
    </w:tbl>
    <w:p>
      <w:pPr>
        <w:spacing w:after="0" w:line="185" w:lineRule="exact"/>
        <w:rPr>
          <w:sz w:val="20"/>
          <w:szCs w:val="20"/>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 of the outstanding common stock.</w:t>
      </w:r>
    </w:p>
    <w:p>
      <w:pPr>
        <w:ind w:left="600" w:hanging="297"/>
        <w:spacing w:after="0" w:line="185" w:lineRule="auto"/>
        <w:tabs>
          <w:tab w:leader="none" w:pos="6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16,139 shares held by Mr. Spilman’s wife and 13,947 shares held in trust of which Mr. Spilman is beneficiary.</w:t>
      </w:r>
    </w:p>
    <w:p>
      <w:pPr>
        <w:spacing w:after="0" w:line="28" w:lineRule="exact"/>
        <w:rPr>
          <w:rFonts w:ascii="Times New Roman" w:cs="Times New Roman" w:eastAsia="Times New Roman" w:hAnsi="Times New Roman"/>
          <w:sz w:val="28"/>
          <w:szCs w:val="28"/>
          <w:color w:val="auto"/>
          <w:vertAlign w:val="superscript"/>
        </w:rPr>
      </w:pPr>
    </w:p>
    <w:p>
      <w:pPr>
        <w:ind w:left="600" w:hanging="297"/>
        <w:spacing w:after="0" w:line="181" w:lineRule="auto"/>
        <w:tabs>
          <w:tab w:leader="none" w:pos="6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20,000 shares held in trust created by Mr. Warden’s spouse, in which Mr. Warden disclaims all beneficial interest.</w:t>
      </w:r>
    </w:p>
    <w:p>
      <w:pPr>
        <w:spacing w:after="0" w:line="27" w:lineRule="exact"/>
        <w:rPr>
          <w:rFonts w:ascii="Times New Roman" w:cs="Times New Roman" w:eastAsia="Times New Roman" w:hAnsi="Times New Roman"/>
          <w:sz w:val="23"/>
          <w:szCs w:val="23"/>
          <w:color w:val="auto"/>
          <w:vertAlign w:val="superscript"/>
        </w:rPr>
      </w:pPr>
    </w:p>
    <w:p>
      <w:pPr>
        <w:ind w:left="600" w:hanging="297"/>
        <w:spacing w:after="0" w:line="181" w:lineRule="auto"/>
        <w:tabs>
          <w:tab w:leader="none" w:pos="6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8,509 shares held by Mr. Cohenour’s wife.</w:t>
      </w:r>
    </w:p>
    <w:p>
      <w:pPr>
        <w:spacing w:after="0" w:line="27" w:lineRule="exact"/>
        <w:rPr>
          <w:rFonts w:ascii="Times New Roman" w:cs="Times New Roman" w:eastAsia="Times New Roman" w:hAnsi="Times New Roman"/>
          <w:sz w:val="23"/>
          <w:szCs w:val="23"/>
          <w:color w:val="auto"/>
          <w:vertAlign w:val="superscript"/>
        </w:rPr>
      </w:pPr>
    </w:p>
    <w:p>
      <w:pPr>
        <w:ind w:left="600" w:hanging="297"/>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Baker was the former Chief Retail Officer of the Company and retired from his position with the Company effective November 30, 2023.</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552"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92" w:lineRule="exact"/>
        <w:rPr>
          <w:sz w:val="20"/>
          <w:szCs w:val="20"/>
          <w:color w:val="auto"/>
        </w:rPr>
      </w:pPr>
    </w:p>
    <w:p>
      <w:pPr>
        <w:ind w:right="60" w:firstLine="454"/>
        <w:spacing w:after="0" w:line="254" w:lineRule="auto"/>
        <w:rPr>
          <w:sz w:val="20"/>
          <w:szCs w:val="20"/>
          <w:color w:val="auto"/>
        </w:rPr>
      </w:pPr>
      <w:r>
        <w:rPr>
          <w:rFonts w:ascii="Times New Roman" w:cs="Times New Roman" w:eastAsia="Times New Roman" w:hAnsi="Times New Roman"/>
          <w:sz w:val="17"/>
          <w:szCs w:val="17"/>
          <w:color w:val="auto"/>
        </w:rPr>
        <w:t>At the meeting, eight Directors will be elected to serve, subject to the provisions of the Bylaws, until the 2025 Annual Meeting of Stockholders and until their successors are duly elected and qualified. It is the intention of the persons named in the accompanying proxy to vote all proxies solicited by the Board of Directors FOR the eight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eight nominees including such substitutes as shall be designated by the Board of Directors.</w:t>
      </w:r>
    </w:p>
    <w:p>
      <w:pPr>
        <w:spacing w:after="0" w:line="176" w:lineRule="exact"/>
        <w:rPr>
          <w:sz w:val="20"/>
          <w:szCs w:val="20"/>
          <w:color w:val="auto"/>
        </w:rPr>
      </w:pPr>
    </w:p>
    <w:p>
      <w:pPr>
        <w:ind w:right="300" w:firstLine="454"/>
        <w:spacing w:after="0" w:line="274" w:lineRule="auto"/>
        <w:rPr>
          <w:sz w:val="20"/>
          <w:szCs w:val="20"/>
          <w:color w:val="auto"/>
        </w:rPr>
      </w:pPr>
      <w:r>
        <w:rPr>
          <w:rFonts w:ascii="Times New Roman" w:cs="Times New Roman" w:eastAsia="Times New Roman" w:hAnsi="Times New Roman"/>
          <w:sz w:val="17"/>
          <w:szCs w:val="17"/>
          <w:color w:val="auto"/>
        </w:rPr>
        <w:t>The eight nominees for election as Directors are listed below. All of the nominees are currently members of the Board of Directors. All were elected to their current terms, which expire in 2024, at the Annual Meeting of Stockholders held on March 8, 2023.</w:t>
      </w:r>
    </w:p>
    <w:p>
      <w:pPr>
        <w:spacing w:after="0" w:line="159" w:lineRule="exact"/>
        <w:rPr>
          <w:sz w:val="20"/>
          <w:szCs w:val="20"/>
          <w:color w:val="auto"/>
        </w:rPr>
      </w:pPr>
    </w:p>
    <w:p>
      <w:pPr>
        <w:ind w:right="160" w:firstLine="454"/>
        <w:spacing w:after="0" w:line="271" w:lineRule="auto"/>
        <w:rPr>
          <w:sz w:val="20"/>
          <w:szCs w:val="20"/>
          <w:color w:val="auto"/>
        </w:rPr>
      </w:pPr>
      <w:r>
        <w:rPr>
          <w:rFonts w:ascii="Times New Roman" w:cs="Times New Roman" w:eastAsia="Times New Roman" w:hAnsi="Times New Roman"/>
          <w:sz w:val="16"/>
          <w:szCs w:val="16"/>
          <w:color w:val="auto"/>
        </w:rPr>
        <w:t>We are asking our stockholders to re-elect each of our current directors at the Annual Meeting of Stockholders. The information set forth below includes, with respect to each nominee for election as Director, his or her age, principal occupation and employment during the past five years, the year in which he or she first became a Director of the Company, directorships held by each at other public companies during the past five years and the specific experience, qualifications, attributes and skills that led the Board to conclude that he or she should serve as a Director. In addition, our Board believes that each individual below has demonstrated outstanding achievement in his or her professional career; broad experience; wisdom, personal and professional integrity; ability to make independent, analytical inquiries; experience with and understanding of the business environment; and willingness and ability to devote adequate time to Board duties.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Occupation during past five years,</w:t>
            </w: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director since</w:t>
            </w:r>
          </w:p>
        </w:tc>
        <w:tc>
          <w:tcPr>
            <w:tcW w:w="2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directorships and qualifications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Emma S. Battle</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63</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w w:val="98"/>
              </w:rPr>
              <w:t>President and CEO of Market Vigor, LLC, a business services company she founded in 2003. Since 2017, she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has served as the President and CEO of Higher Ed Works, a nonpartisan public charity that supports higher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public education in North Carolina. From 2015 to 2017, Ms. Battle was Vice President, Client Success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Windsor Circle, an e-commerce marketing company. Previously, she served in executive and senior marketing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roles at Red Hat and Sara Lee Branded Apparel (Hanesbrands). She currently serves on the Board of Advisors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 Elon University’s Love School of Business, and on the Executive Leadership Board of the Frank Porter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Graham Child Development Institute. Ms. Battle was a member of the Board of the Southeastern Wind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Coalition from 2018 to 2021 and the Board of Directors of Primo Water Corporation (PRMW) from 2019 to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2020 and has been a member of the Boards of Directors of Unifi, Inc. (UFI) and Nu Skin Enterprises,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(NUS) since 2021. Ms. Battle’s knowledge and expertise in e-commerce, digital technology, sales and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bring much needed skills to the Board as do her commitments to sustainability and social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responsibility.</w:t>
            </w:r>
          </w:p>
        </w:tc>
        <w:tc>
          <w:tcPr>
            <w:tcW w:w="0" w:type="dxa"/>
            <w:vAlign w:val="bottom"/>
          </w:tcPr>
          <w:p>
            <w:pPr>
              <w:spacing w:after="0"/>
              <w:rPr>
                <w:sz w:val="1"/>
                <w:szCs w:val="1"/>
                <w:color w:val="auto"/>
              </w:rPr>
            </w:pPr>
          </w:p>
        </w:tc>
      </w:tr>
      <w:tr>
        <w:trPr>
          <w:trHeight w:val="387"/>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 Belk</w:t>
            </w:r>
          </w:p>
        </w:tc>
        <w:tc>
          <w:tcPr>
            <w:tcW w:w="80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3"/>
              </w:rPr>
              <w:t>65</w:t>
            </w: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8"/>
              </w:rPr>
              <w:t>Private Investor. President and Chief Operating Officer of Belk, Inc., from 2004 to 2016. As former president</w:t>
            </w:r>
          </w:p>
        </w:tc>
        <w:tc>
          <w:tcPr>
            <w:tcW w:w="0" w:type="dxa"/>
            <w:vAlign w:val="bottom"/>
          </w:tcPr>
          <w:p>
            <w:pPr>
              <w:spacing w:after="0"/>
              <w:rPr>
                <w:sz w:val="1"/>
                <w:szCs w:val="1"/>
                <w:color w:val="auto"/>
              </w:rPr>
            </w:pPr>
          </w:p>
        </w:tc>
      </w:tr>
      <w:tr>
        <w:trPr>
          <w:trHeight w:val="20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of a major department store chain and a director of other public companies (including Harris Teeter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Supermarkets, Inc. from 1997-2014) over the last twenty years, Mr. Belk’s knowledge of retail, real 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7141210" cy="640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640715"/>
                    </a:xfrm>
                    <a:prstGeom prst="rect">
                      <a:avLst/>
                    </a:prstGeom>
                    <a:noFill/>
                  </pic:spPr>
                </pic:pic>
              </a:graphicData>
            </a:graphic>
          </wp:anchor>
        </w:drawing>
      </w:r>
    </w:p>
    <w:p>
      <w:pPr>
        <w:ind w:left="3840" w:right="100"/>
        <w:spacing w:after="0" w:line="255" w:lineRule="auto"/>
        <w:rPr>
          <w:sz w:val="20"/>
          <w:szCs w:val="20"/>
          <w:color w:val="auto"/>
        </w:rPr>
      </w:pPr>
      <w:r>
        <w:rPr>
          <w:rFonts w:ascii="Times New Roman" w:cs="Times New Roman" w:eastAsia="Times New Roman" w:hAnsi="Times New Roman"/>
          <w:sz w:val="17"/>
          <w:szCs w:val="17"/>
          <w:color w:val="auto"/>
        </w:rPr>
        <w:t>emerging technologies, information security, merchandising and marketing is of great value to the Company, especially in the areas of retail and enhancing the consumer’s connection with our brand.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Occupation during past five years,</w:t>
            </w: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director since</w:t>
            </w:r>
          </w:p>
        </w:tc>
        <w:tc>
          <w:tcPr>
            <w:tcW w:w="2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directorships and qualifications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Kristina Cashman</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57</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w w:val="99"/>
              </w:rPr>
              <w:t>President and Chief Executive Officer, Cashman Restaurant &amp; Retail Consulting since 2019; Chief Financial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2007</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Officer, Hopdoddy Burger Bar, Inc. from 2014 to 2018; President of Guy and Larry Restaurants, Inc. from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2011 to 2014; Chief Financial Officer of Eddie V’s Restaurants, Inc. from 2006 through 2011; Chief Financial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Officer and Secretary of P.F. Chang’s China Bistro, Inc. from 2001 to 2006; Director, Vera Bradley (VRA)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since 2020 and Munchkin Inc. since 2022. As president of one restaurant chain and chief financial officer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four restaurant chains over most of the last 20 years, including a public company, with her service on boards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 other retailers and manufacturers, and as an audit manager with Ernst &amp; Young LLP prior to 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employment at P.F. Chang’s, Ms. Cashman brings development, management, financial and accounting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experience to the Board and its Audit Committee.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Virginia W. Hamlet</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61</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Founder and owner of Hamlet Vineyards and Hamlet Kitchen; former Director of the Harvest Foundation.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 Hamlet is well qualified to serve as a member of the Board of Directors due to her entrepreneurial and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background, her retail and online sales experience, her experience in residential and commercial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architectural design, and her experience as a civic leader in the community.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Walter McDowell</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73</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Private Investor; Business Consultant. Chief Executive Officer, Carolinas/Virginia Banking – Wachovia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2011</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Corporation from 2005 to 2007. Mr. McDowell’s more than 35 years of experience at Wachovia, including as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 head of a major division of the bank, and later in financial and business consulting, provides valuable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perspectives into the protection and deployment of the Company’s balance sheet and into its banking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relationships, and provides the Audit Committee with valuable insights into the analysis of the Company’s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financial statements.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Robert H. Spilman, Jr.</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67</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Chairman since 2016 and President and Chief Executive Officer of the Company since 2000; President and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1997</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Chief Operating Officer of the Company from 1997 to 2000. Director, Dominion Energy, Inc. (D), from 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 present. Mr. Spilman’s 35-year career at the Company, including more than 20 years as Chief Executive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Officer, gives him an in-depth knowledge of the Company and the furniture industry.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William C. Wampler, Jr.</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64</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w w:val="98"/>
              </w:rPr>
              <w:t>Managing Member of Wampler Consulting Group, LLC since 1995 and of WSWRS, LLC since 2017; former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Executive Director, New College Institute (2012 to 2015); former member of the Senate of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Commonwealth of Virginia (1988 to 2012); Retired Colonel, U.S. Army Reserve. As a former member of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Senate of Virginia and being the former ranking member of the Finance Committee for his party, Mr.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Wampler brings to the Board over 25 years of experience in leadership, developing consensus and balancing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budgets.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William C. Warden, Jr.</w:t>
            </w:r>
          </w:p>
        </w:tc>
        <w:tc>
          <w:tcPr>
            <w:tcW w:w="80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71</w:t>
            </w:r>
          </w:p>
        </w:tc>
        <w:tc>
          <w:tcPr>
            <w:tcW w:w="762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Private Investor. Executive Vice President, Administration, Lowe’s Companies, Inc. (1996 to 2003). Vice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Chair, Atrium Health Wake Forest Baptist. Through his senior management experience at a national retail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chain, Mr. Warden brings to the Board expertise in real estate, legal, loss prevention and administrative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matters that are particularly relevant to the Company’s growing retail operations.</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2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BOARD DIVERSITY MATRIX</w:t>
      </w:r>
    </w:p>
    <w:p>
      <w:pPr>
        <w:spacing w:after="0" w:line="200" w:lineRule="exact"/>
        <w:rPr>
          <w:sz w:val="20"/>
          <w:szCs w:val="20"/>
          <w:color w:val="auto"/>
        </w:rPr>
      </w:pPr>
    </w:p>
    <w:p>
      <w:pPr>
        <w:spacing w:after="0" w:line="210" w:lineRule="exact"/>
        <w:rPr>
          <w:sz w:val="20"/>
          <w:szCs w:val="20"/>
          <w:color w:val="auto"/>
        </w:rPr>
      </w:pPr>
    </w:p>
    <w:p>
      <w:pPr>
        <w:ind w:right="80" w:firstLine="454"/>
        <w:spacing w:after="0" w:line="279" w:lineRule="auto"/>
        <w:rPr>
          <w:sz w:val="20"/>
          <w:szCs w:val="20"/>
          <w:color w:val="auto"/>
        </w:rPr>
      </w:pPr>
      <w:r>
        <w:rPr>
          <w:rFonts w:ascii="Times New Roman" w:cs="Times New Roman" w:eastAsia="Times New Roman" w:hAnsi="Times New Roman"/>
          <w:sz w:val="17"/>
          <w:szCs w:val="17"/>
          <w:color w:val="auto"/>
        </w:rPr>
        <w:t>The table below provides certain highlights of the composition of our Board members and nominees as of January 18, 2024</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Each of the categories listed in the table below has the meaning as it is used in Nasdaq Rule 5605(f).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Diversity Matrix (as of January 18,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Number of Directors</w:t>
            </w:r>
          </w:p>
        </w:tc>
        <w:tc>
          <w:tcPr>
            <w:tcW w:w="30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left="316"/>
              <w:spacing w:after="0"/>
              <w:rPr>
                <w:sz w:val="20"/>
                <w:szCs w:val="20"/>
                <w:color w:val="auto"/>
              </w:rPr>
            </w:pPr>
            <w:r>
              <w:rPr>
                <w:rFonts w:ascii="Times New Roman" w:cs="Times New Roman" w:eastAsia="Times New Roman" w:hAnsi="Times New Roman"/>
                <w:sz w:val="17"/>
                <w:szCs w:val="17"/>
                <w:b w:val="1"/>
                <w:bCs w:val="1"/>
                <w:color w:val="auto"/>
              </w:rPr>
              <w:t>8</w:t>
            </w:r>
          </w:p>
        </w:tc>
        <w:tc>
          <w:tcPr>
            <w:tcW w:w="2200" w:type="dxa"/>
            <w:vAlign w:val="bottom"/>
            <w:tcBorders>
              <w:top w:val="single" w:sz="8" w:color="auto"/>
            </w:tcBorders>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70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8"/>
              </w:rPr>
              <w:t>Did Not Disclose</w:t>
            </w:r>
          </w:p>
        </w:tc>
      </w:tr>
      <w:tr>
        <w:trPr>
          <w:trHeight w:val="222"/>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Male</w:t>
            </w:r>
          </w:p>
        </w:tc>
        <w:tc>
          <w:tcPr>
            <w:tcW w:w="15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Non-Binary</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Gender</w:t>
            </w:r>
          </w:p>
        </w:tc>
      </w:tr>
      <w:tr>
        <w:trPr>
          <w:trHeight w:val="195"/>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Gender Identity</w:t>
            </w:r>
          </w:p>
        </w:tc>
        <w:tc>
          <w:tcPr>
            <w:tcW w:w="30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3080" w:type="dxa"/>
            <w:vAlign w:val="bottom"/>
          </w:tcPr>
          <w:p>
            <w:pPr>
              <w:jc w:val="center"/>
              <w:ind w:left="1676"/>
              <w:spacing w:after="0"/>
              <w:rPr>
                <w:sz w:val="20"/>
                <w:szCs w:val="20"/>
                <w:color w:val="auto"/>
              </w:rPr>
            </w:pPr>
            <w:r>
              <w:rPr>
                <w:rFonts w:ascii="Times New Roman" w:cs="Times New Roman" w:eastAsia="Times New Roman" w:hAnsi="Times New Roman"/>
                <w:sz w:val="17"/>
                <w:szCs w:val="17"/>
                <w:color w:val="auto"/>
                <w:w w:val="93"/>
              </w:rPr>
              <w:t>3</w:t>
            </w:r>
          </w:p>
        </w:tc>
        <w:tc>
          <w:tcPr>
            <w:tcW w:w="66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w w:val="93"/>
              </w:rPr>
              <w:t>5</w:t>
            </w: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Demographic Background</w:t>
            </w:r>
          </w:p>
        </w:tc>
        <w:tc>
          <w:tcPr>
            <w:tcW w:w="3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3080" w:type="dxa"/>
            <w:vAlign w:val="bottom"/>
          </w:tcPr>
          <w:p>
            <w:pPr>
              <w:jc w:val="center"/>
              <w:ind w:left="1676"/>
              <w:spacing w:after="0"/>
              <w:rPr>
                <w:sz w:val="20"/>
                <w:szCs w:val="20"/>
                <w:color w:val="auto"/>
              </w:rPr>
            </w:pPr>
            <w:r>
              <w:rPr>
                <w:rFonts w:ascii="Times New Roman" w:cs="Times New Roman" w:eastAsia="Times New Roman" w:hAnsi="Times New Roman"/>
                <w:sz w:val="17"/>
                <w:szCs w:val="17"/>
                <w:color w:val="auto"/>
                <w:w w:val="93"/>
              </w:rPr>
              <w:t>1</w:t>
            </w:r>
          </w:p>
        </w:tc>
        <w:tc>
          <w:tcPr>
            <w:tcW w:w="66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3080" w:type="dxa"/>
            <w:vAlign w:val="bottom"/>
            <w:shd w:val="clear" w:color="auto" w:fill="CCEEFF"/>
          </w:tcPr>
          <w:p>
            <w:pPr>
              <w:jc w:val="center"/>
              <w:ind w:left="16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Asian</w:t>
            </w:r>
          </w:p>
        </w:tc>
        <w:tc>
          <w:tcPr>
            <w:tcW w:w="3080" w:type="dxa"/>
            <w:vAlign w:val="bottom"/>
          </w:tcPr>
          <w:p>
            <w:pPr>
              <w:jc w:val="center"/>
              <w:ind w:left="16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3080" w:type="dxa"/>
            <w:vAlign w:val="bottom"/>
            <w:shd w:val="clear" w:color="auto" w:fill="CCEEFF"/>
          </w:tcPr>
          <w:p>
            <w:pPr>
              <w:jc w:val="center"/>
              <w:ind w:left="16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3080" w:type="dxa"/>
            <w:vAlign w:val="bottom"/>
          </w:tcPr>
          <w:p>
            <w:pPr>
              <w:jc w:val="center"/>
              <w:ind w:left="16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White</w:t>
            </w:r>
          </w:p>
        </w:tc>
        <w:tc>
          <w:tcPr>
            <w:tcW w:w="3080" w:type="dxa"/>
            <w:vAlign w:val="bottom"/>
            <w:shd w:val="clear" w:color="auto" w:fill="CCEEFF"/>
          </w:tcPr>
          <w:p>
            <w:pPr>
              <w:jc w:val="center"/>
              <w:ind w:left="1676"/>
              <w:spacing w:after="0"/>
              <w:rPr>
                <w:sz w:val="20"/>
                <w:szCs w:val="20"/>
                <w:color w:val="auto"/>
              </w:rPr>
            </w:pPr>
            <w:r>
              <w:rPr>
                <w:rFonts w:ascii="Times New Roman" w:cs="Times New Roman" w:eastAsia="Times New Roman" w:hAnsi="Times New Roman"/>
                <w:sz w:val="17"/>
                <w:szCs w:val="17"/>
                <w:color w:val="auto"/>
                <w:w w:val="93"/>
              </w:rPr>
              <w:t>2</w:t>
            </w:r>
          </w:p>
        </w:tc>
        <w:tc>
          <w:tcPr>
            <w:tcW w:w="66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7"/>
                <w:szCs w:val="17"/>
                <w:color w:val="auto"/>
                <w:w w:val="93"/>
              </w:rPr>
              <w:t>5</w:t>
            </w:r>
          </w:p>
        </w:tc>
        <w:tc>
          <w:tcPr>
            <w:tcW w:w="15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3080" w:type="dxa"/>
            <w:vAlign w:val="bottom"/>
          </w:tcPr>
          <w:p>
            <w:pPr>
              <w:jc w:val="center"/>
              <w:ind w:left="169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LGBTQ+</w:t>
            </w:r>
          </w:p>
        </w:tc>
        <w:tc>
          <w:tcPr>
            <w:tcW w:w="3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3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Borders>
              <w:bottom w:val="single" w:sz="8" w:color="auto"/>
            </w:tcBorders>
          </w:tcPr>
          <w:p>
            <w:pPr>
              <w:spacing w:after="0"/>
              <w:rPr>
                <w:sz w:val="17"/>
                <w:szCs w:val="17"/>
                <w:color w:val="auto"/>
              </w:rPr>
            </w:pPr>
          </w:p>
        </w:tc>
      </w:tr>
      <w:tr>
        <w:trPr>
          <w:trHeight w:val="59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w w:val="98"/>
              </w:rPr>
              <w:t>CORPORATE GOVERNANCE</w:t>
            </w: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Board and Board Committee</w:t>
            </w:r>
          </w:p>
        </w:tc>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86" w:lineRule="exact"/>
        <w:rPr>
          <w:sz w:val="20"/>
          <w:szCs w:val="20"/>
          <w:color w:val="auto"/>
        </w:rPr>
      </w:pPr>
    </w:p>
    <w:p>
      <w:pPr>
        <w:ind w:right="200" w:firstLine="454"/>
        <w:spacing w:after="0" w:line="274" w:lineRule="auto"/>
        <w:rPr>
          <w:sz w:val="20"/>
          <w:szCs w:val="20"/>
          <w:color w:val="auto"/>
        </w:rPr>
      </w:pPr>
      <w:r>
        <w:rPr>
          <w:rFonts w:ascii="Times New Roman" w:cs="Times New Roman" w:eastAsia="Times New Roman" w:hAnsi="Times New Roman"/>
          <w:sz w:val="16"/>
          <w:szCs w:val="16"/>
          <w:color w:val="auto"/>
        </w:rPr>
        <w:t>Our Board of Directors currently consists of eight directors. The Board of Directors has determined that each of Mses. Battle, Cashman and Hamlet, the Hon. Sen. Wampler and Messrs. Belk, McDowell and Warden are independent, as defined by NASDAQ. The Board of Directors met 4 times during the 2023 fiscal year. Each Director attended at least 75% of the meetings of the Board of Directors and committees on which such Director served. It is the policy of the Company that Directors nominated for election should attend annual meetings of stockholders. A regular meeting of the Board of Directors is scheduled in conjunction with the annual meeting, and all of the eight Directors who were then serving on and nominated for election to the Board attended last year’s annual meeting.</w:t>
      </w:r>
    </w:p>
    <w:p>
      <w:pPr>
        <w:spacing w:after="0" w:line="160" w:lineRule="exact"/>
        <w:rPr>
          <w:sz w:val="20"/>
          <w:szCs w:val="20"/>
          <w:color w:val="auto"/>
        </w:rPr>
      </w:pPr>
    </w:p>
    <w:p>
      <w:pPr>
        <w:ind w:right="400" w:firstLine="454"/>
        <w:spacing w:after="0" w:line="274" w:lineRule="auto"/>
        <w:rPr>
          <w:sz w:val="20"/>
          <w:szCs w:val="20"/>
          <w:color w:val="auto"/>
        </w:rPr>
      </w:pPr>
      <w:r>
        <w:rPr>
          <w:rFonts w:ascii="Times New Roman" w:cs="Times New Roman" w:eastAsia="Times New Roman" w:hAnsi="Times New Roman"/>
          <w:sz w:val="17"/>
          <w:szCs w:val="17"/>
          <w:color w:val="auto"/>
        </w:rPr>
        <w:t xml:space="preserve">The Board of Directors currently has two standing committees: an Audit Committee and an Organization, Compensation and Nominating Committee. The charters for both of these committees are available on the Company’s website at </w:t>
      </w:r>
      <w:r>
        <w:rPr>
          <w:rFonts w:ascii="Times New Roman" w:cs="Times New Roman" w:eastAsia="Times New Roman" w:hAnsi="Times New Roman"/>
          <w:sz w:val="17"/>
          <w:szCs w:val="17"/>
          <w:i w:val="1"/>
          <w:iCs w:val="1"/>
          <w:color w:val="auto"/>
        </w:rPr>
        <w:t>www.bassettfurniture.com.</w:t>
      </w:r>
    </w:p>
    <w:p>
      <w:pPr>
        <w:spacing w:after="0" w:line="159" w:lineRule="exact"/>
        <w:rPr>
          <w:sz w:val="20"/>
          <w:szCs w:val="20"/>
          <w:color w:val="auto"/>
        </w:rPr>
      </w:pPr>
    </w:p>
    <w:p>
      <w:pPr>
        <w:ind w:right="20" w:firstLine="454"/>
        <w:spacing w:after="0" w:line="253" w:lineRule="auto"/>
        <w:rPr>
          <w:sz w:val="20"/>
          <w:szCs w:val="20"/>
          <w:color w:val="auto"/>
        </w:rPr>
      </w:pP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The Audit Committee is composed of Mses. Battle and Cashman (chairman) and Messrs. Belk and McDowell. Among other things, the Audit Committee engages or dismisses independent auditors; approves all audit, audit-related and other auditor fees and services; reviews, evaluates and monitors the performance of audit activities; reviews periodic financial filings; and reviews internal audit activities. The Board of Directors has determined that each member of the Audit Committee meets the current independence and experience requirements contained in the listing standards of NASDAQ. The Board of Directors has also determined that each of Ms. Cashman and Messrs. Belk and McDowell is an “audit committee financial expert” as defined in the regulations promulgated by the Securities and Exchange Commission (the “SEC”). The Audit Committee met 8 times during the 2023 fiscal year.</w:t>
      </w:r>
    </w:p>
    <w:p>
      <w:pPr>
        <w:spacing w:after="0" w:line="176" w:lineRule="exact"/>
        <w:rPr>
          <w:sz w:val="20"/>
          <w:szCs w:val="20"/>
          <w:color w:val="auto"/>
        </w:rPr>
      </w:pPr>
    </w:p>
    <w:p>
      <w:pPr>
        <w:ind w:right="40" w:firstLine="454"/>
        <w:spacing w:after="0" w:line="253" w:lineRule="auto"/>
        <w:rPr>
          <w:sz w:val="20"/>
          <w:szCs w:val="20"/>
          <w:color w:val="auto"/>
        </w:rPr>
      </w:pPr>
      <w:r>
        <w:rPr>
          <w:rFonts w:ascii="Times New Roman" w:cs="Times New Roman" w:eastAsia="Times New Roman" w:hAnsi="Times New Roman"/>
          <w:sz w:val="17"/>
          <w:szCs w:val="17"/>
          <w:u w:val="single" w:color="auto"/>
          <w:color w:val="auto"/>
        </w:rPr>
        <w:t>Organization, Compensation and Nominating Committee</w:t>
      </w:r>
      <w:r>
        <w:rPr>
          <w:rFonts w:ascii="Times New Roman" w:cs="Times New Roman" w:eastAsia="Times New Roman" w:hAnsi="Times New Roman"/>
          <w:sz w:val="17"/>
          <w:szCs w:val="17"/>
          <w:color w:val="auto"/>
        </w:rPr>
        <w:t>: The Organization, Compensation and Nominating Committee is composed of Mr. Warden, Ms. Hamlet and the Hon. Sen. Wampler (chairman). The Committee reviews and makes recommendations to the Board of Directors with respect to executive compensation; establishes, reviews and recommends changes to the organizational structure of the Company so as to best utilize the management resources to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4 times during the 2023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ind w:right="280" w:firstLine="454"/>
        <w:spacing w:after="0" w:line="274" w:lineRule="auto"/>
        <w:rPr>
          <w:sz w:val="20"/>
          <w:szCs w:val="20"/>
          <w:color w:val="auto"/>
        </w:rPr>
      </w:pPr>
      <w:r>
        <w:rPr>
          <w:rFonts w:ascii="Times New Roman" w:cs="Times New Roman" w:eastAsia="Times New Roman" w:hAnsi="Times New Roman"/>
          <w:sz w:val="17"/>
          <w:szCs w:val="17"/>
          <w:u w:val="single" w:color="auto"/>
          <w:color w:val="auto"/>
        </w:rPr>
        <w:t>Board Leadership Structure and Board’s Role in Risk Oversight</w:t>
      </w:r>
      <w:r>
        <w:rPr>
          <w:rFonts w:ascii="Times New Roman" w:cs="Times New Roman" w:eastAsia="Times New Roman" w:hAnsi="Times New Roman"/>
          <w:sz w:val="17"/>
          <w:szCs w:val="17"/>
          <w:color w:val="auto"/>
        </w:rPr>
        <w:t>. Robert H. Spilman, Jr. has served as the Company’s President and Chief Executive Officer since 2000 and also as Chairman of the Board since 2016. William C. Warden, Jr. currently serves as Lead Independent Director.</w:t>
      </w:r>
    </w:p>
    <w:p>
      <w:pPr>
        <w:spacing w:after="0" w:line="159"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7"/>
          <w:szCs w:val="17"/>
          <w:color w:val="auto"/>
        </w:rPr>
        <w:t>The Board has no policy with respect to the separation of the offices of Chairman and the Chief Executive Officer. Mr. Spilman has worked forty years for the Company, including the last twenty-four years as President and CEO, and was named Chairman of the Board in 2016. Mr. Spilman has extensive knowledge of our industry, generally, and the Company’s business in particular. We believe this background enhances the role of Chairman of the Board in the development of long-term strategic plans and serving as counsel to senior management in the implementation of such plans.</w:t>
      </w:r>
    </w:p>
    <w:p>
      <w:pPr>
        <w:spacing w:after="0" w:line="175" w:lineRule="exact"/>
        <w:rPr>
          <w:sz w:val="20"/>
          <w:szCs w:val="20"/>
          <w:color w:val="auto"/>
        </w:rPr>
      </w:pPr>
    </w:p>
    <w:p>
      <w:pPr>
        <w:ind w:right="20" w:firstLine="454"/>
        <w:spacing w:after="0" w:line="256" w:lineRule="auto"/>
        <w:rPr>
          <w:sz w:val="20"/>
          <w:szCs w:val="20"/>
          <w:color w:val="auto"/>
        </w:rPr>
      </w:pPr>
      <w:r>
        <w:rPr>
          <w:rFonts w:ascii="Times New Roman" w:cs="Times New Roman" w:eastAsia="Times New Roman" w:hAnsi="Times New Roman"/>
          <w:sz w:val="17"/>
          <w:szCs w:val="17"/>
          <w:color w:val="auto"/>
        </w:rPr>
        <w:t>Mr. Warden, who currently serves on the Organization, Compensation and Nominating Committee and having previously served as Audit Committee chairman, was named Lead Independent Director in 2016. As Lead Independent Director, Mr. Warden is involved in the Board meeting agenda, consults with Board committee chairs, serves as liaison between the Chairman and the rest of the Board, presides during meetings of the Board in executive session and in the Chairman’s absence, and consults with the Chairman on stockholder and board matters.</w:t>
      </w:r>
    </w:p>
    <w:p>
      <w:pPr>
        <w:spacing w:after="0" w:line="175" w:lineRule="exact"/>
        <w:rPr>
          <w:sz w:val="20"/>
          <w:szCs w:val="20"/>
          <w:color w:val="auto"/>
        </w:rPr>
      </w:pPr>
    </w:p>
    <w:p>
      <w:pPr>
        <w:jc w:val="both"/>
        <w:ind w:right="260" w:firstLine="454"/>
        <w:spacing w:after="0" w:line="261" w:lineRule="auto"/>
        <w:rPr>
          <w:sz w:val="20"/>
          <w:szCs w:val="20"/>
          <w:color w:val="auto"/>
        </w:rPr>
      </w:pPr>
      <w:r>
        <w:rPr>
          <w:rFonts w:ascii="Times New Roman" w:cs="Times New Roman" w:eastAsia="Times New Roman" w:hAnsi="Times New Roman"/>
          <w:sz w:val="17"/>
          <w:szCs w:val="17"/>
          <w:color w:val="auto"/>
        </w:rPr>
        <w:t>Our Board of Directors believes that this leadership structure helps provide a well-functioning and effective balance between strong company leadership, an independent Lead Director and oversight by active, independent directors. For the above reasons, the Board of Directors believes the current leadership structure is appropriate for the Company.</w:t>
      </w:r>
    </w:p>
    <w:p>
      <w:pPr>
        <w:spacing w:after="0" w:line="169" w:lineRule="exact"/>
        <w:rPr>
          <w:sz w:val="20"/>
          <w:szCs w:val="20"/>
          <w:color w:val="auto"/>
        </w:rPr>
      </w:pPr>
    </w:p>
    <w:p>
      <w:pPr>
        <w:ind w:firstLine="454"/>
        <w:spacing w:after="0" w:line="261" w:lineRule="auto"/>
        <w:rPr>
          <w:sz w:val="20"/>
          <w:szCs w:val="20"/>
          <w:color w:val="auto"/>
        </w:rPr>
      </w:pPr>
      <w:r>
        <w:rPr>
          <w:rFonts w:ascii="Times New Roman" w:cs="Times New Roman" w:eastAsia="Times New Roman" w:hAnsi="Times New Roman"/>
          <w:sz w:val="17"/>
          <w:szCs w:val="17"/>
          <w:color w:val="auto"/>
        </w:rPr>
        <w:t>Our Board of Directors also believes that full and open communication between management and the Board of Directors is essential for effective risk management and oversight. Our Board meets with senior management at regular Board meetings to discuss strategy and risks facing the Company. Periodically, senior management delivers presentations to our Board or a Board committee regarding strategic matters and matters involving material risk.</w:t>
      </w:r>
    </w:p>
    <w:p>
      <w:pPr>
        <w:spacing w:after="0" w:line="169" w:lineRule="exact"/>
        <w:rPr>
          <w:sz w:val="20"/>
          <w:szCs w:val="20"/>
          <w:color w:val="auto"/>
        </w:rPr>
      </w:pPr>
    </w:p>
    <w:p>
      <w:pPr>
        <w:jc w:val="both"/>
        <w:ind w:right="300" w:firstLine="454"/>
        <w:spacing w:after="0" w:line="261" w:lineRule="auto"/>
        <w:rPr>
          <w:sz w:val="20"/>
          <w:szCs w:val="20"/>
          <w:color w:val="auto"/>
        </w:rPr>
      </w:pPr>
      <w:r>
        <w:rPr>
          <w:rFonts w:ascii="Times New Roman" w:cs="Times New Roman" w:eastAsia="Times New Roman" w:hAnsi="Times New Roman"/>
          <w:sz w:val="17"/>
          <w:szCs w:val="17"/>
          <w:color w:val="auto"/>
        </w:rPr>
        <w:t>While our Board of Directors is ultimately responsible for risk oversight, our Board committees assist the Board in fulfilling its oversight responsibilities in certain areas of risk. While Board committees are responsible for assisting the Board in evaluating certain risks and overseeing the management of such risks, our entire Board of Directors is regularly informed through management and committee reports about such risks and steps taken to manage and mitigate them.</w:t>
      </w:r>
    </w:p>
    <w:p>
      <w:pPr>
        <w:spacing w:after="0" w:line="169" w:lineRule="exact"/>
        <w:rPr>
          <w:sz w:val="20"/>
          <w:szCs w:val="20"/>
          <w:color w:val="auto"/>
        </w:rPr>
      </w:pPr>
    </w:p>
    <w:p>
      <w:pPr>
        <w:ind w:right="60" w:firstLine="454"/>
        <w:spacing w:after="0" w:line="253" w:lineRule="auto"/>
        <w:rPr>
          <w:sz w:val="20"/>
          <w:szCs w:val="20"/>
          <w:color w:val="auto"/>
        </w:rPr>
      </w:pPr>
      <w:r>
        <w:rPr>
          <w:rFonts w:ascii="Times New Roman" w:cs="Times New Roman" w:eastAsia="Times New Roman" w:hAnsi="Times New Roman"/>
          <w:sz w:val="17"/>
          <w:szCs w:val="17"/>
          <w:color w:val="auto"/>
        </w:rPr>
        <w:t>The Audit Committee assists our Board in fulfilling its oversight responsibilities with respect to risk management in the areas of internal control over financial reporting, disclosure controls and procedures, cyber and information security, and legal and regulatory compliance. The Audit Committee discusses with management and the independent auditor significant business, financial and legal risk exposures and the steps management has taken to monitor and control such exposure. As it continues to monitor and take steps to protect against, prevent and prepare to respond to cyber security threats, management reports on those efforts to the Audit Committee multiple times per year and at least annually to the Board. Several members of the Board, including members of the Audit Committee have significant exposure to information security, digital technology and cyber risk through firsthand experience in retail operations and online sales and marketing.</w:t>
      </w:r>
    </w:p>
    <w:p>
      <w:pPr>
        <w:spacing w:after="0" w:line="176"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7"/>
          <w:szCs w:val="17"/>
          <w:color w:val="auto"/>
        </w:rPr>
        <w:t>The Organization, Compensation and Nominating (OCN) Committee assists our Board in fulfilling its oversight responsibilities with respect to the management of risks arising from our compensation policies and programs, board organization, membership and structure, corporate governance and succession planning for our Directors and senior management. The OCN Committee is responsible for overseeing development and maintenance of human capital and reviews management’s analysis of the Company’s diversity and inclusion efforts, the results of which are shared with the Board at each regular meeting.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9" w:name="page10"/>
    <w:bookmarkEnd w:id="9"/>
    <w:tbl>
      <w:tblPr>
        <w:tblLayout w:type="fixed"/>
        <w:tblInd w:w="1120" w:type="dxa"/>
        <w:tblCellMar>
          <w:top w:w="0" w:type="dxa"/>
          <w:left w:w="0" w:type="dxa"/>
          <w:bottom w:w="0" w:type="dxa"/>
          <w:right w:w="0" w:type="dxa"/>
        </w:tblCellMar>
      </w:tblPr>
      <w:tr>
        <w:trPr>
          <w:trHeight w:val="222"/>
        </w:trPr>
        <w:tc>
          <w:tcPr>
            <w:tcW w:w="2480" w:type="dxa"/>
            <w:vAlign w:val="bottom"/>
          </w:tcPr>
          <w:p>
            <w:pPr>
              <w:spacing w:after="0"/>
              <w:rPr>
                <w:sz w:val="19"/>
                <w:szCs w:val="19"/>
                <w:color w:val="auto"/>
              </w:rPr>
            </w:pPr>
          </w:p>
        </w:tc>
        <w:tc>
          <w:tcPr>
            <w:tcW w:w="3420" w:type="dxa"/>
            <w:vAlign w:val="bottom"/>
            <w:gridSpan w:val="5"/>
          </w:tcPr>
          <w:p>
            <w:pPr>
              <w:ind w:left="860"/>
              <w:spacing w:after="0"/>
              <w:rPr>
                <w:sz w:val="20"/>
                <w:szCs w:val="20"/>
                <w:color w:val="auto"/>
              </w:rPr>
            </w:pPr>
            <w:r>
              <w:rPr>
                <w:rFonts w:ascii="Times New Roman" w:cs="Times New Roman" w:eastAsia="Times New Roman" w:hAnsi="Times New Roman"/>
                <w:sz w:val="17"/>
                <w:szCs w:val="17"/>
                <w:b w:val="1"/>
                <w:bCs w:val="1"/>
                <w:color w:val="auto"/>
              </w:rPr>
              <w:t>DIRECTOR COMPENSATION</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3"/>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Fees earned</w:t>
            </w: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3"/>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or paid in</w:t>
            </w: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64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cash (1)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Pr>
          <w:p>
            <w:pPr>
              <w:spacing w:after="0"/>
              <w:rPr>
                <w:sz w:val="19"/>
                <w:szCs w:val="19"/>
                <w:color w:val="auto"/>
              </w:rPr>
            </w:pPr>
          </w:p>
        </w:tc>
        <w:tc>
          <w:tcPr>
            <w:tcW w:w="16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Emma S. Battle</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55,000</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 Belk</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Kristina Cashman</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Virginia W. Hamlet</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 Walter McDowell</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C. Wampler, Jr.</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C. Warden, Jr.</w:t>
            </w:r>
          </w:p>
        </w:tc>
        <w:tc>
          <w:tcPr>
            <w:tcW w:w="3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70,000</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39,985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annual retainer fee, committee chairperson retainer fee and Lead Independent Director retainer fee.</w:t>
      </w:r>
    </w:p>
    <w:p>
      <w:pPr>
        <w:spacing w:after="0" w:line="22" w:lineRule="exact"/>
        <w:rPr>
          <w:rFonts w:ascii="Times New Roman" w:cs="Times New Roman" w:eastAsia="Times New Roman" w:hAnsi="Times New Roman"/>
          <w:sz w:val="17"/>
          <w:szCs w:val="17"/>
          <w:color w:val="auto"/>
        </w:rPr>
      </w:pPr>
    </w:p>
    <w:p>
      <w:pPr>
        <w:ind w:left="300" w:right="280" w:hanging="299"/>
        <w:spacing w:after="0" w:line="255"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2021 Stock Incentive Plan, each of the Company’s non-employee Directors received an award of 2,159 shares of restricted stock on March 8, 2023. These shares had a grant date fair value of $18.52 and will vest on March 8,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2" w:lineRule="exact"/>
        <w:rPr>
          <w:sz w:val="20"/>
          <w:szCs w:val="20"/>
          <w:color w:val="auto"/>
        </w:rPr>
      </w:pPr>
    </w:p>
    <w:p>
      <w:pPr>
        <w:ind w:right="60" w:firstLine="454"/>
        <w:spacing w:after="0" w:line="307" w:lineRule="auto"/>
        <w:rPr>
          <w:sz w:val="20"/>
          <w:szCs w:val="20"/>
          <w:color w:val="auto"/>
        </w:rPr>
      </w:pPr>
      <w:r>
        <w:rPr>
          <w:rFonts w:ascii="Times New Roman" w:cs="Times New Roman" w:eastAsia="Times New Roman" w:hAnsi="Times New Roman"/>
          <w:sz w:val="16"/>
          <w:szCs w:val="16"/>
          <w:color w:val="auto"/>
        </w:rPr>
        <w:t>The Organization, Compensation and Nominating Committee is responsible for recommending director compensation to the Board of Directors. The following compensation arrangements have been recommended by the Organization, Compensation and Nominating Committee and approved by the Board of Directors.</w:t>
      </w:r>
    </w:p>
    <w:p>
      <w:pPr>
        <w:spacing w:after="0" w:line="134" w:lineRule="exact"/>
        <w:rPr>
          <w:sz w:val="20"/>
          <w:szCs w:val="20"/>
          <w:color w:val="auto"/>
        </w:rPr>
      </w:pPr>
    </w:p>
    <w:p>
      <w:pPr>
        <w:ind w:firstLine="454"/>
        <w:spacing w:after="0" w:line="254" w:lineRule="auto"/>
        <w:rPr>
          <w:sz w:val="20"/>
          <w:szCs w:val="20"/>
          <w:color w:val="auto"/>
        </w:rPr>
      </w:pPr>
      <w:r>
        <w:rPr>
          <w:rFonts w:ascii="Times New Roman" w:cs="Times New Roman" w:eastAsia="Times New Roman" w:hAnsi="Times New Roman"/>
          <w:sz w:val="17"/>
          <w:szCs w:val="17"/>
          <w:color w:val="auto"/>
        </w:rPr>
        <w:t>Directors who are not employees of the Company receive an annual retainer fee of $55,000. The Lead Independent Director receives an additional annual retainer fee of $15,000, the chairperson of the Audit Committee receives an additional annual retainer fee of $10,000 and the chairperson of the Organization, Compensation and Nominating Committee receives an additional annual retainer fee of $5,000. Under the 2021 Stock Incentive Plan, each non-employee director received an annual grant of $40,000 in restricted stock following the 2023 Annual Meeting of Stockholders. Directors who are also employees of the Company receive no additional compensation for serving as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12" w:lineRule="exact"/>
        <w:rPr>
          <w:sz w:val="20"/>
          <w:szCs w:val="20"/>
          <w:color w:val="auto"/>
        </w:rPr>
      </w:pPr>
    </w:p>
    <w:p>
      <w:pPr>
        <w:jc w:val="both"/>
        <w:ind w:right="280" w:firstLine="454"/>
        <w:spacing w:after="0" w:line="256" w:lineRule="auto"/>
        <w:rPr>
          <w:sz w:val="20"/>
          <w:szCs w:val="20"/>
          <w:color w:val="auto"/>
        </w:rPr>
      </w:pPr>
      <w:r>
        <w:rPr>
          <w:rFonts w:ascii="Times New Roman" w:cs="Times New Roman" w:eastAsia="Times New Roman" w:hAnsi="Times New Roman"/>
          <w:sz w:val="17"/>
          <w:szCs w:val="17"/>
          <w:color w:val="auto"/>
        </w:rPr>
        <w:t>The Board established stock ownership guidelines for non-employee Directors receiving restricted stock. Non-employee Directors should not sell common stock of the Company until each non-employee Director accumulates and holds common stock of the Company with a minimum value equivalent to five times the Director’s annual retainer and other fees for the previous year. All non-employee Directors are in compliance with the stock ownership guidelines as of the end of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Governing Director Nominations</w:t>
      </w:r>
    </w:p>
    <w:p>
      <w:pPr>
        <w:spacing w:after="0" w:line="212" w:lineRule="exact"/>
        <w:rPr>
          <w:sz w:val="20"/>
          <w:szCs w:val="20"/>
          <w:color w:val="auto"/>
        </w:rPr>
      </w:pPr>
    </w:p>
    <w:p>
      <w:pPr>
        <w:ind w:right="40" w:firstLine="454"/>
        <w:spacing w:after="0" w:line="254" w:lineRule="auto"/>
        <w:rPr>
          <w:sz w:val="20"/>
          <w:szCs w:val="20"/>
          <w:color w:val="auto"/>
        </w:rPr>
      </w:pPr>
      <w:r>
        <w:rPr>
          <w:rFonts w:ascii="Times New Roman" w:cs="Times New Roman" w:eastAsia="Times New Roman" w:hAnsi="Times New Roman"/>
          <w:sz w:val="17"/>
          <w:szCs w:val="17"/>
          <w:color w:val="auto"/>
        </w:rPr>
        <w:t>The Organization, Compensation and Nominating Committee evaluates candidates taking into account their individual skills and characteristics relative to the skills and characteristics of the current Board as a whole. Factors considered include diversity, age and such skills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understanding of appropriate technologies, work experience relevant to the Company’s businesses, and decision-making ability) as are suited to the Company’s and the Board’s needs at the time. Although the Company has no diversity policy, the Board believes that diversity with respect to factors such as background, experience, skills, race, gender and national origin is an important consideration in board composition.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0" w:name="page11"/>
    <w:bookmarkEnd w:id="10"/>
    <w:p>
      <w:pPr>
        <w:ind w:right="180" w:firstLine="454"/>
        <w:spacing w:after="0" w:line="285" w:lineRule="auto"/>
        <w:rPr>
          <w:sz w:val="20"/>
          <w:szCs w:val="20"/>
          <w:color w:val="auto"/>
        </w:rPr>
      </w:pPr>
      <w:r>
        <w:rPr>
          <w:rFonts w:ascii="Times New Roman" w:cs="Times New Roman" w:eastAsia="Times New Roman" w:hAnsi="Times New Roman"/>
          <w:sz w:val="16"/>
          <w:szCs w:val="16"/>
          <w:color w:val="auto"/>
        </w:rPr>
        <w:t>Two members of the Organization, Compensation and Nominating Committee are selected each year to identify, screen, interview and submit Director candidates to the Organization, Compensation and Nominating Committee. Prospective candidates are typically identified by current non-management or former members of the Board. This process begins after an annual assessment and report by the Organization, Compensation and Nominating Committee to the full Board.</w:t>
      </w:r>
    </w:p>
    <w:p>
      <w:pPr>
        <w:spacing w:after="0" w:line="151"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7"/>
          <w:szCs w:val="17"/>
          <w:color w:val="auto"/>
        </w:rPr>
        <w:t>The Organization, Compensation and Nominating Committee will consider Director candidates recommended by stockholders. A stockholder requesting that a recommendation be reviewed by the Organization, Compensation and Nominating Committee should submit such information as the stockholder deems pertinent for service on the Board, such as age, experience and skills, and any other information required to be disclosed in a proxy statement regarding the prospect. This information must be accompanied by the prospective candidate’s written consent to serve on the Board of Directors if nominated and elected. This information should be received by the Secretary of the Company at P.O. Box 626, Bassett, Virginia 24055, by December 6, 2024 for nominations to be made at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Interested Party Communications with the Board of Directors</w:t>
      </w:r>
    </w:p>
    <w:p>
      <w:pPr>
        <w:spacing w:after="0" w:line="212" w:lineRule="exact"/>
        <w:rPr>
          <w:sz w:val="20"/>
          <w:szCs w:val="20"/>
          <w:color w:val="auto"/>
        </w:rPr>
      </w:pPr>
    </w:p>
    <w:p>
      <w:pPr>
        <w:ind w:right="80" w:firstLine="454"/>
        <w:spacing w:after="0" w:line="261" w:lineRule="auto"/>
        <w:rPr>
          <w:sz w:val="20"/>
          <w:szCs w:val="20"/>
          <w:color w:val="auto"/>
        </w:rPr>
      </w:pPr>
      <w:r>
        <w:rPr>
          <w:rFonts w:ascii="Times New Roman" w:cs="Times New Roman" w:eastAsia="Times New Roman" w:hAnsi="Times New Roman"/>
          <w:sz w:val="17"/>
          <w:szCs w:val="17"/>
          <w:color w:val="auto"/>
        </w:rPr>
        <w:t>Interested parties, including security holders, may send communications to the Board of Directors by mailing the same addressed to the Board of Directors (or addressed to a specific individual Director), Bassett Furniture Industries, Incorporated, P.O. Box 626, Bassett, Virginia 24055. The Board of Directors, including a majority of the independent directors, has adopted a procedure for receiving and addressing such communications.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w:t>
      </w:r>
    </w:p>
    <w:p>
      <w:pPr>
        <w:spacing w:after="0" w:line="212" w:lineRule="exact"/>
        <w:rPr>
          <w:sz w:val="20"/>
          <w:szCs w:val="20"/>
          <w:color w:val="auto"/>
        </w:rPr>
      </w:pPr>
    </w:p>
    <w:p>
      <w:pPr>
        <w:ind w:right="100" w:firstLine="454"/>
        <w:spacing w:after="0" w:line="254" w:lineRule="auto"/>
        <w:rPr>
          <w:sz w:val="20"/>
          <w:szCs w:val="20"/>
          <w:color w:val="auto"/>
        </w:rPr>
      </w:pPr>
      <w:r>
        <w:rPr>
          <w:rFonts w:ascii="Times New Roman" w:cs="Times New Roman" w:eastAsia="Times New Roman" w:hAnsi="Times New Roman"/>
          <w:sz w:val="17"/>
          <w:szCs w:val="17"/>
          <w:color w:val="auto"/>
        </w:rPr>
        <w:t>The Company maintains a Code of Business Conduct (the “Code”), which is administered by the Audit Committee and is applicable to all of the Company’s employees, officers and Directors. The purpose of the Code is to convey the Company’s policies and practices for conducting business in accordance with its commitment to applying high ethical standards to its business practice. Any waiver of the Code for executive officers or Directors will be made only by the Board of Directors or its Audit Committee and will be promptly disclosed. In support of the Code, the Company has provided employees with a number of avenues for the reporting of ethics violations or similar concerns, including a process for making such reports anonymously.</w:t>
      </w:r>
    </w:p>
    <w:p>
      <w:pPr>
        <w:spacing w:after="0" w:line="176" w:lineRule="exact"/>
        <w:rPr>
          <w:sz w:val="20"/>
          <w:szCs w:val="20"/>
          <w:color w:val="auto"/>
        </w:rPr>
      </w:pPr>
    </w:p>
    <w:p>
      <w:pPr>
        <w:jc w:val="both"/>
        <w:ind w:right="180" w:firstLine="454"/>
        <w:spacing w:after="0" w:line="277" w:lineRule="auto"/>
        <w:rPr>
          <w:sz w:val="20"/>
          <w:szCs w:val="20"/>
          <w:color w:val="auto"/>
        </w:rPr>
      </w:pPr>
      <w:r>
        <w:rPr>
          <w:rFonts w:ascii="Times New Roman" w:cs="Times New Roman" w:eastAsia="Times New Roman" w:hAnsi="Times New Roman"/>
          <w:sz w:val="16"/>
          <w:szCs w:val="16"/>
          <w:color w:val="auto"/>
        </w:rPr>
        <w:t xml:space="preserve">The Code was adopted by the Board of Directors and is reviewed periodically by the Board of Directors. The Code is available for review on the Company’s website, </w:t>
      </w:r>
      <w:r>
        <w:rPr>
          <w:rFonts w:ascii="Times New Roman" w:cs="Times New Roman" w:eastAsia="Times New Roman" w:hAnsi="Times New Roman"/>
          <w:sz w:val="16"/>
          <w:szCs w:val="16"/>
          <w:i w:val="1"/>
          <w:iCs w:val="1"/>
          <w:color w:val="auto"/>
        </w:rPr>
        <w:t>www.bassettfurniture.com</w:t>
      </w:r>
      <w:r>
        <w:rPr>
          <w:rFonts w:ascii="Times New Roman" w:cs="Times New Roman" w:eastAsia="Times New Roman" w:hAnsi="Times New Roman"/>
          <w:sz w:val="16"/>
          <w:szCs w:val="16"/>
          <w:color w:val="auto"/>
        </w:rPr>
        <w:t>, and the Company will post any amendments to, or waivers for executive officers from the Code on that website. A copy of the Code may be obtained, without charge, upon written request to Jay R. Hervey, Secretary, Bassett Furniture Industries, Incorporated, P.O. Box 626, Bassett, Virginia 24055. Information on our website is not, and will not be deemed to be, a part of this Proxy Statement or incorporated into any other filings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Transactions</w:t>
      </w:r>
    </w:p>
    <w:p>
      <w:pPr>
        <w:spacing w:after="0" w:line="212" w:lineRule="exact"/>
        <w:rPr>
          <w:sz w:val="20"/>
          <w:szCs w:val="20"/>
          <w:color w:val="auto"/>
        </w:rPr>
      </w:pPr>
    </w:p>
    <w:p>
      <w:pPr>
        <w:ind w:right="20" w:firstLine="454"/>
        <w:spacing w:after="0" w:line="251" w:lineRule="auto"/>
        <w:rPr>
          <w:sz w:val="20"/>
          <w:szCs w:val="20"/>
          <w:color w:val="auto"/>
        </w:rPr>
      </w:pPr>
      <w:r>
        <w:rPr>
          <w:rFonts w:ascii="Times New Roman" w:cs="Times New Roman" w:eastAsia="Times New Roman" w:hAnsi="Times New Roman"/>
          <w:sz w:val="17"/>
          <w:szCs w:val="17"/>
          <w:color w:val="auto"/>
        </w:rPr>
        <w:t>The Company recognizes that transactions between Bassett and related persons present a potential for actual or perceived conflicts of interest. The Company’s general policies with respect to such transactions are included in its Code. As a supplement to the Code, the Audit Committee adopted a written policy setting out the procedures and standards to be followed for the identification and evaluation of “related party transactions.” For purposes of the policy, a related party transaction is any transaction or series of related transactions in excess of $120,000 in which the Company is a party and in which a “related person” has a material interest. Related persons include Directors, Director nominees, executive officers, 5% beneficial owners and members of their immediate families. The Audit Committee determined that certain transactions are deemed to be pre-approved under this policy. These include (i) transactions with another company in which the related person’s only interest is as a director or a beneficial owner of less than 10% of that company’s outstanding stock or limited partnership interests, or both, and (ii) certain compensation arrangements that have either been disclosed in our proxy statement or approved by our Organization, Compensation and Nominating Committee, which administers the policy.</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552" w:right="399" w:bottom="1440" w:gutter="0" w:footer="0" w:header="0"/>
        </w:sectPr>
      </w:pPr>
    </w:p>
    <w:bookmarkStart w:id="11" w:name="page12"/>
    <w:bookmarkEnd w:id="11"/>
    <w:p>
      <w:pPr>
        <w:ind w:right="140" w:firstLine="454"/>
        <w:spacing w:after="0" w:line="253" w:lineRule="auto"/>
        <w:rPr>
          <w:sz w:val="20"/>
          <w:szCs w:val="20"/>
          <w:color w:val="auto"/>
        </w:rPr>
      </w:pPr>
      <w:r>
        <w:rPr>
          <w:rFonts w:ascii="Times New Roman" w:cs="Times New Roman" w:eastAsia="Times New Roman" w:hAnsi="Times New Roman"/>
          <w:sz w:val="17"/>
          <w:szCs w:val="17"/>
          <w:color w:val="auto"/>
        </w:rPr>
        <w:t>The Company collects information about potential related party transactions in its annual questionnaires completed by Directors and executive officers. Potential related party transactions are first reviewed and assessed by our General Counsel to consider the materiality of the transactions and then reported to the Organization, Compensation, and Nominating Committee, which administers the policy. The Organization, Compensation, and Nominating Committee reviews and considers all relevant information available to it about each related party transaction. A related party transaction is approved or ratified only if the Organization, Compensation, and Nominating Committee determines that it is in, or is not inconsistent with, the best interests of the Company and its stockholders and in compliance with the Code.</w:t>
      </w:r>
    </w:p>
    <w:p>
      <w:pPr>
        <w:spacing w:after="0" w:line="176" w:lineRule="exact"/>
        <w:rPr>
          <w:sz w:val="20"/>
          <w:szCs w:val="20"/>
          <w:color w:val="auto"/>
        </w:rPr>
      </w:pPr>
    </w:p>
    <w:p>
      <w:pPr>
        <w:ind w:right="120" w:firstLine="454"/>
        <w:spacing w:after="0" w:line="251" w:lineRule="auto"/>
        <w:rPr>
          <w:sz w:val="20"/>
          <w:szCs w:val="20"/>
          <w:color w:val="auto"/>
        </w:rPr>
      </w:pPr>
      <w:r>
        <w:rPr>
          <w:rFonts w:ascii="Times New Roman" w:cs="Times New Roman" w:eastAsia="Times New Roman" w:hAnsi="Times New Roman"/>
          <w:sz w:val="17"/>
          <w:szCs w:val="17"/>
          <w:color w:val="auto"/>
        </w:rPr>
        <w:t>A son (Tyler Bassett) of John E. Bassett, III is an employee of the Company and was paid $210,397 in salary, non-equity incentive compensation, restricted stock and benefits in 2022, and $168,636 in salary, benefits and restricted stock in 2023. A daughter (Anne Spilman) of Robert H. Spilman, Jr. is an employee of the Company and was paid $215,397 in salary, restricted stock, non-equity incentive compensation and benefits in 2022, and $171,273 in salary, benefits and restricted stock in 2023. A son (Robert H. Spilman III) of Robert H. Spilman, Jr. is an employee of the Company and was paid $214,147 in salary, non-equity incentive compensation, restricted stock and benefits in 2022, and $164,920 in salary, benefits and restricted stock in 2023. These employment arrangements were reported to the Organization, Compensation, and Nominating Committee, which approved them in accordance with the above policy. In 2023, the Company, after receiving the Organization, Compensation, and Nominating Committee’s approval, invested $10 million in the Gabelli U.S. Treasury Money Market Fund managed by Gabelli Funds, LLC, which is an affiliate of 5% or more shareholder GAMCO Investors, Inc., et 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2" w:lineRule="exact"/>
        <w:rPr>
          <w:sz w:val="20"/>
          <w:szCs w:val="20"/>
          <w:color w:val="auto"/>
        </w:rPr>
      </w:pPr>
    </w:p>
    <w:p>
      <w:pPr>
        <w:ind w:right="120" w:firstLine="454"/>
        <w:spacing w:after="0" w:line="261" w:lineRule="auto"/>
        <w:rPr>
          <w:sz w:val="20"/>
          <w:szCs w:val="20"/>
          <w:color w:val="auto"/>
        </w:rPr>
      </w:pPr>
      <w:r>
        <w:rPr>
          <w:rFonts w:ascii="Times New Roman" w:cs="Times New Roman" w:eastAsia="Times New Roman" w:hAnsi="Times New Roman"/>
          <w:sz w:val="17"/>
          <w:szCs w:val="17"/>
          <w:color w:val="auto"/>
        </w:rPr>
        <w:t>The Audit Committee of the Board of Directors (the “Audit Committee”) is composed of four Directors and operates under a written charter adopted by the Board of Directors and annually reassessed and updated by the Audit Committee, as needed, in accordance with applicable rules of the SEC and NASDAQ. Each of the members of the Audit Committee is independent, as defined by NASDAQ.</w:t>
      </w:r>
    </w:p>
    <w:p>
      <w:pPr>
        <w:spacing w:after="0" w:line="169" w:lineRule="exact"/>
        <w:rPr>
          <w:sz w:val="20"/>
          <w:szCs w:val="20"/>
          <w:color w:val="auto"/>
        </w:rPr>
      </w:pPr>
    </w:p>
    <w:p>
      <w:pPr>
        <w:ind w:right="120" w:firstLine="454"/>
        <w:spacing w:after="0" w:line="256" w:lineRule="auto"/>
        <w:rPr>
          <w:sz w:val="20"/>
          <w:szCs w:val="20"/>
          <w:color w:val="auto"/>
        </w:rPr>
      </w:pPr>
      <w:r>
        <w:rPr>
          <w:rFonts w:ascii="Times New Roman" w:cs="Times New Roman" w:eastAsia="Times New Roman" w:hAnsi="Times New Roman"/>
          <w:sz w:val="17"/>
          <w:szCs w:val="17"/>
          <w:color w:val="auto"/>
        </w:rPr>
        <w:t>Management is responsible for the Company’s internal controls and the financial reporting process. The independent registered public accounting firm is responsible for performing an independent audit of the Company’s financial statements and internal control over financial reporting and issuing their report thereon. The Audit Committee’s primary responsibility is to monitor and oversee these processes. The Audit Committee also selects the Company’s independent registered public accounting firm.</w:t>
      </w:r>
    </w:p>
    <w:p>
      <w:pPr>
        <w:spacing w:after="0" w:line="175"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7"/>
          <w:szCs w:val="17"/>
          <w:color w:val="auto"/>
        </w:rPr>
        <w:t xml:space="preserve">In this context, the Audit Committee has reviewed and discussed the Company’s financial statements with both management and the independent registered public accounting firm. The Audit Committee also discussed with the independent registered public accounting firm matters required of auditors to be discussed by auditing standards generally accepted in the United States, including the matters required to be discussed by Auditing Standard No. 1301, </w:t>
      </w:r>
      <w:r>
        <w:rPr>
          <w:rFonts w:ascii="Times New Roman" w:cs="Times New Roman" w:eastAsia="Times New Roman" w:hAnsi="Times New Roman"/>
          <w:sz w:val="17"/>
          <w:szCs w:val="17"/>
          <w:i w:val="1"/>
          <w:iCs w:val="1"/>
          <w:color w:val="auto"/>
        </w:rPr>
        <w:t>Communications with 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Committees</w:t>
      </w:r>
      <w:r>
        <w:rPr>
          <w:rFonts w:ascii="Times New Roman" w:cs="Times New Roman" w:eastAsia="Times New Roman" w:hAnsi="Times New Roman"/>
          <w:sz w:val="17"/>
          <w:szCs w:val="17"/>
          <w:color w:val="auto"/>
        </w:rPr>
        <w:t>, as adopted by the Public Company Accounting Oversight Board. The Company’s independent registered public accounting firm also provided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Audit Committee the written disclosures and the letter required pursuant to Rule 3526 of the Public Company Accounting Oversight Board, </w:t>
      </w:r>
      <w:r>
        <w:rPr>
          <w:rFonts w:ascii="Times New Roman" w:cs="Times New Roman" w:eastAsia="Times New Roman" w:hAnsi="Times New Roman"/>
          <w:sz w:val="17"/>
          <w:szCs w:val="17"/>
          <w:i w:val="1"/>
          <w:iCs w:val="1"/>
          <w:color w:val="auto"/>
        </w:rPr>
        <w:t>Communication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Audit Committees Concerning Independence</w:t>
      </w:r>
      <w:r>
        <w:rPr>
          <w:rFonts w:ascii="Times New Roman" w:cs="Times New Roman" w:eastAsia="Times New Roman" w:hAnsi="Times New Roman"/>
          <w:sz w:val="17"/>
          <w:szCs w:val="17"/>
          <w:color w:val="auto"/>
        </w:rPr>
        <w:t>, and the Audit Committee discussed with the independent registered public accounting firm their independence.</w:t>
      </w:r>
    </w:p>
    <w:p>
      <w:pPr>
        <w:spacing w:after="0" w:line="176"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7"/>
          <w:szCs w:val="17"/>
          <w:color w:val="auto"/>
        </w:rPr>
        <w:t>Based on the foregoing, the Audit Committee recommended to the Board of Directors that the audited financial statements be included in the Company’s Annual Report on Form 10-K for the fiscal year ended November 25, 2023 filed with the Securities and Exchange Commission on January 25, 2024. The Audit Committee also recommends that the stockholders ratify the retention of Ernst &amp; Young LLP as the Company’s independent registered public accounting firm for the fiscal year ending November 30, 2024.</w:t>
      </w:r>
    </w:p>
    <w:p>
      <w:pPr>
        <w:spacing w:after="0" w:line="17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Audit Committee:</w:t>
      </w:r>
    </w:p>
    <w:p>
      <w:pPr>
        <w:spacing w:after="0" w:line="20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Kristina Cashman, Chairman</w:t>
      </w:r>
    </w:p>
    <w:p>
      <w:pPr>
        <w:spacing w:after="0" w:line="2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Emma S. Battle</w:t>
      </w:r>
    </w:p>
    <w:p>
      <w:pPr>
        <w:spacing w:after="0" w:line="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John R. Belk</w:t>
      </w:r>
    </w:p>
    <w:p>
      <w:pPr>
        <w:spacing w:after="0" w:line="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J. Walter McDowell</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552"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Organization, Compensation and Nominating Committee Report</w:t>
      </w:r>
    </w:p>
    <w:p>
      <w:pPr>
        <w:spacing w:after="0" w:line="212" w:lineRule="exact"/>
        <w:rPr>
          <w:sz w:val="20"/>
          <w:szCs w:val="20"/>
          <w:color w:val="auto"/>
        </w:rPr>
      </w:pPr>
    </w:p>
    <w:p>
      <w:pPr>
        <w:ind w:right="40" w:firstLine="454"/>
        <w:spacing w:after="0" w:line="254" w:lineRule="auto"/>
        <w:rPr>
          <w:sz w:val="20"/>
          <w:szCs w:val="20"/>
          <w:color w:val="auto"/>
        </w:rPr>
      </w:pPr>
      <w:r>
        <w:rPr>
          <w:rFonts w:ascii="Times New Roman" w:cs="Times New Roman" w:eastAsia="Times New Roman" w:hAnsi="Times New Roman"/>
          <w:sz w:val="17"/>
          <w:szCs w:val="17"/>
          <w:color w:val="auto"/>
        </w:rPr>
        <w:t>As detailed in its charter, the Organization, Compensation and Nominating Committee of the Board oversees the Company’s executive compensation program on behalf of the Board. In the performance of this function, the Organization, Compensation and Nominating Committee, among other things, reviewed and discussed with management the Compensation Discussion and Analysis set forth below in this proxy statement. Based on this review and discussion, the Organization, Compensation and Nominating Committee recommended to the Company’s Board of Directors that the Compensation Discussion and Analysis be included in the Company’s Annual Report on Form 10-K for the fiscal year ended November 25, 2023 and this proxy statement.</w:t>
      </w:r>
    </w:p>
    <w:p>
      <w:pPr>
        <w:spacing w:after="0" w:line="17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Organization, Compensation and</w:t>
      </w:r>
    </w:p>
    <w:p>
      <w:pPr>
        <w:spacing w:after="0" w:line="2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Nominating Committee:</w:t>
      </w:r>
    </w:p>
    <w:p>
      <w:pPr>
        <w:spacing w:after="0" w:line="19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William C. Wampler, Jr., Chairman</w:t>
      </w:r>
    </w:p>
    <w:p>
      <w:pPr>
        <w:spacing w:after="0" w:line="2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Virginia W. Hamlet</w:t>
      </w:r>
    </w:p>
    <w:p>
      <w:pPr>
        <w:spacing w:after="0" w:line="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William C. Warden, Jr.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2" w:lineRule="exact"/>
        <w:rPr>
          <w:sz w:val="20"/>
          <w:szCs w:val="20"/>
          <w:color w:val="auto"/>
        </w:rPr>
      </w:pPr>
    </w:p>
    <w:p>
      <w:pPr>
        <w:ind w:firstLine="454"/>
        <w:spacing w:after="0" w:line="274" w:lineRule="auto"/>
        <w:rPr>
          <w:sz w:val="20"/>
          <w:szCs w:val="20"/>
          <w:color w:val="auto"/>
        </w:rPr>
      </w:pPr>
      <w:r>
        <w:rPr>
          <w:rFonts w:ascii="Times New Roman" w:cs="Times New Roman" w:eastAsia="Times New Roman" w:hAnsi="Times New Roman"/>
          <w:sz w:val="16"/>
          <w:szCs w:val="16"/>
          <w:color w:val="auto"/>
        </w:rPr>
        <w:t>This Compensation Discussion and Analysis (“CD&amp;A”) describes the material elements of compensation paid to our executive officers as well as the objectives and material factors underlying our compensation policies and decisions. The information in this CD&amp;A provides context for the compensation disclosures in the tables and related discussions that follow in this proxy statement. The Organization, Compensation and Nominating Committee of the Board, which oversees our executive compensation program, is referred to as the “</w:t>
      </w:r>
      <w:r>
        <w:rPr>
          <w:rFonts w:ascii="Times New Roman" w:cs="Times New Roman" w:eastAsia="Times New Roman" w:hAnsi="Times New Roman"/>
          <w:sz w:val="16"/>
          <w:szCs w:val="16"/>
          <w:i w:val="1"/>
          <w:iCs w:val="1"/>
          <w:color w:val="auto"/>
        </w:rPr>
        <w:t>Committee</w:t>
      </w:r>
      <w:r>
        <w:rPr>
          <w:rFonts w:ascii="Times New Roman" w:cs="Times New Roman" w:eastAsia="Times New Roman" w:hAnsi="Times New Roman"/>
          <w:sz w:val="16"/>
          <w:szCs w:val="16"/>
          <w:color w:val="auto"/>
        </w:rPr>
        <w:t>” in this CD&amp;A. The terms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 refer to Bassett Furniture Industries, Incorporated. When we refer to the “</w:t>
      </w:r>
      <w:r>
        <w:rPr>
          <w:rFonts w:ascii="Times New Roman" w:cs="Times New Roman" w:eastAsia="Times New Roman" w:hAnsi="Times New Roman"/>
          <w:sz w:val="16"/>
          <w:szCs w:val="16"/>
          <w:i w:val="1"/>
          <w:iCs w:val="1"/>
          <w:color w:val="auto"/>
        </w:rPr>
        <w:t>named executive officers</w:t>
      </w:r>
      <w:r>
        <w:rPr>
          <w:rFonts w:ascii="Times New Roman" w:cs="Times New Roman" w:eastAsia="Times New Roman" w:hAnsi="Times New Roman"/>
          <w:sz w:val="16"/>
          <w:szCs w:val="16"/>
          <w:color w:val="auto"/>
        </w:rPr>
        <w:t>” we are referring to the five individuals listed in the Summary Compensation Table appearing later in this proxy statement.</w:t>
      </w:r>
    </w:p>
    <w:p>
      <w:pPr>
        <w:spacing w:after="0" w:line="160" w:lineRule="exact"/>
        <w:rPr>
          <w:sz w:val="20"/>
          <w:szCs w:val="20"/>
          <w:color w:val="auto"/>
        </w:rPr>
      </w:pPr>
    </w:p>
    <w:p>
      <w:pPr>
        <w:ind w:right="120" w:firstLine="454"/>
        <w:spacing w:after="0" w:line="253" w:lineRule="auto"/>
        <w:rPr>
          <w:sz w:val="20"/>
          <w:szCs w:val="20"/>
          <w:color w:val="auto"/>
        </w:rPr>
      </w:pPr>
      <w:r>
        <w:rPr>
          <w:rFonts w:ascii="Times New Roman" w:cs="Times New Roman" w:eastAsia="Times New Roman" w:hAnsi="Times New Roman"/>
          <w:sz w:val="17"/>
          <w:szCs w:val="17"/>
          <w:color w:val="auto"/>
        </w:rPr>
        <w:t>The Committee has assisted the Company in developing and implementing compensation policies and programs which seek to improve the profitability of the Company and to maximize stockholder value over time. To accomplish this, the Directors who comprise the Committee have developed executive compensation policies that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home furnishings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212" w:lineRule="exact"/>
        <w:rPr>
          <w:sz w:val="20"/>
          <w:szCs w:val="20"/>
          <w:color w:val="auto"/>
        </w:rPr>
      </w:pPr>
    </w:p>
    <w:p>
      <w:pPr>
        <w:ind w:right="60" w:firstLine="454"/>
        <w:spacing w:after="0" w:line="274" w:lineRule="auto"/>
        <w:rPr>
          <w:sz w:val="20"/>
          <w:szCs w:val="20"/>
          <w:color w:val="auto"/>
        </w:rPr>
      </w:pPr>
      <w:r>
        <w:rPr>
          <w:rFonts w:ascii="Times New Roman" w:cs="Times New Roman" w:eastAsia="Times New Roman" w:hAnsi="Times New Roman"/>
          <w:sz w:val="17"/>
          <w:szCs w:val="17"/>
          <w:color w:val="auto"/>
        </w:rPr>
        <w:t>The primary goal of our executive compensation program is the same as our goal for operating the Company – to maximize corporate performance and thereby create value for our stockholders. To achieve this goal we have designed our executive compensation program to achieve the following objectives:</w:t>
      </w:r>
    </w:p>
    <w:p>
      <w:pPr>
        <w:spacing w:after="0" w:line="159" w:lineRule="exact"/>
        <w:rPr>
          <w:sz w:val="20"/>
          <w:szCs w:val="20"/>
          <w:color w:val="auto"/>
        </w:rPr>
      </w:pPr>
    </w:p>
    <w:p>
      <w:pPr>
        <w:ind w:left="460" w:hanging="308"/>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talented and experienced executives in our industry;</w:t>
      </w:r>
    </w:p>
    <w:p>
      <w:pPr>
        <w:spacing w:after="0" w:line="233" w:lineRule="exact"/>
        <w:rPr>
          <w:rFonts w:ascii="Times New Roman" w:cs="Times New Roman" w:eastAsia="Times New Roman" w:hAnsi="Times New Roman"/>
          <w:sz w:val="17"/>
          <w:szCs w:val="17"/>
          <w:color w:val="auto"/>
        </w:rPr>
      </w:pPr>
    </w:p>
    <w:p>
      <w:pPr>
        <w:ind w:left="5540" w:right="3960" w:hanging="5388"/>
        <w:spacing w:after="0" w:line="553" w:lineRule="auto"/>
        <w:tabs>
          <w:tab w:leader="none" w:pos="45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and reward executives whose knowledge, skills and performance are critical to our success;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3" w:name="page14"/>
    <w:bookmarkEnd w:id="13"/>
    <w:p>
      <w:pPr>
        <w:ind w:left="460" w:right="320" w:hanging="308"/>
        <w:spacing w:after="0" w:line="274"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our executives and stockholders, by encouraging executives to increase stockholder value and rewarding executives when stockholder value increases; and</w:t>
      </w:r>
    </w:p>
    <w:p>
      <w:pPr>
        <w:spacing w:after="0" w:line="158" w:lineRule="exact"/>
        <w:rPr>
          <w:rFonts w:ascii="Times New Roman" w:cs="Times New Roman" w:eastAsia="Times New Roman" w:hAnsi="Times New Roman"/>
          <w:sz w:val="17"/>
          <w:szCs w:val="17"/>
          <w:color w:val="auto"/>
        </w:rPr>
      </w:pPr>
    </w:p>
    <w:p>
      <w:pPr>
        <w:ind w:left="460" w:right="100" w:hanging="308"/>
        <w:spacing w:after="0" w:line="274"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our executives to manage our business to meet our short-term and long-term corporate goals and business objectives, and to reward them for meeting these objectives.</w:t>
      </w:r>
    </w:p>
    <w:p>
      <w:pPr>
        <w:spacing w:after="0" w:line="159" w:lineRule="exact"/>
        <w:rPr>
          <w:sz w:val="20"/>
          <w:szCs w:val="20"/>
          <w:color w:val="auto"/>
        </w:rPr>
      </w:pPr>
    </w:p>
    <w:p>
      <w:pPr>
        <w:ind w:right="200" w:firstLine="454"/>
        <w:spacing w:after="0" w:line="261" w:lineRule="auto"/>
        <w:rPr>
          <w:sz w:val="20"/>
          <w:szCs w:val="20"/>
          <w:color w:val="auto"/>
        </w:rPr>
      </w:pPr>
      <w:r>
        <w:rPr>
          <w:rFonts w:ascii="Times New Roman" w:cs="Times New Roman" w:eastAsia="Times New Roman" w:hAnsi="Times New Roman"/>
          <w:sz w:val="17"/>
          <w:szCs w:val="17"/>
          <w:color w:val="auto"/>
        </w:rPr>
        <w:t>We use a mix of short-term compensation in the form of base salaries and cash incentive bonuses and long-term compensation in the form of equity incentive awards to provide a total compensation structure that is designed to encourage our executives to achieve these objectives. All of our executive employees are employed at-will.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Determining Executive Compensation</w:t>
      </w:r>
    </w:p>
    <w:p>
      <w:pPr>
        <w:spacing w:after="0" w:line="212"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7"/>
          <w:szCs w:val="17"/>
          <w:color w:val="auto"/>
        </w:rPr>
        <w:t>The Committee is responsible for developing, administering and interpreting the compensation program for executive officers and other key employees. The Committee was appointed by our Board of Directors and consists entirely of Directors who are “non-employee directors” for purposes of Rule 16b-3 under the Securities Exchange Act of 1934 and independent under the NASDAQ listing standards. The Committee may delegate some or all of its responsibilities to one or more subcommittees whenever necessary to comply with any statutory or regulatory requirements or otherwise deemed appropriate by the Committee. The Committee has the authority to retain consultants and other advisors to assist with its duties and has sole authority to approve the fees and other retention terms of such consultants and advisors.</w:t>
      </w:r>
    </w:p>
    <w:p>
      <w:pPr>
        <w:spacing w:after="0" w:line="176" w:lineRule="exact"/>
        <w:rPr>
          <w:sz w:val="20"/>
          <w:szCs w:val="20"/>
          <w:color w:val="auto"/>
        </w:rPr>
      </w:pPr>
    </w:p>
    <w:p>
      <w:pPr>
        <w:ind w:right="120" w:firstLine="454"/>
        <w:spacing w:after="0" w:line="274" w:lineRule="auto"/>
        <w:rPr>
          <w:sz w:val="20"/>
          <w:szCs w:val="20"/>
          <w:color w:val="auto"/>
        </w:rPr>
      </w:pPr>
      <w:r>
        <w:rPr>
          <w:rFonts w:ascii="Times New Roman" w:cs="Times New Roman" w:eastAsia="Times New Roman" w:hAnsi="Times New Roman"/>
          <w:sz w:val="17"/>
          <w:szCs w:val="17"/>
          <w:color w:val="auto"/>
        </w:rPr>
        <w:t>Our chief executive officer makes recommendations to the Committee regarding the salaries, bonus arrangements and equity grants, if any, for key employees, including all executive officers, except himself.</w:t>
      </w:r>
    </w:p>
    <w:p>
      <w:pPr>
        <w:spacing w:after="0" w:line="159" w:lineRule="exact"/>
        <w:rPr>
          <w:sz w:val="20"/>
          <w:szCs w:val="20"/>
          <w:color w:val="auto"/>
        </w:rPr>
      </w:pPr>
    </w:p>
    <w:p>
      <w:pPr>
        <w:ind w:right="40" w:firstLine="454"/>
        <w:spacing w:after="0" w:line="261" w:lineRule="auto"/>
        <w:rPr>
          <w:sz w:val="20"/>
          <w:szCs w:val="20"/>
          <w:color w:val="auto"/>
        </w:rPr>
      </w:pPr>
      <w:r>
        <w:rPr>
          <w:rFonts w:ascii="Times New Roman" w:cs="Times New Roman" w:eastAsia="Times New Roman" w:hAnsi="Times New Roman"/>
          <w:sz w:val="17"/>
          <w:szCs w:val="17"/>
          <w:color w:val="auto"/>
        </w:rPr>
        <w:t>Based on the foregoing, the Committee uses its judgment in making compensation decisions that will best carry out our philosophy and objectives for executive compensation. The decisions are reviewed by the full Board, with the exception of decisions on stock or option awards which are made by the Committee to satisfy certain legal requirements.</w:t>
      </w:r>
    </w:p>
    <w:p>
      <w:pPr>
        <w:spacing w:after="0" w:line="169" w:lineRule="exact"/>
        <w:rPr>
          <w:sz w:val="20"/>
          <w:szCs w:val="20"/>
          <w:color w:val="auto"/>
        </w:rPr>
      </w:pPr>
    </w:p>
    <w:p>
      <w:pPr>
        <w:ind w:right="440" w:firstLine="454"/>
        <w:spacing w:after="0" w:line="274" w:lineRule="auto"/>
        <w:rPr>
          <w:sz w:val="20"/>
          <w:szCs w:val="20"/>
          <w:color w:val="auto"/>
        </w:rPr>
      </w:pPr>
      <w:r>
        <w:rPr>
          <w:rFonts w:ascii="Times New Roman" w:cs="Times New Roman" w:eastAsia="Times New Roman" w:hAnsi="Times New Roman"/>
          <w:sz w:val="17"/>
          <w:szCs w:val="17"/>
          <w:color w:val="auto"/>
        </w:rPr>
        <w:t>Within the context of the overall objectives of our compensation programs, we determined the specific amounts of compensation to be paid to each of our executives in fiscal 2023 based on a number of factors including:</w:t>
      </w:r>
    </w:p>
    <w:p>
      <w:pPr>
        <w:spacing w:after="0" w:line="159" w:lineRule="exact"/>
        <w:rPr>
          <w:sz w:val="20"/>
          <w:szCs w:val="20"/>
          <w:color w:val="auto"/>
        </w:rPr>
      </w:pPr>
    </w:p>
    <w:p>
      <w:pPr>
        <w:ind w:left="460" w:hanging="308"/>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roles and responsibilities of our executives;</w:t>
      </w:r>
    </w:p>
    <w:p>
      <w:pPr>
        <w:spacing w:after="0" w:line="233" w:lineRule="exact"/>
        <w:rPr>
          <w:rFonts w:ascii="Times New Roman" w:cs="Times New Roman" w:eastAsia="Times New Roman" w:hAnsi="Times New Roman"/>
          <w:sz w:val="17"/>
          <w:szCs w:val="17"/>
          <w:color w:val="auto"/>
        </w:rPr>
      </w:pPr>
    </w:p>
    <w:p>
      <w:pPr>
        <w:ind w:left="460" w:hanging="308"/>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 experience and skills of our executives;</w:t>
      </w:r>
    </w:p>
    <w:p>
      <w:pPr>
        <w:spacing w:after="0" w:line="233" w:lineRule="exact"/>
        <w:rPr>
          <w:rFonts w:ascii="Times New Roman" w:cs="Times New Roman" w:eastAsia="Times New Roman" w:hAnsi="Times New Roman"/>
          <w:sz w:val="17"/>
          <w:szCs w:val="17"/>
          <w:color w:val="auto"/>
        </w:rPr>
      </w:pPr>
    </w:p>
    <w:p>
      <w:pPr>
        <w:ind w:left="460" w:hanging="308"/>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of compensation being paid to our other executives;</w:t>
      </w:r>
    </w:p>
    <w:p>
      <w:pPr>
        <w:spacing w:after="0" w:line="233" w:lineRule="exact"/>
        <w:rPr>
          <w:rFonts w:ascii="Times New Roman" w:cs="Times New Roman" w:eastAsia="Times New Roman" w:hAnsi="Times New Roman"/>
          <w:sz w:val="17"/>
          <w:szCs w:val="17"/>
          <w:color w:val="auto"/>
        </w:rPr>
      </w:pPr>
    </w:p>
    <w:p>
      <w:pPr>
        <w:ind w:left="460" w:hanging="308"/>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executives’ historical compensation at our Company; and</w:t>
      </w:r>
    </w:p>
    <w:p>
      <w:pPr>
        <w:spacing w:after="0" w:line="233" w:lineRule="exact"/>
        <w:rPr>
          <w:rFonts w:ascii="Times New Roman" w:cs="Times New Roman" w:eastAsia="Times New Roman" w:hAnsi="Times New Roman"/>
          <w:sz w:val="17"/>
          <w:szCs w:val="17"/>
          <w:color w:val="auto"/>
        </w:rPr>
      </w:pPr>
    </w:p>
    <w:p>
      <w:pPr>
        <w:ind w:left="460" w:hanging="308"/>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understanding of the amount of compensation generally paid by similarly situated companies to their executives with similar roles and responsibilities.</w:t>
      </w:r>
    </w:p>
    <w:p>
      <w:pPr>
        <w:spacing w:after="0" w:line="233" w:lineRule="exact"/>
        <w:rPr>
          <w:sz w:val="20"/>
          <w:szCs w:val="20"/>
          <w:color w:val="auto"/>
        </w:rPr>
      </w:pPr>
    </w:p>
    <w:p>
      <w:pPr>
        <w:ind w:right="80" w:firstLine="454"/>
        <w:spacing w:after="0" w:line="253" w:lineRule="auto"/>
        <w:rPr>
          <w:sz w:val="20"/>
          <w:szCs w:val="20"/>
          <w:color w:val="auto"/>
        </w:rPr>
      </w:pPr>
      <w:r>
        <w:rPr>
          <w:rFonts w:ascii="Times New Roman" w:cs="Times New Roman" w:eastAsia="Times New Roman" w:hAnsi="Times New Roman"/>
          <w:sz w:val="17"/>
          <w:szCs w:val="17"/>
          <w:color w:val="auto"/>
        </w:rPr>
        <w:t>In evaluating the compensation generally paid by similarly situated companies, we have historically taken into account available data relating to the compensation practices of other companies within and outside our industry, with advice from our independent compensation consultant, Korn Ferry. Our peer group for 2023 consisted of American Woodmark, Culp, Ethan Allen Interiors, Flexsteel Industries, Haverty Furniture, Hooker Furnishings, Kirkland’s, La-Z-Boy, Lovesac, Bowflex and Purple Innovation. Korn Ferry does not provide any other services to the Company and the Compensation Committee has determined that Korn Ferry’s work does not present any conflict of interest with the Company. With advice from Korn Ferry, for our 2024 peer group we are adding Sleep Number, replacing Kimball International, which was acquired in 2023 and is no longer a publicly traded company.</w:t>
      </w:r>
    </w:p>
    <w:p>
      <w:pPr>
        <w:spacing w:after="0" w:line="176" w:lineRule="exact"/>
        <w:rPr>
          <w:sz w:val="20"/>
          <w:szCs w:val="20"/>
          <w:color w:val="auto"/>
        </w:rPr>
      </w:pPr>
    </w:p>
    <w:p>
      <w:pPr>
        <w:ind w:right="40" w:firstLine="454"/>
        <w:spacing w:after="0" w:line="209" w:lineRule="auto"/>
        <w:rPr>
          <w:sz w:val="20"/>
          <w:szCs w:val="20"/>
          <w:color w:val="auto"/>
        </w:rPr>
      </w:pPr>
      <w:r>
        <w:rPr>
          <w:rFonts w:ascii="Times New Roman" w:cs="Times New Roman" w:eastAsia="Times New Roman" w:hAnsi="Times New Roman"/>
          <w:sz w:val="17"/>
          <w:szCs w:val="17"/>
          <w:color w:val="auto"/>
        </w:rPr>
        <w:t>During 2023, Korn Ferry, prepared for the Compensation Committee a report analyzing our named executive officers’ pay compared to our peers. The analysis relative to our peer group found that total direct compensation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salary, annual bonus and equity incentives combined) was below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for our CEO and for our other named executive officers.</w:t>
      </w:r>
    </w:p>
    <w:p>
      <w:pPr>
        <w:spacing w:after="0" w:line="186" w:lineRule="exact"/>
        <w:rPr>
          <w:sz w:val="20"/>
          <w:szCs w:val="20"/>
          <w:color w:val="auto"/>
        </w:rPr>
      </w:pPr>
    </w:p>
    <w:p>
      <w:pPr>
        <w:ind w:right="180" w:firstLine="454"/>
        <w:spacing w:after="0" w:line="274" w:lineRule="auto"/>
        <w:rPr>
          <w:sz w:val="20"/>
          <w:szCs w:val="20"/>
          <w:color w:val="auto"/>
        </w:rPr>
      </w:pPr>
      <w:r>
        <w:rPr>
          <w:rFonts w:ascii="Times New Roman" w:cs="Times New Roman" w:eastAsia="Times New Roman" w:hAnsi="Times New Roman"/>
          <w:sz w:val="17"/>
          <w:szCs w:val="17"/>
          <w:color w:val="auto"/>
        </w:rPr>
        <w:t>At the 2023 Annual Meeting of Stockholders, we received substantial support for the compensation of our named executive officers, with approximately 96% of the votes cast on the “say-on-pay” proposal approving such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Components of Total Compensation</w:t>
      </w:r>
    </w:p>
    <w:p>
      <w:pPr>
        <w:spacing w:after="0" w:line="212" w:lineRule="exact"/>
        <w:rPr>
          <w:sz w:val="20"/>
          <w:szCs w:val="20"/>
          <w:color w:val="auto"/>
        </w:rPr>
      </w:pPr>
    </w:p>
    <w:p>
      <w:pPr>
        <w:ind w:right="20" w:firstLine="454"/>
        <w:spacing w:after="0" w:line="277" w:lineRule="auto"/>
        <w:rPr>
          <w:sz w:val="20"/>
          <w:szCs w:val="20"/>
          <w:color w:val="auto"/>
        </w:rPr>
      </w:pPr>
      <w:r>
        <w:rPr>
          <w:rFonts w:ascii="Times New Roman" w:cs="Times New Roman" w:eastAsia="Times New Roman" w:hAnsi="Times New Roman"/>
          <w:sz w:val="16"/>
          <w:szCs w:val="16"/>
          <w:color w:val="auto"/>
        </w:rPr>
        <w:t>In fiscal 2023, consistent with the Company’s policy that a substantial portion of each named executive officer’s potential cash compensation be based on performance, the annual performance-based bonus award target for such officers in fiscal 2023 ranged from 17% to 25% of total target cash compensation. Due to the Company’s performance, no annual bonuses were paid to our named executive officers as discussed in more detail below. We granted long-term equity incentive awards to our named executive officers in fiscal 2022 and fiscal 2023 as described below under the section captioned “</w:t>
      </w:r>
      <w:r>
        <w:rPr>
          <w:rFonts w:ascii="Times New Roman" w:cs="Times New Roman" w:eastAsia="Times New Roman" w:hAnsi="Times New Roman"/>
          <w:sz w:val="16"/>
          <w:szCs w:val="16"/>
          <w:i w:val="1"/>
          <w:iCs w:val="1"/>
          <w:color w:val="auto"/>
        </w:rPr>
        <w:t>Long-Term Equity Incentive Awards.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our Executive Compensation Program</w:t>
      </w:r>
    </w:p>
    <w:p>
      <w:pPr>
        <w:spacing w:after="0" w:line="212" w:lineRule="exact"/>
        <w:rPr>
          <w:sz w:val="20"/>
          <w:szCs w:val="20"/>
          <w:color w:val="auto"/>
        </w:rPr>
      </w:pPr>
    </w:p>
    <w:p>
      <w:pPr>
        <w:ind w:right="20" w:firstLine="454"/>
        <w:spacing w:after="0" w:line="253" w:lineRule="auto"/>
        <w:rPr>
          <w:sz w:val="20"/>
          <w:szCs w:val="20"/>
          <w:color w:val="auto"/>
        </w:rPr>
      </w:pPr>
      <w:r>
        <w:rPr>
          <w:rFonts w:ascii="Times New Roman" w:cs="Times New Roman" w:eastAsia="Times New Roman" w:hAnsi="Times New Roman"/>
          <w:sz w:val="17"/>
          <w:szCs w:val="17"/>
          <w:color w:val="auto"/>
        </w:rPr>
        <w:t>Our executive compensation primarily consists of base salary, annual performance-based bonus awards and retirement benefits designed to promote long-term employment. The Committee also periodically grants long-term equity incentive awards when it feels appropriate, based on advice from its compensation consultant regarding market trends, comparable pay levels at our compensation peer group, retention factors and other considerations; the last equity awards were granted in fiscal 2023. We discuss each of the primary elements of our executive compensation in detail below. While we have identified particular compensation objectives that each element of executive compensation serves, our compensation programs are designed to complement each other and collectively serve all of our executive compensation objectives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12" w:lineRule="exact"/>
        <w:rPr>
          <w:sz w:val="20"/>
          <w:szCs w:val="20"/>
          <w:color w:val="auto"/>
        </w:rPr>
      </w:pPr>
    </w:p>
    <w:p>
      <w:pPr>
        <w:ind w:right="120" w:firstLine="454"/>
        <w:spacing w:after="0" w:line="254"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other components of our compensation program. The base salary of each executive officer is reviewed annually to determine if it is equitably aligned with our other executive officers and at a sufficient level to attract and retain top talent. Base salaries for the named executive officers were increased by 1.4% to 6.3% during fiscal 2023. Consistent with our emphasis on paying for performance and aligning our executives’ interests with those of our stockholders, our chief executive officer’s base salary has increased only 5.25% in the aggregate from fiscal 2021 to fiscal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Performance-Based Bonus Awards</w:t>
      </w:r>
    </w:p>
    <w:p>
      <w:pPr>
        <w:spacing w:after="0" w:line="212" w:lineRule="exact"/>
        <w:rPr>
          <w:sz w:val="20"/>
          <w:szCs w:val="20"/>
          <w:color w:val="auto"/>
        </w:rPr>
      </w:pPr>
    </w:p>
    <w:p>
      <w:pPr>
        <w:ind w:firstLine="454"/>
        <w:spacing w:after="0" w:line="250" w:lineRule="auto"/>
        <w:rPr>
          <w:sz w:val="20"/>
          <w:szCs w:val="20"/>
          <w:color w:val="auto"/>
        </w:rPr>
      </w:pPr>
      <w:r>
        <w:rPr>
          <w:rFonts w:ascii="Times New Roman" w:cs="Times New Roman" w:eastAsia="Times New Roman" w:hAnsi="Times New Roman"/>
          <w:sz w:val="17"/>
          <w:szCs w:val="17"/>
          <w:color w:val="auto"/>
        </w:rPr>
        <w:t>The primary objectives of our annual performance-based bonus awards are to provide incentive for superior work, to motivate our executives toward higher achievement and business results, to tie our executives’ goals and interests to our stockholders’ and to enable us to attract and retain highly qualified individuals. Annual incentives are established for each executive based on our attainment of performance goals set by the Committee at threshold, target and maximum levels. When applicable, the bonus earned is calculated ratably from the threshold to the target and from the target to the maximum. No bonus is earned unless and until performance exceeds the threshold performance level. Company operating income had been the single performance measure for the eight fiscal years prior to 2022. In 2022, we added consolidated net sales as an additional performance measure and in 2023 we added division measures. For the purposes of these awards, operating income, consolidated net sales and division measures are defined in the same manner as for financial reporting purposes. Having these performance measures for our executive officers is intended to align our executives’ focus on the Company’s overall improved profitability and sales growth. The performance levels required to earn the target level of bonus are based on the internal financial goals set in connection with our Board of Directors’ consideration and approval of our annual operating plan. Consistent with our emphasis on tying compensation to performance, bonus opportunities for executives are set at a significant percentage of base salary.</w:t>
      </w:r>
    </w:p>
    <w:p>
      <w:pPr>
        <w:spacing w:after="0" w:line="181" w:lineRule="exact"/>
        <w:rPr>
          <w:sz w:val="20"/>
          <w:szCs w:val="20"/>
          <w:color w:val="auto"/>
        </w:rPr>
      </w:pPr>
    </w:p>
    <w:p>
      <w:pPr>
        <w:ind w:right="20" w:firstLine="454"/>
        <w:spacing w:after="0" w:line="251" w:lineRule="auto"/>
        <w:rPr>
          <w:sz w:val="20"/>
          <w:szCs w:val="20"/>
          <w:color w:val="auto"/>
        </w:rPr>
      </w:pPr>
      <w:r>
        <w:rPr>
          <w:rFonts w:ascii="Times New Roman" w:cs="Times New Roman" w:eastAsia="Times New Roman" w:hAnsi="Times New Roman"/>
          <w:sz w:val="17"/>
          <w:szCs w:val="17"/>
          <w:color w:val="auto"/>
        </w:rPr>
        <w:t>For fiscal 2023, at least 75% of the bonus opportunity for each of our named executive officers was based on operating income before bonus expense with the remainder based on: consolidated wholesale shipments to licensee and open market accounts for Mr. Cohenour; consolidated wood division operating income for Mr. Bassett; and corporate retail gross profit for Mr. Baker. Threshold, target and maximum performance goals for operating income were set at $13.1 million, $17.4 million and $24.4 million, respectively, of Company operating income. Threshold, target and maximum performance goals for licensee and open market wholesale shipments were set at $140.4 million, $156 million and $171.6 million, respectively. Threshold, target and maximum performance goals for consolidated wood division operating income were set at $10.7 million, $14.2 million and $16.3 million, respectively. Threshold, target and maximum performance goals for corporate retail gross profit were set at $128.1 million, $142.3 million and $149.4 million, respectively. The bonus opportunities for the named executive officers expressed as a percentage of salary are shown in the table below. The dollar equivalents of these bonus opportunities are shown in the Grants of Plan-Based Awards table on page 18 of this proxy statement.</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Bonus Opportunity as a Percentage of Base Salary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(rounded to the nearest percent)</w:t>
      </w:r>
    </w:p>
    <w:p>
      <w:pPr>
        <w:spacing w:after="0" w:line="379"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4"/>
              </w:rPr>
              <w:t>Name</w:t>
            </w:r>
          </w:p>
        </w:tc>
        <w:tc>
          <w:tcPr>
            <w:tcW w:w="2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Threshold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Maximum</w:t>
            </w:r>
          </w:p>
        </w:tc>
      </w:tr>
      <w:tr>
        <w:trPr>
          <w:trHeight w:val="29"/>
        </w:trPr>
        <w:tc>
          <w:tcPr>
            <w:tcW w:w="42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H. Spilman, Jr.</w:t>
            </w:r>
          </w:p>
        </w:tc>
        <w:tc>
          <w:tcPr>
            <w:tcW w:w="2440" w:type="dxa"/>
            <w:vAlign w:val="bottom"/>
            <w:gridSpan w:val="2"/>
            <w:shd w:val="clear" w:color="auto" w:fill="CCEEFF"/>
          </w:tcPr>
          <w:p>
            <w:pPr>
              <w:jc w:val="center"/>
              <w:ind w:left="1616"/>
              <w:spacing w:after="0"/>
              <w:rPr>
                <w:sz w:val="20"/>
                <w:szCs w:val="20"/>
                <w:color w:val="auto"/>
              </w:rPr>
            </w:pPr>
            <w:r>
              <w:rPr>
                <w:rFonts w:ascii="Times New Roman" w:cs="Times New Roman" w:eastAsia="Times New Roman" w:hAnsi="Times New Roman"/>
                <w:sz w:val="17"/>
                <w:szCs w:val="17"/>
                <w:color w:val="auto"/>
                <w:w w:val="96"/>
              </w:rPr>
              <w:t>17%</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34%</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shd w:val="clear" w:color="auto" w:fill="CCEEFF"/>
          </w:tcPr>
          <w:p>
            <w:pPr>
              <w:spacing w:after="0"/>
              <w:rPr>
                <w:sz w:val="18"/>
                <w:szCs w:val="18"/>
                <w:color w:val="auto"/>
              </w:rPr>
            </w:pPr>
          </w:p>
        </w:tc>
      </w:tr>
      <w:tr>
        <w:trPr>
          <w:trHeight w:val="202"/>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Bruce R. Cohenour</w:t>
            </w:r>
          </w:p>
        </w:tc>
        <w:tc>
          <w:tcPr>
            <w:tcW w:w="2440" w:type="dxa"/>
            <w:vAlign w:val="bottom"/>
            <w:gridSpan w:val="2"/>
          </w:tcPr>
          <w:p>
            <w:pPr>
              <w:jc w:val="center"/>
              <w:ind w:left="1616"/>
              <w:spacing w:after="0"/>
              <w:rPr>
                <w:sz w:val="20"/>
                <w:szCs w:val="20"/>
                <w:color w:val="auto"/>
              </w:rPr>
            </w:pPr>
            <w:r>
              <w:rPr>
                <w:rFonts w:ascii="Times New Roman" w:cs="Times New Roman" w:eastAsia="Times New Roman" w:hAnsi="Times New Roman"/>
                <w:sz w:val="17"/>
                <w:szCs w:val="17"/>
                <w:color w:val="auto"/>
                <w:w w:val="96"/>
              </w:rPr>
              <w:t>10%</w:t>
            </w:r>
          </w:p>
        </w:tc>
        <w:tc>
          <w:tcPr>
            <w:tcW w:w="460" w:type="dxa"/>
            <w:vAlign w:val="bottom"/>
          </w:tcPr>
          <w:p>
            <w:pPr>
              <w:spacing w:after="0"/>
              <w:rPr>
                <w:sz w:val="17"/>
                <w:szCs w:val="17"/>
                <w:color w:val="auto"/>
              </w:rPr>
            </w:pPr>
          </w:p>
        </w:tc>
        <w:tc>
          <w:tcPr>
            <w:tcW w:w="920" w:type="dxa"/>
            <w:vAlign w:val="bottom"/>
            <w:gridSpan w:val="2"/>
          </w:tcPr>
          <w:p>
            <w:pPr>
              <w:jc w:val="center"/>
              <w:ind w:left="356"/>
              <w:spacing w:after="0"/>
              <w:rPr>
                <w:sz w:val="20"/>
                <w:szCs w:val="20"/>
                <w:color w:val="auto"/>
              </w:rPr>
            </w:pPr>
            <w:r>
              <w:rPr>
                <w:rFonts w:ascii="Times New Roman" w:cs="Times New Roman" w:eastAsia="Times New Roman" w:hAnsi="Times New Roman"/>
                <w:sz w:val="17"/>
                <w:szCs w:val="17"/>
                <w:color w:val="auto"/>
              </w:rPr>
              <w:t>21%</w:t>
            </w:r>
          </w:p>
        </w:tc>
        <w:tc>
          <w:tcPr>
            <w:tcW w:w="460" w:type="dxa"/>
            <w:vAlign w:val="bottom"/>
          </w:tcPr>
          <w:p>
            <w:pPr>
              <w:spacing w:after="0"/>
              <w:rPr>
                <w:sz w:val="17"/>
                <w:szCs w:val="17"/>
                <w:color w:val="auto"/>
              </w:rPr>
            </w:pPr>
          </w:p>
        </w:tc>
        <w:tc>
          <w:tcPr>
            <w:tcW w:w="1180" w:type="dxa"/>
            <w:vAlign w:val="bottom"/>
            <w:gridSpan w:val="2"/>
          </w:tcPr>
          <w:p>
            <w:pPr>
              <w:jc w:val="center"/>
              <w:ind w:left="376"/>
              <w:spacing w:after="0"/>
              <w:rPr>
                <w:sz w:val="20"/>
                <w:szCs w:val="20"/>
                <w:color w:val="auto"/>
              </w:rPr>
            </w:pPr>
            <w:r>
              <w:rPr>
                <w:rFonts w:ascii="Times New Roman" w:cs="Times New Roman" w:eastAsia="Times New Roman" w:hAnsi="Times New Roman"/>
                <w:sz w:val="17"/>
                <w:szCs w:val="17"/>
                <w:color w:val="auto"/>
              </w:rPr>
              <w:t>57%</w:t>
            </w:r>
          </w:p>
        </w:tc>
        <w:tc>
          <w:tcPr>
            <w:tcW w:w="300" w:type="dxa"/>
            <w:vAlign w:val="bottom"/>
          </w:tcPr>
          <w:p>
            <w:pPr>
              <w:spacing w:after="0"/>
              <w:rPr>
                <w:sz w:val="17"/>
                <w:szCs w:val="17"/>
                <w:color w:val="auto"/>
              </w:rPr>
            </w:pPr>
          </w:p>
        </w:tc>
      </w:tr>
      <w:tr>
        <w:trPr>
          <w:trHeight w:val="20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 Baker</w:t>
            </w:r>
          </w:p>
        </w:tc>
        <w:tc>
          <w:tcPr>
            <w:tcW w:w="2440" w:type="dxa"/>
            <w:vAlign w:val="bottom"/>
            <w:gridSpan w:val="2"/>
            <w:shd w:val="clear" w:color="auto" w:fill="CCEEFF"/>
          </w:tcPr>
          <w:p>
            <w:pPr>
              <w:jc w:val="center"/>
              <w:ind w:left="1616"/>
              <w:spacing w:after="0"/>
              <w:rPr>
                <w:sz w:val="20"/>
                <w:szCs w:val="20"/>
                <w:color w:val="auto"/>
              </w:rPr>
            </w:pPr>
            <w:r>
              <w:rPr>
                <w:rFonts w:ascii="Times New Roman" w:cs="Times New Roman" w:eastAsia="Times New Roman" w:hAnsi="Times New Roman"/>
                <w:sz w:val="17"/>
                <w:szCs w:val="17"/>
                <w:color w:val="auto"/>
                <w:w w:val="96"/>
              </w:rPr>
              <w:t>13%</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26%</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65%</w:t>
            </w:r>
          </w:p>
        </w:tc>
        <w:tc>
          <w:tcPr>
            <w:tcW w:w="300" w:type="dxa"/>
            <w:vAlign w:val="bottom"/>
            <w:shd w:val="clear" w:color="auto" w:fill="CCEEFF"/>
          </w:tcPr>
          <w:p>
            <w:pPr>
              <w:spacing w:after="0"/>
              <w:rPr>
                <w:sz w:val="17"/>
                <w:szCs w:val="17"/>
                <w:color w:val="auto"/>
              </w:rPr>
            </w:pPr>
          </w:p>
        </w:tc>
      </w:tr>
      <w:tr>
        <w:trPr>
          <w:trHeight w:val="202"/>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 Michael Daniel</w:t>
            </w:r>
          </w:p>
        </w:tc>
        <w:tc>
          <w:tcPr>
            <w:tcW w:w="2440" w:type="dxa"/>
            <w:vAlign w:val="bottom"/>
            <w:gridSpan w:val="2"/>
          </w:tcPr>
          <w:p>
            <w:pPr>
              <w:jc w:val="center"/>
              <w:ind w:left="1616"/>
              <w:spacing w:after="0"/>
              <w:rPr>
                <w:sz w:val="20"/>
                <w:szCs w:val="20"/>
                <w:color w:val="auto"/>
              </w:rPr>
            </w:pPr>
            <w:r>
              <w:rPr>
                <w:rFonts w:ascii="Times New Roman" w:cs="Times New Roman" w:eastAsia="Times New Roman" w:hAnsi="Times New Roman"/>
                <w:sz w:val="17"/>
                <w:szCs w:val="17"/>
                <w:color w:val="auto"/>
                <w:w w:val="96"/>
              </w:rPr>
              <w:t>14%</w:t>
            </w:r>
          </w:p>
        </w:tc>
        <w:tc>
          <w:tcPr>
            <w:tcW w:w="460" w:type="dxa"/>
            <w:vAlign w:val="bottom"/>
          </w:tcPr>
          <w:p>
            <w:pPr>
              <w:spacing w:after="0"/>
              <w:rPr>
                <w:sz w:val="17"/>
                <w:szCs w:val="17"/>
                <w:color w:val="auto"/>
              </w:rPr>
            </w:pPr>
          </w:p>
        </w:tc>
        <w:tc>
          <w:tcPr>
            <w:tcW w:w="920" w:type="dxa"/>
            <w:vAlign w:val="bottom"/>
            <w:gridSpan w:val="2"/>
          </w:tcPr>
          <w:p>
            <w:pPr>
              <w:jc w:val="center"/>
              <w:ind w:left="356"/>
              <w:spacing w:after="0"/>
              <w:rPr>
                <w:sz w:val="20"/>
                <w:szCs w:val="20"/>
                <w:color w:val="auto"/>
              </w:rPr>
            </w:pPr>
            <w:r>
              <w:rPr>
                <w:rFonts w:ascii="Times New Roman" w:cs="Times New Roman" w:eastAsia="Times New Roman" w:hAnsi="Times New Roman"/>
                <w:sz w:val="17"/>
                <w:szCs w:val="17"/>
                <w:color w:val="auto"/>
              </w:rPr>
              <w:t>29%</w:t>
            </w:r>
          </w:p>
        </w:tc>
        <w:tc>
          <w:tcPr>
            <w:tcW w:w="460" w:type="dxa"/>
            <w:vAlign w:val="bottom"/>
          </w:tcPr>
          <w:p>
            <w:pPr>
              <w:spacing w:after="0"/>
              <w:rPr>
                <w:sz w:val="17"/>
                <w:szCs w:val="17"/>
                <w:color w:val="auto"/>
              </w:rPr>
            </w:pPr>
          </w:p>
        </w:tc>
        <w:tc>
          <w:tcPr>
            <w:tcW w:w="1180" w:type="dxa"/>
            <w:vAlign w:val="bottom"/>
            <w:gridSpan w:val="2"/>
          </w:tcPr>
          <w:p>
            <w:pPr>
              <w:jc w:val="center"/>
              <w:ind w:left="376"/>
              <w:spacing w:after="0"/>
              <w:rPr>
                <w:sz w:val="20"/>
                <w:szCs w:val="20"/>
                <w:color w:val="auto"/>
              </w:rPr>
            </w:pPr>
            <w:r>
              <w:rPr>
                <w:rFonts w:ascii="Times New Roman" w:cs="Times New Roman" w:eastAsia="Times New Roman" w:hAnsi="Times New Roman"/>
                <w:sz w:val="17"/>
                <w:szCs w:val="17"/>
                <w:color w:val="auto"/>
              </w:rPr>
              <w:t>72%</w:t>
            </w:r>
          </w:p>
        </w:tc>
        <w:tc>
          <w:tcPr>
            <w:tcW w:w="300" w:type="dxa"/>
            <w:vAlign w:val="bottom"/>
          </w:tcPr>
          <w:p>
            <w:pPr>
              <w:spacing w:after="0"/>
              <w:rPr>
                <w:sz w:val="17"/>
                <w:szCs w:val="17"/>
                <w:color w:val="auto"/>
              </w:rPr>
            </w:pPr>
          </w:p>
        </w:tc>
      </w:tr>
      <w:tr>
        <w:trPr>
          <w:trHeight w:val="20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E. Bassett, III</w:t>
            </w:r>
          </w:p>
        </w:tc>
        <w:tc>
          <w:tcPr>
            <w:tcW w:w="2440" w:type="dxa"/>
            <w:vAlign w:val="bottom"/>
            <w:gridSpan w:val="2"/>
            <w:shd w:val="clear" w:color="auto" w:fill="CCEEFF"/>
          </w:tcPr>
          <w:p>
            <w:pPr>
              <w:jc w:val="center"/>
              <w:ind w:left="1616"/>
              <w:spacing w:after="0"/>
              <w:rPr>
                <w:sz w:val="20"/>
                <w:szCs w:val="20"/>
                <w:color w:val="auto"/>
              </w:rPr>
            </w:pPr>
            <w:r>
              <w:rPr>
                <w:rFonts w:ascii="Times New Roman" w:cs="Times New Roman" w:eastAsia="Times New Roman" w:hAnsi="Times New Roman"/>
                <w:sz w:val="17"/>
                <w:szCs w:val="17"/>
                <w:color w:val="auto"/>
                <w:w w:val="96"/>
              </w:rPr>
              <w:t>14%</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29%</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72%</w:t>
            </w:r>
          </w:p>
        </w:tc>
        <w:tc>
          <w:tcPr>
            <w:tcW w:w="3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right="340" w:firstLine="454"/>
        <w:spacing w:after="0" w:line="261" w:lineRule="auto"/>
        <w:rPr>
          <w:sz w:val="20"/>
          <w:szCs w:val="20"/>
          <w:color w:val="auto"/>
        </w:rPr>
      </w:pPr>
      <w:r>
        <w:rPr>
          <w:rFonts w:ascii="Times New Roman" w:cs="Times New Roman" w:eastAsia="Times New Roman" w:hAnsi="Times New Roman"/>
          <w:sz w:val="17"/>
          <w:szCs w:val="17"/>
          <w:color w:val="auto"/>
        </w:rPr>
        <w:t>Our actual company operating income did not reach the threshold performance goal for that measure, which had been set at $13.1 million. None of the thresholds for Messrs. Cohenour, Bassett and Baker’s division measures were met. As a result, none of our named executives earned an annual incentive for fiscal 2023, as shown in the Summary Compensation Table under the Non-Equity Incentive Plan column.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Equity Incentive Awards</w:t>
      </w:r>
    </w:p>
    <w:p>
      <w:pPr>
        <w:spacing w:after="0" w:line="212"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7"/>
          <w:szCs w:val="17"/>
          <w:color w:val="auto"/>
        </w:rPr>
        <w:t>We periodically grant equity incentive awards in the form of performance-based and/or time-vesting restricted stock to align the interests of our executives with our stockholders by providing our executives with strong incentives to increase stockholder value. Such grants are designed to retain our executives, recognize and reward our executives for their contributions toward our long-term success, and further align their interests with those of our long-term stockholders by tying a portion of their compensation to the value of our common stock.</w:t>
      </w:r>
    </w:p>
    <w:p>
      <w:pPr>
        <w:spacing w:after="0" w:line="175"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7"/>
          <w:szCs w:val="17"/>
          <w:color w:val="auto"/>
        </w:rPr>
        <w:t>The chief executive officer recommends to the Committee the recipients and sizes of equity awards. In evaluating these recommendations, the Committee considers a number of factors including the Committee’s subjective evaluation of the executive officer’s potential contribution to the Company’s future success and the level of incentive already provided by the number and terms of the executive officer’s existing stock incentive holdings. The grant date of any such equity award is the same date the Board of Directors or the Committee approves the award. No grants have been made since January 2023.</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do not have any program, plan or practice to time stock option or other equity grants in coordination with the release of material non-public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Retirement Benefits</w:t>
      </w:r>
    </w:p>
    <w:p>
      <w:pPr>
        <w:spacing w:after="0" w:line="212" w:lineRule="exact"/>
        <w:rPr>
          <w:sz w:val="20"/>
          <w:szCs w:val="20"/>
          <w:color w:val="auto"/>
        </w:rPr>
      </w:pPr>
    </w:p>
    <w:p>
      <w:pPr>
        <w:ind w:right="140" w:firstLine="454"/>
        <w:spacing w:after="0" w:line="256" w:lineRule="auto"/>
        <w:rPr>
          <w:sz w:val="20"/>
          <w:szCs w:val="20"/>
          <w:color w:val="auto"/>
        </w:rPr>
      </w:pPr>
      <w:r>
        <w:rPr>
          <w:rFonts w:ascii="Times New Roman" w:cs="Times New Roman" w:eastAsia="Times New Roman" w:hAnsi="Times New Roman"/>
          <w:sz w:val="17"/>
          <w:szCs w:val="17"/>
          <w:color w:val="auto"/>
        </w:rPr>
        <w:t>Our chief executive officer participates in the Company’s Supplemental Retirement Income Plan (the “Supplemental Retirement Plan”) and the Company’s Executive Officer Deferred Compensation Plan, both of which were established in 1984 for certain key executives employed at that time. The plans were intended to promote the long-term service of, and to provide benefits upon the retirement, death or disability of, the participants, of whom our chief executive officer is the only remaining employee.</w:t>
      </w:r>
    </w:p>
    <w:p>
      <w:pPr>
        <w:spacing w:after="0" w:line="175" w:lineRule="exact"/>
        <w:rPr>
          <w:sz w:val="20"/>
          <w:szCs w:val="20"/>
          <w:color w:val="auto"/>
        </w:rPr>
      </w:pPr>
    </w:p>
    <w:p>
      <w:pPr>
        <w:ind w:right="260" w:firstLine="454"/>
        <w:spacing w:after="0" w:line="261" w:lineRule="auto"/>
        <w:rPr>
          <w:sz w:val="20"/>
          <w:szCs w:val="20"/>
          <w:color w:val="auto"/>
        </w:rPr>
      </w:pPr>
      <w:r>
        <w:rPr>
          <w:rFonts w:ascii="Times New Roman" w:cs="Times New Roman" w:eastAsia="Times New Roman" w:hAnsi="Times New Roman"/>
          <w:sz w:val="17"/>
          <w:szCs w:val="17"/>
          <w:color w:val="auto"/>
        </w:rPr>
        <w:t>Certain of the Company’s highly compensated or management level employees participate in the Bassett Furniture Industries, Incorporated Management Savings Plan (the “Management Savings Plan”). The Management Savings Plan is intended to provide financial security in retirement and to attract and retain high quality senior executives.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Each of these retirement plans are described in greater detail elsewhere in this proxy statement.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Other Components of Executive Compensation</w:t>
      </w:r>
    </w:p>
    <w:p>
      <w:pPr>
        <w:spacing w:after="0" w:line="212"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7"/>
          <w:szCs w:val="17"/>
          <w:color w:val="auto"/>
        </w:rPr>
        <w:t>Most benefits offered to executive officers are similar to those offered to all employees. These programs are designed to provide protection against financial catastrophe that can result from illness, disability or death. In addition, the Company provides a limited number of perquisites to its executive officers. The Committee believes that its perquisites are reasonable and consistent with the overall executive compensation program. These perquisites may include such personal benefits as executive physicals and long-term disability insurance coverage.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Control and Severance Arrangements</w:t>
      </w:r>
    </w:p>
    <w:p>
      <w:pPr>
        <w:spacing w:after="0" w:line="212" w:lineRule="exact"/>
        <w:rPr>
          <w:sz w:val="20"/>
          <w:szCs w:val="20"/>
          <w:color w:val="auto"/>
        </w:rPr>
      </w:pPr>
    </w:p>
    <w:p>
      <w:pPr>
        <w:ind w:right="40" w:firstLine="454"/>
        <w:spacing w:after="0" w:line="254" w:lineRule="auto"/>
        <w:rPr>
          <w:sz w:val="20"/>
          <w:szCs w:val="20"/>
          <w:color w:val="auto"/>
        </w:rPr>
      </w:pPr>
      <w:r>
        <w:rPr>
          <w:rFonts w:ascii="Times New Roman" w:cs="Times New Roman" w:eastAsia="Times New Roman" w:hAnsi="Times New Roman"/>
          <w:sz w:val="17"/>
          <w:szCs w:val="17"/>
          <w:color w:val="auto"/>
        </w:rPr>
        <w:t>Our named executive officers are not entitled to any “single trigger” equity acceleration with a change in control. The 2021 Stock Incentive Plan includes a “double trigger” feature that provides that options and restricted stock awards will vest only upon a recipient’s qualifying termination of employment that occurs on or within two years after the date of a “change in control,” as defined in that plan, unless the award is not assumed by the acquiring or surviving company in such change in control. Accordingly, there are no outstanding unvested options or restricted stock awards that do not contain a double trigger. For this purpose, “qualifying termination of employment” means the recipient’s termination by the Company without cause or termination by the recipient for good reason.</w:t>
      </w:r>
    </w:p>
    <w:p>
      <w:pPr>
        <w:spacing w:after="0" w:line="176" w:lineRule="exact"/>
        <w:rPr>
          <w:sz w:val="20"/>
          <w:szCs w:val="20"/>
          <w:color w:val="auto"/>
        </w:rPr>
      </w:pPr>
    </w:p>
    <w:p>
      <w:pPr>
        <w:ind w:right="100" w:firstLine="454"/>
        <w:spacing w:after="0" w:line="253" w:lineRule="auto"/>
        <w:rPr>
          <w:sz w:val="20"/>
          <w:szCs w:val="20"/>
          <w:color w:val="auto"/>
        </w:rPr>
      </w:pPr>
      <w:r>
        <w:rPr>
          <w:rFonts w:ascii="Times New Roman" w:cs="Times New Roman" w:eastAsia="Times New Roman" w:hAnsi="Times New Roman"/>
          <w:sz w:val="17"/>
          <w:szCs w:val="17"/>
          <w:color w:val="auto"/>
        </w:rPr>
        <w:t>In addition, the Company has entered into Employment Continuity Agreements with certain executive officers, including each of the named executive officers. The terms of the agreements, which are described in greater detail elsewhere in this proxy statement, generally provide for certain lump sum payments and continued benefits in the event that an executive is terminated without cause or resigns with good reason within specified periods following a change in control. The Committee believes that the foregoing arrangements will help the Company retain continuity of management during the uncertain period leading up to an actual or potential change in control by giving the executives certain assurances of financial security. Such assurances should result in the executives being less distracted by personal risks and better able to devote their full time and best efforts to the performance of their duties.</w:t>
      </w:r>
    </w:p>
    <w:p>
      <w:pPr>
        <w:spacing w:after="0" w:line="176"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7"/>
          <w:szCs w:val="17"/>
          <w:color w:val="auto"/>
        </w:rPr>
        <w:t>Each of the named executive officers also participate in the Bassett Furniture Industries, Incorporated Severance Program for Officers and Management Employees (the “Severance Program”). This program, which is described in greater detail elsewhere in this proxy statement, is designed to provide management with some assurances of financial security during difficult economic times. The Committee believes that these assurances will result in management being less distracted by the personal risks of being laid off and more focused on carrying out their duties to the best of their ability.</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 of these change in control or severance arrangements provide for an excise tax gross-up.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Clawback Policy</w:t>
      </w:r>
    </w:p>
    <w:p>
      <w:pPr>
        <w:spacing w:after="0" w:line="212" w:lineRule="exact"/>
        <w:rPr>
          <w:sz w:val="20"/>
          <w:szCs w:val="20"/>
          <w:color w:val="auto"/>
        </w:rPr>
      </w:pPr>
    </w:p>
    <w:p>
      <w:pPr>
        <w:ind w:right="20" w:firstLine="454"/>
        <w:spacing w:after="0" w:line="254" w:lineRule="auto"/>
        <w:rPr>
          <w:sz w:val="20"/>
          <w:szCs w:val="20"/>
          <w:color w:val="auto"/>
        </w:rPr>
      </w:pPr>
      <w:r>
        <w:rPr>
          <w:rFonts w:ascii="Times New Roman" w:cs="Times New Roman" w:eastAsia="Times New Roman" w:hAnsi="Times New Roman"/>
          <w:sz w:val="17"/>
          <w:szCs w:val="17"/>
          <w:color w:val="auto"/>
        </w:rPr>
        <w:t xml:space="preserve">In October 2023, the Board of Directors updated our compensation recovery (“clawback”) policy in accordance with new NASDAQ listing rules. Our clawback policy provides that we will seek to recover any erroneously awarded incentive-based compensation, on a non-fault basis, received by a “covered officer” (which term includes any current or former executive officer of the Company) during the three-year period preceding any date on which we are required to prepare an accounting restatement due to our material noncompliance with any financial reporting requirement under the federal securities laws. A copy of the clawback policy is available on our website, </w:t>
      </w:r>
      <w:r>
        <w:rPr>
          <w:rFonts w:ascii="Times New Roman" w:cs="Times New Roman" w:eastAsia="Times New Roman" w:hAnsi="Times New Roman"/>
          <w:sz w:val="17"/>
          <w:szCs w:val="17"/>
          <w:i w:val="1"/>
          <w:iCs w:val="1"/>
          <w:color w:val="auto"/>
        </w:rPr>
        <w:t>www.bassettfurniture.com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color w:val="auto"/>
        </w:rPr>
        <w:t>Stock Ownership Guidelines</w:t>
      </w:r>
    </w:p>
    <w:p>
      <w:pPr>
        <w:spacing w:after="0" w:line="212" w:lineRule="exact"/>
        <w:rPr>
          <w:sz w:val="20"/>
          <w:szCs w:val="20"/>
          <w:color w:val="auto"/>
        </w:rPr>
      </w:pPr>
    </w:p>
    <w:p>
      <w:pPr>
        <w:ind w:right="280" w:firstLine="454"/>
        <w:spacing w:after="0" w:line="274" w:lineRule="auto"/>
        <w:rPr>
          <w:sz w:val="20"/>
          <w:szCs w:val="20"/>
          <w:color w:val="auto"/>
        </w:rPr>
      </w:pPr>
      <w:r>
        <w:rPr>
          <w:rFonts w:ascii="Times New Roman" w:cs="Times New Roman" w:eastAsia="Times New Roman" w:hAnsi="Times New Roman"/>
          <w:sz w:val="17"/>
          <w:szCs w:val="17"/>
          <w:color w:val="auto"/>
        </w:rPr>
        <w:t>The Committee has established stock ownership guidelines for members of management who are recipients of long-term incentive stock awards. Recipients should not sell common stock of the Company until the following stock ownership levels are met: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52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7"/>
                <w:szCs w:val="17"/>
                <w:color w:val="auto"/>
              </w:rPr>
              <w:t>Management Level</w:t>
            </w:r>
          </w:p>
        </w:tc>
        <w:tc>
          <w:tcPr>
            <w:tcW w:w="18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as a Multiple of Base Annual Salary</w:t>
            </w:r>
          </w:p>
        </w:tc>
      </w:tr>
      <w:tr>
        <w:trPr>
          <w:trHeight w:val="19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CEO</w:t>
            </w:r>
          </w:p>
        </w:tc>
        <w:tc>
          <w:tcPr>
            <w:tcW w:w="18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4x</w:t>
            </w:r>
          </w:p>
        </w:tc>
      </w:tr>
      <w:tr>
        <w:trPr>
          <w:trHeight w:val="202"/>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c>
          <w:tcPr>
            <w:tcW w:w="1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2x</w:t>
            </w:r>
          </w:p>
        </w:tc>
      </w:tr>
      <w:tr>
        <w:trPr>
          <w:trHeight w:val="20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1x</w:t>
            </w:r>
          </w:p>
        </w:tc>
      </w:tr>
    </w:tbl>
    <w:p>
      <w:pPr>
        <w:spacing w:after="0" w:line="185" w:lineRule="exact"/>
        <w:rPr>
          <w:sz w:val="20"/>
          <w:szCs w:val="20"/>
          <w:color w:val="auto"/>
        </w:rPr>
      </w:pPr>
    </w:p>
    <w:p>
      <w:pPr>
        <w:ind w:firstLine="454"/>
        <w:spacing w:after="0" w:line="256" w:lineRule="auto"/>
        <w:rPr>
          <w:sz w:val="20"/>
          <w:szCs w:val="20"/>
          <w:color w:val="auto"/>
        </w:rPr>
      </w:pPr>
      <w:r>
        <w:rPr>
          <w:rFonts w:ascii="Times New Roman" w:cs="Times New Roman" w:eastAsia="Times New Roman" w:hAnsi="Times New Roman"/>
          <w:sz w:val="17"/>
          <w:szCs w:val="17"/>
          <w:color w:val="auto"/>
        </w:rPr>
        <w:t>Unvested stock options and/or restricted shares are not considered toward ownership levels. The Committee may approve exceptions or waivers from these guidelines for recipients for charitable gifts, estate planning transactions, educational expenses, purchase of a primary residence, court ordered transactions or other instances in which the required ownership would result in a severe hardship with respect to the recipient. Each named executive officer is in compliance with the stock ownership guidelines.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Anti-Hedging and Pledging Policy</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stock ownership guidelines prohibit hedging transactions involving, and prohibit pledging of Company stock by officers and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Accounting and Tax Treatment on Compensation Decisions</w:t>
      </w:r>
    </w:p>
    <w:p>
      <w:pPr>
        <w:spacing w:after="0" w:line="212" w:lineRule="exact"/>
        <w:rPr>
          <w:sz w:val="20"/>
          <w:szCs w:val="20"/>
          <w:color w:val="auto"/>
        </w:rPr>
      </w:pPr>
    </w:p>
    <w:p>
      <w:pPr>
        <w:ind w:right="20" w:firstLine="454"/>
        <w:spacing w:after="0" w:line="261" w:lineRule="auto"/>
        <w:rPr>
          <w:sz w:val="20"/>
          <w:szCs w:val="20"/>
          <w:color w:val="auto"/>
        </w:rPr>
      </w:pPr>
      <w:r>
        <w:rPr>
          <w:rFonts w:ascii="Times New Roman" w:cs="Times New Roman" w:eastAsia="Times New Roman" w:hAnsi="Times New Roman"/>
          <w:sz w:val="17"/>
          <w:szCs w:val="17"/>
          <w:color w:val="auto"/>
        </w:rPr>
        <w:t>In the review and establishment of our compensation programs, we consider the anticipated accounting and tax implications to us and our executives. However, these factors alone are not dispositive, and we also consider the cash and non-cash impact of the programs and whether a program is consistent with our overall compensation philosophy and objectives.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Section 162(m) of the Code generally disallows a deduction for annual compensation in excess of </w:t>
      </w:r>
      <w:r>
        <w:rPr>
          <w:rFonts w:ascii="Times New Roman" w:cs="Times New Roman" w:eastAsia="Times New Roman" w:hAnsi="Times New Roman"/>
          <w:sz w:val="25"/>
          <w:szCs w:val="25"/>
          <w:color w:val="auto"/>
          <w:vertAlign w:val="superscript"/>
        </w:rPr>
        <w:t>$1 million that we pay to our CEO, CFO, our next three most highly</w:t>
      </w:r>
    </w:p>
    <w:p>
      <w:pPr>
        <w:spacing w:after="0"/>
        <w:rPr>
          <w:sz w:val="20"/>
          <w:szCs w:val="20"/>
          <w:color w:val="auto"/>
        </w:rPr>
      </w:pPr>
      <w:r>
        <w:rPr>
          <w:rFonts w:ascii="Times New Roman" w:cs="Times New Roman" w:eastAsia="Times New Roman" w:hAnsi="Times New Roman"/>
          <w:sz w:val="14"/>
          <w:szCs w:val="14"/>
          <w:color w:val="auto"/>
        </w:rPr>
        <w:t xml:space="preserve">compensated officers and any other individual who has served as one of our covered executives after 2016, other than pursuant to certain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grandfathered</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compensation arrangements in effect on</w:t>
      </w:r>
    </w:p>
    <w:p>
      <w:pPr>
        <w:spacing w:after="0" w:line="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November 2, 2017. Compensation decisions for our named executive officers are driven by market competitiveness and the other factors described above in this CD&amp;A and the Committee approves non-deductible compensation whenever it feels that corporate objectives justify the cost of being unable to deduct such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Compensation-Related Risk</w:t>
      </w:r>
    </w:p>
    <w:p>
      <w:pPr>
        <w:spacing w:after="0" w:line="212" w:lineRule="exact"/>
        <w:rPr>
          <w:sz w:val="20"/>
          <w:szCs w:val="20"/>
          <w:color w:val="auto"/>
        </w:rPr>
      </w:pPr>
    </w:p>
    <w:p>
      <w:pPr>
        <w:jc w:val="both"/>
        <w:ind w:right="40" w:firstLine="454"/>
        <w:spacing w:after="0" w:line="256" w:lineRule="auto"/>
        <w:rPr>
          <w:sz w:val="20"/>
          <w:szCs w:val="20"/>
          <w:color w:val="auto"/>
        </w:rPr>
      </w:pPr>
      <w:r>
        <w:rPr>
          <w:rFonts w:ascii="Times New Roman" w:cs="Times New Roman" w:eastAsia="Times New Roman" w:hAnsi="Times New Roman"/>
          <w:sz w:val="17"/>
          <w:szCs w:val="17"/>
          <w:color w:val="auto"/>
        </w:rPr>
        <w:t>The Company regularly assesses the risks related to our compensation programs, including our executive compensation programs, and does not believe that the risks arising from our compensation policies and practices are reasonably likely to have a material adverse effect on the Company. Incentive award targets and bonus opportunities are reviewed annually allowing the Committee to maintain an appropriate balance between rewarding high performance without encouraging excessive risk.</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2" w:lineRule="exact"/>
        <w:rPr>
          <w:sz w:val="20"/>
          <w:szCs w:val="20"/>
          <w:color w:val="auto"/>
        </w:rPr>
      </w:pPr>
    </w:p>
    <w:p>
      <w:pPr>
        <w:ind w:right="80" w:firstLine="454"/>
        <w:spacing w:after="0" w:line="261" w:lineRule="auto"/>
        <w:rPr>
          <w:sz w:val="20"/>
          <w:szCs w:val="20"/>
          <w:color w:val="auto"/>
        </w:rPr>
      </w:pPr>
      <w:r>
        <w:rPr>
          <w:rFonts w:ascii="Times New Roman" w:cs="Times New Roman" w:eastAsia="Times New Roman" w:hAnsi="Times New Roman"/>
          <w:sz w:val="17"/>
          <w:szCs w:val="17"/>
          <w:color w:val="auto"/>
        </w:rPr>
        <w:t>The following table presents information with respect to total compensation of Bassett’s chief executive officer, its principal financial officer and its three other most highly compensated executive officers (the “named executive officers”) for the fiscal years ended November 25, 2023, November 26, 2022, and November 27,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8"/>
          </w:tcPr>
          <w:p>
            <w:pPr>
              <w:ind w:left="66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incentive plan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All other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2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Bonus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2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92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($)(1)</w:t>
            </w:r>
          </w:p>
        </w:tc>
        <w:tc>
          <w:tcPr>
            <w:tcW w:w="20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2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Robert H. Spilman, Jr.,</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7"/>
                <w:szCs w:val="17"/>
                <w:color w:val="auto"/>
                <w:w w:val="97"/>
              </w:rPr>
              <w:t>474,500</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line="178" w:lineRule="exact"/>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line="178" w:lineRule="exact"/>
              <w:rPr>
                <w:sz w:val="20"/>
                <w:szCs w:val="20"/>
                <w:color w:val="auto"/>
              </w:rPr>
            </w:pPr>
            <w:r>
              <w:rPr>
                <w:rFonts w:ascii="Times New Roman" w:cs="Times New Roman" w:eastAsia="Times New Roman" w:hAnsi="Times New Roman"/>
                <w:sz w:val="17"/>
                <w:szCs w:val="17"/>
                <w:color w:val="auto"/>
              </w:rPr>
              <w:t>52,650</w:t>
            </w:r>
          </w:p>
        </w:tc>
        <w:tc>
          <w:tcPr>
            <w:tcW w:w="960" w:type="dxa"/>
            <w:vAlign w:val="bottom"/>
            <w:gridSpan w:val="2"/>
            <w:shd w:val="clear" w:color="auto" w:fill="CCEEFF"/>
          </w:tcPr>
          <w:p>
            <w:pPr>
              <w:jc w:val="right"/>
              <w:ind w:right="200"/>
              <w:spacing w:after="0" w:line="178" w:lineRule="exact"/>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line="178" w:lineRule="exact"/>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shd w:val="clear" w:color="auto" w:fill="CCEEFF"/>
          </w:tcPr>
          <w:p>
            <w:pPr>
              <w:jc w:val="right"/>
              <w:ind w:right="200"/>
              <w:spacing w:after="0" w:line="178" w:lineRule="exact"/>
              <w:rPr>
                <w:sz w:val="20"/>
                <w:szCs w:val="20"/>
                <w:color w:val="auto"/>
              </w:rPr>
            </w:pPr>
            <w:r>
              <w:rPr>
                <w:rFonts w:ascii="Times New Roman" w:cs="Times New Roman" w:eastAsia="Times New Roman" w:hAnsi="Times New Roman"/>
                <w:sz w:val="17"/>
                <w:szCs w:val="17"/>
                <w:color w:val="auto"/>
              </w:rPr>
              <w:t>6,600</w:t>
            </w:r>
          </w:p>
        </w:tc>
        <w:tc>
          <w:tcPr>
            <w:tcW w:w="980" w:type="dxa"/>
            <w:vAlign w:val="bottom"/>
            <w:gridSpan w:val="2"/>
            <w:shd w:val="clear" w:color="auto" w:fill="CCEEFF"/>
          </w:tcPr>
          <w:p>
            <w:pPr>
              <w:ind w:left="340"/>
              <w:spacing w:after="0" w:line="178" w:lineRule="exact"/>
              <w:rPr>
                <w:sz w:val="20"/>
                <w:szCs w:val="20"/>
                <w:color w:val="auto"/>
              </w:rPr>
            </w:pPr>
            <w:r>
              <w:rPr>
                <w:rFonts w:ascii="Times New Roman" w:cs="Times New Roman" w:eastAsia="Times New Roman" w:hAnsi="Times New Roman"/>
                <w:sz w:val="17"/>
                <w:szCs w:val="17"/>
                <w:color w:val="auto"/>
              </w:rPr>
              <w:t>533,750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465,000</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47,460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437,500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6,100</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956,060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President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450,833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393,750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8,309</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852,892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Bruce R. Cohenour,</w:t>
            </w:r>
          </w:p>
        </w:tc>
        <w:tc>
          <w:tcPr>
            <w:tcW w:w="1240" w:type="dxa"/>
            <w:vAlign w:val="bottom"/>
            <w:gridSpan w:val="3"/>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920" w:type="dxa"/>
            <w:vAlign w:val="bottom"/>
            <w:shd w:val="clear" w:color="auto" w:fill="CCEEFF"/>
          </w:tcPr>
          <w:p>
            <w:pPr>
              <w:ind w:left="360"/>
              <w:spacing w:after="0" w:line="185" w:lineRule="exact"/>
              <w:rPr>
                <w:sz w:val="20"/>
                <w:szCs w:val="20"/>
                <w:color w:val="auto"/>
              </w:rPr>
            </w:pPr>
            <w:r>
              <w:rPr>
                <w:rFonts w:ascii="Times New Roman" w:cs="Times New Roman" w:eastAsia="Times New Roman" w:hAnsi="Times New Roman"/>
                <w:sz w:val="17"/>
                <w:szCs w:val="17"/>
                <w:color w:val="auto"/>
                <w:w w:val="97"/>
              </w:rPr>
              <w:t>387,166</w:t>
            </w:r>
          </w:p>
        </w:tc>
        <w:tc>
          <w:tcPr>
            <w:tcW w:w="1360" w:type="dxa"/>
            <w:vAlign w:val="bottom"/>
            <w:gridSpan w:val="3"/>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96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26,250</w:t>
            </w:r>
          </w:p>
        </w:tc>
        <w:tc>
          <w:tcPr>
            <w:tcW w:w="980" w:type="dxa"/>
            <w:vAlign w:val="bottom"/>
            <w:gridSpan w:val="2"/>
            <w:shd w:val="clear" w:color="auto" w:fill="CCEEFF"/>
          </w:tcPr>
          <w:p>
            <w:pPr>
              <w:ind w:left="340"/>
              <w:spacing w:after="0" w:line="185" w:lineRule="exact"/>
              <w:rPr>
                <w:sz w:val="20"/>
                <w:szCs w:val="20"/>
                <w:color w:val="auto"/>
              </w:rPr>
            </w:pPr>
            <w:r>
              <w:rPr>
                <w:rFonts w:ascii="Times New Roman" w:cs="Times New Roman" w:eastAsia="Times New Roman" w:hAnsi="Times New Roman"/>
                <w:sz w:val="17"/>
                <w:szCs w:val="17"/>
                <w:color w:val="auto"/>
              </w:rPr>
              <w:t>455,536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381,667</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37,968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25,250</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663,635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Chief Sales Officer</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372,833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210,000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27,114</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609,947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David C. Baker</w:t>
            </w:r>
          </w:p>
        </w:tc>
        <w:tc>
          <w:tcPr>
            <w:tcW w:w="1240" w:type="dxa"/>
            <w:vAlign w:val="bottom"/>
            <w:gridSpan w:val="3"/>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920" w:type="dxa"/>
            <w:vAlign w:val="bottom"/>
            <w:shd w:val="clear" w:color="auto" w:fill="CCEEFF"/>
          </w:tcPr>
          <w:p>
            <w:pPr>
              <w:ind w:left="360"/>
              <w:spacing w:after="0" w:line="185" w:lineRule="exact"/>
              <w:rPr>
                <w:sz w:val="20"/>
                <w:szCs w:val="20"/>
                <w:color w:val="auto"/>
              </w:rPr>
            </w:pPr>
            <w:r>
              <w:rPr>
                <w:rFonts w:ascii="Times New Roman" w:cs="Times New Roman" w:eastAsia="Times New Roman" w:hAnsi="Times New Roman"/>
                <w:sz w:val="17"/>
                <w:szCs w:val="17"/>
                <w:color w:val="auto"/>
                <w:w w:val="97"/>
              </w:rPr>
              <w:t>250,667</w:t>
            </w:r>
          </w:p>
        </w:tc>
        <w:tc>
          <w:tcPr>
            <w:tcW w:w="1360" w:type="dxa"/>
            <w:vAlign w:val="bottom"/>
            <w:gridSpan w:val="3"/>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96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17,300</w:t>
            </w:r>
          </w:p>
        </w:tc>
        <w:tc>
          <w:tcPr>
            <w:tcW w:w="980" w:type="dxa"/>
            <w:vAlign w:val="bottom"/>
            <w:gridSpan w:val="2"/>
            <w:shd w:val="clear" w:color="auto" w:fill="CCEEFF"/>
          </w:tcPr>
          <w:p>
            <w:pPr>
              <w:ind w:left="340"/>
              <w:spacing w:after="0" w:line="185" w:lineRule="exact"/>
              <w:rPr>
                <w:sz w:val="20"/>
                <w:szCs w:val="20"/>
                <w:color w:val="auto"/>
              </w:rPr>
            </w:pPr>
            <w:r>
              <w:rPr>
                <w:rFonts w:ascii="Times New Roman" w:cs="Times New Roman" w:eastAsia="Times New Roman" w:hAnsi="Times New Roman"/>
                <w:sz w:val="17"/>
                <w:szCs w:val="17"/>
                <w:color w:val="auto"/>
              </w:rPr>
              <w:t>310,087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235,833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37,968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175,000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16,425</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465,226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Chief Retail Officer</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227,500</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157,500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15,816</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400,816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Michael Daniel,</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276,250</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42,120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21,500</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339,870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Chief Financial and</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268,333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37,968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19,550</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544,601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 Officer</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255,833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183,750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19,963</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459,546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John E. Bassett, III,</w:t>
            </w:r>
          </w:p>
        </w:tc>
        <w:tc>
          <w:tcPr>
            <w:tcW w:w="1240" w:type="dxa"/>
            <w:vAlign w:val="bottom"/>
            <w:gridSpan w:val="3"/>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2023</w:t>
            </w:r>
          </w:p>
        </w:tc>
        <w:tc>
          <w:tcPr>
            <w:tcW w:w="920" w:type="dxa"/>
            <w:vAlign w:val="bottom"/>
            <w:shd w:val="clear" w:color="auto" w:fill="CCEEFF"/>
          </w:tcPr>
          <w:p>
            <w:pPr>
              <w:ind w:left="360"/>
              <w:spacing w:after="0" w:line="185" w:lineRule="exact"/>
              <w:rPr>
                <w:sz w:val="20"/>
                <w:szCs w:val="20"/>
                <w:color w:val="auto"/>
              </w:rPr>
            </w:pPr>
            <w:r>
              <w:rPr>
                <w:rFonts w:ascii="Times New Roman" w:cs="Times New Roman" w:eastAsia="Times New Roman" w:hAnsi="Times New Roman"/>
                <w:sz w:val="17"/>
                <w:szCs w:val="17"/>
                <w:color w:val="auto"/>
                <w:w w:val="97"/>
              </w:rPr>
              <w:t>276,250</w:t>
            </w:r>
          </w:p>
        </w:tc>
        <w:tc>
          <w:tcPr>
            <w:tcW w:w="1360" w:type="dxa"/>
            <w:vAlign w:val="bottom"/>
            <w:gridSpan w:val="3"/>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96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20,672</w:t>
            </w:r>
          </w:p>
        </w:tc>
        <w:tc>
          <w:tcPr>
            <w:tcW w:w="980" w:type="dxa"/>
            <w:vAlign w:val="bottom"/>
            <w:gridSpan w:val="2"/>
            <w:shd w:val="clear" w:color="auto" w:fill="CCEEFF"/>
          </w:tcPr>
          <w:p>
            <w:pPr>
              <w:ind w:left="340"/>
              <w:spacing w:after="0" w:line="185" w:lineRule="exact"/>
              <w:rPr>
                <w:sz w:val="20"/>
                <w:szCs w:val="20"/>
                <w:color w:val="auto"/>
              </w:rPr>
            </w:pPr>
            <w:r>
              <w:rPr>
                <w:rFonts w:ascii="Times New Roman" w:cs="Times New Roman" w:eastAsia="Times New Roman" w:hAnsi="Times New Roman"/>
                <w:sz w:val="17"/>
                <w:szCs w:val="17"/>
                <w:color w:val="auto"/>
              </w:rPr>
              <w:t>339,042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268,333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37,968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18,538</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543,589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Chief Operations Officer</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7"/>
              </w:rPr>
              <w:t>255,833</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183,750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19,489</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459,072</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00" w:right="340" w:hanging="294"/>
        <w:spacing w:after="0" w:line="274"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named executive officer received personal benefits in excess of $10,000 during fiscal 2023. This column also includes the value of any employer contributions to the Management Savings Plan for any named executive officer.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00" w:type="dxa"/>
            <w:vAlign w:val="bottom"/>
            <w:gridSpan w:val="6"/>
          </w:tcPr>
          <w:p>
            <w:pPr>
              <w:ind w:left="1160"/>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320" w:type="dxa"/>
            <w:vAlign w:val="bottom"/>
            <w:gridSpan w:val="8"/>
          </w:tcPr>
          <w:p>
            <w:pPr>
              <w:ind w:left="440"/>
              <w:spacing w:after="0"/>
              <w:rPr>
                <w:sz w:val="20"/>
                <w:szCs w:val="20"/>
                <w:color w:val="auto"/>
              </w:rPr>
            </w:pPr>
            <w:r>
              <w:rPr>
                <w:rFonts w:ascii="Times New Roman" w:cs="Times New Roman" w:eastAsia="Times New Roman" w:hAnsi="Times New Roman"/>
                <w:sz w:val="17"/>
                <w:szCs w:val="17"/>
                <w:color w:val="auto"/>
              </w:rPr>
              <w:t>The following table sets forth information concerning individual grants of plan-based awards.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All other stock</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Estimated possible payouts under non-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Grant 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6"/>
            <w:vMerge w:val="continue"/>
          </w:tcPr>
          <w:p>
            <w:pPr>
              <w:spacing w:after="0"/>
              <w:rPr>
                <w:sz w:val="16"/>
                <w:szCs w:val="16"/>
                <w:color w:val="auto"/>
              </w:rPr>
            </w:pPr>
          </w:p>
        </w:tc>
        <w:tc>
          <w:tcPr>
            <w:tcW w:w="134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7"/>
                <w:szCs w:val="17"/>
                <w:b w:val="1"/>
                <w:bCs w:val="1"/>
                <w:color w:val="auto"/>
                <w:w w:val="97"/>
              </w:rPr>
              <w:t>number of</w:t>
            </w:r>
          </w:p>
        </w:tc>
        <w:tc>
          <w:tcPr>
            <w:tcW w:w="12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b w:val="1"/>
                <w:bCs w:val="1"/>
                <w:color w:val="auto"/>
                <w:w w:val="97"/>
              </w:rPr>
              <w:t>value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equity incentive plan 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shares of stock</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of stock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gridSpan w:val="2"/>
          </w:tcPr>
          <w:p>
            <w:pPr>
              <w:ind w:left="200"/>
              <w:spacing w:after="0" w:line="174" w:lineRule="exact"/>
              <w:rPr>
                <w:sz w:val="20"/>
                <w:szCs w:val="20"/>
                <w:color w:val="auto"/>
              </w:rPr>
            </w:pPr>
            <w:r>
              <w:rPr>
                <w:rFonts w:ascii="Times New Roman" w:cs="Times New Roman" w:eastAsia="Times New Roman" w:hAnsi="Times New Roman"/>
                <w:sz w:val="17"/>
                <w:szCs w:val="17"/>
                <w:b w:val="1"/>
                <w:bCs w:val="1"/>
                <w:color w:val="auto"/>
              </w:rPr>
              <w:t>Threshold</w:t>
            </w:r>
          </w:p>
        </w:tc>
        <w:tc>
          <w:tcPr>
            <w:tcW w:w="1360" w:type="dxa"/>
            <w:vAlign w:val="bottom"/>
            <w:tcBorders>
              <w:top w:val="single" w:sz="8" w:color="auto"/>
            </w:tcBorders>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7"/>
              </w:rPr>
              <w:t>Target</w:t>
            </w:r>
          </w:p>
        </w:tc>
        <w:tc>
          <w:tcPr>
            <w:tcW w:w="1140" w:type="dxa"/>
            <w:vAlign w:val="bottom"/>
            <w:tcBorders>
              <w:top w:val="single" w:sz="8" w:color="auto"/>
            </w:tcBorders>
          </w:tcPr>
          <w:p>
            <w:pPr>
              <w:jc w:val="right"/>
              <w:ind w:right="116"/>
              <w:spacing w:after="0" w:line="174" w:lineRule="exact"/>
              <w:rPr>
                <w:sz w:val="20"/>
                <w:szCs w:val="20"/>
                <w:color w:val="auto"/>
              </w:rPr>
            </w:pPr>
            <w:r>
              <w:rPr>
                <w:rFonts w:ascii="Times New Roman" w:cs="Times New Roman" w:eastAsia="Times New Roman" w:hAnsi="Times New Roman"/>
                <w:sz w:val="17"/>
                <w:szCs w:val="17"/>
                <w:b w:val="1"/>
                <w:bCs w:val="1"/>
                <w:color w:val="auto"/>
              </w:rPr>
              <w:t>Maximum</w:t>
            </w:r>
          </w:p>
        </w:tc>
        <w:tc>
          <w:tcPr>
            <w:tcW w:w="220" w:type="dxa"/>
            <w:vAlign w:val="bottom"/>
          </w:tcPr>
          <w:p>
            <w:pPr>
              <w:spacing w:after="0"/>
              <w:rPr>
                <w:sz w:val="15"/>
                <w:szCs w:val="15"/>
                <w:color w:val="auto"/>
              </w:rPr>
            </w:pPr>
          </w:p>
        </w:tc>
        <w:tc>
          <w:tcPr>
            <w:tcW w:w="134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7"/>
                <w:szCs w:val="17"/>
                <w:b w:val="1"/>
                <w:bCs w:val="1"/>
                <w:color w:val="auto"/>
                <w:w w:val="94"/>
              </w:rPr>
              <w:t>units</w:t>
            </w:r>
          </w:p>
        </w:tc>
        <w:tc>
          <w:tcPr>
            <w:tcW w:w="12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w w:val="98"/>
              </w:rPr>
              <w:t>option awards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Robert H. Spilman, Jr.</w:t>
            </w:r>
          </w:p>
        </w:tc>
        <w:tc>
          <w:tcPr>
            <w:tcW w:w="1700" w:type="dxa"/>
            <w:vAlign w:val="bottom"/>
            <w:gridSpan w:val="3"/>
            <w:shd w:val="clear" w:color="auto" w:fill="CCEEFF"/>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1/11/2023</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80,000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160,000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400,000</w:t>
            </w:r>
          </w:p>
        </w:tc>
        <w:tc>
          <w:tcPr>
            <w:tcW w:w="134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3,000</w:t>
            </w:r>
          </w:p>
        </w:tc>
        <w:tc>
          <w:tcPr>
            <w:tcW w:w="1200" w:type="dxa"/>
            <w:vAlign w:val="bottom"/>
            <w:gridSpan w:val="2"/>
            <w:shd w:val="clear" w:color="auto" w:fill="CCEEFF"/>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52,650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Annual Cash Incentive Stock Grant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Bruce R. Cohenour</w:t>
            </w:r>
          </w:p>
        </w:tc>
        <w:tc>
          <w:tcPr>
            <w:tcW w:w="1700" w:type="dxa"/>
            <w:vAlign w:val="bottom"/>
            <w:gridSpan w:val="3"/>
            <w:shd w:val="clear" w:color="auto" w:fill="CCEEFF"/>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1/11/2023</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40,000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80,000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200,000</w:t>
            </w:r>
          </w:p>
        </w:tc>
        <w:tc>
          <w:tcPr>
            <w:tcW w:w="134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2,400</w:t>
            </w:r>
          </w:p>
        </w:tc>
        <w:tc>
          <w:tcPr>
            <w:tcW w:w="1200" w:type="dxa"/>
            <w:vAlign w:val="bottom"/>
            <w:gridSpan w:val="2"/>
            <w:shd w:val="clear" w:color="auto" w:fill="CCEEFF"/>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Annual Cash Incentive Stock Grant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David C. Baker</w:t>
            </w:r>
          </w:p>
        </w:tc>
        <w:tc>
          <w:tcPr>
            <w:tcW w:w="1700" w:type="dxa"/>
            <w:vAlign w:val="bottom"/>
            <w:gridSpan w:val="3"/>
            <w:shd w:val="clear" w:color="auto" w:fill="CCEEFF"/>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1/11/2023</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32,500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65,000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162,500</w:t>
            </w:r>
          </w:p>
        </w:tc>
        <w:tc>
          <w:tcPr>
            <w:tcW w:w="134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2,400</w:t>
            </w:r>
          </w:p>
        </w:tc>
        <w:tc>
          <w:tcPr>
            <w:tcW w:w="1200" w:type="dxa"/>
            <w:vAlign w:val="bottom"/>
            <w:gridSpan w:val="2"/>
            <w:shd w:val="clear" w:color="auto" w:fill="CCEEFF"/>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Annual Cash Incentive Stock Grant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Michael Daniel</w:t>
            </w:r>
          </w:p>
        </w:tc>
        <w:tc>
          <w:tcPr>
            <w:tcW w:w="1700" w:type="dxa"/>
            <w:vAlign w:val="bottom"/>
            <w:gridSpan w:val="3"/>
            <w:shd w:val="clear" w:color="auto" w:fill="CCEEFF"/>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1/11/2023</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40,000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80,000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200,000</w:t>
            </w:r>
          </w:p>
        </w:tc>
        <w:tc>
          <w:tcPr>
            <w:tcW w:w="134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2,400</w:t>
            </w:r>
          </w:p>
        </w:tc>
        <w:tc>
          <w:tcPr>
            <w:tcW w:w="1200" w:type="dxa"/>
            <w:vAlign w:val="bottom"/>
            <w:gridSpan w:val="2"/>
            <w:shd w:val="clear" w:color="auto" w:fill="CCEEFF"/>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Annual Cash Incentive Stock Grant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John E. Bassett III</w:t>
            </w:r>
          </w:p>
        </w:tc>
        <w:tc>
          <w:tcPr>
            <w:tcW w:w="1700" w:type="dxa"/>
            <w:vAlign w:val="bottom"/>
            <w:gridSpan w:val="3"/>
            <w:shd w:val="clear" w:color="auto" w:fill="CCEEFF"/>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1/11/2023</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40,000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80,000</w:t>
            </w:r>
          </w:p>
        </w:tc>
        <w:tc>
          <w:tcPr>
            <w:tcW w:w="136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200,000</w:t>
            </w:r>
          </w:p>
        </w:tc>
        <w:tc>
          <w:tcPr>
            <w:tcW w:w="1340" w:type="dxa"/>
            <w:vAlign w:val="bottom"/>
            <w:gridSpan w:val="2"/>
            <w:shd w:val="clear" w:color="auto" w:fill="CCEEFF"/>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2,400</w:t>
            </w:r>
          </w:p>
        </w:tc>
        <w:tc>
          <w:tcPr>
            <w:tcW w:w="1200" w:type="dxa"/>
            <w:vAlign w:val="bottom"/>
            <w:gridSpan w:val="2"/>
            <w:shd w:val="clear" w:color="auto" w:fill="CCEEFF"/>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42,120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Annual Cash Incentive Stock Grant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12" w:lineRule="exact"/>
        <w:rPr>
          <w:sz w:val="20"/>
          <w:szCs w:val="20"/>
          <w:color w:val="auto"/>
        </w:rPr>
      </w:pPr>
    </w:p>
    <w:p>
      <w:pPr>
        <w:jc w:val="both"/>
        <w:ind w:right="20" w:firstLine="454"/>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concerning the fiscal year-end number and terms of unexercised options and unvested restricted stock held by each of the named executive officers.</w:t>
      </w:r>
    </w:p>
    <w:p>
      <w:pPr>
        <w:spacing w:after="0" w:line="357" w:lineRule="exact"/>
        <w:rPr>
          <w:sz w:val="20"/>
          <w:szCs w:val="20"/>
          <w:color w:val="auto"/>
        </w:rPr>
      </w:pPr>
    </w:p>
    <w:tbl>
      <w:tblPr>
        <w:tblLayout w:type="fixed"/>
        <w:tblInd w:w="5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value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 units</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shares 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securities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 stock</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units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underlying</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underlying</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 have</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stock that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not</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 (#)</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 (#)</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vested</w:t>
            </w: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vested</w:t>
            </w: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200" w:type="dxa"/>
            <w:vAlign w:val="bottom"/>
            <w:gridSpan w:val="2"/>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date</w:t>
            </w:r>
          </w:p>
        </w:tc>
        <w:tc>
          <w:tcPr>
            <w:tcW w:w="120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b w:val="1"/>
                <w:bCs w:val="1"/>
                <w:color w:val="auto"/>
              </w:rPr>
              <w:t>(#)(1)</w:t>
            </w:r>
          </w:p>
        </w:tc>
        <w:tc>
          <w:tcPr>
            <w:tcW w:w="122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H. Spilman, Jr.</w:t>
            </w:r>
          </w:p>
        </w:tc>
        <w:tc>
          <w:tcPr>
            <w:tcW w:w="1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83,150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R. Cohenour</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4,000</w:t>
            </w:r>
          </w:p>
        </w:tc>
        <w:tc>
          <w:tcPr>
            <w:tcW w:w="12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66,520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 Baker</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4,000</w:t>
            </w:r>
          </w:p>
        </w:tc>
        <w:tc>
          <w:tcPr>
            <w:tcW w:w="12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66,520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 Michael Daniel</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4,000</w:t>
            </w:r>
          </w:p>
        </w:tc>
        <w:tc>
          <w:tcPr>
            <w:tcW w:w="12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66,520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E. Bassett, III</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4,000</w:t>
            </w:r>
          </w:p>
        </w:tc>
        <w:tc>
          <w:tcPr>
            <w:tcW w:w="12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66,520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20" w:hanging="614"/>
        <w:spacing w:after="0" w:line="274"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Spilman, 1,000 shares are scheduled to each vest on January 11, 2024, 2025, and 2026 and on January 12, 2024 and 2025. For the other named executive officers 800 shares are scheduled to on the same dates as Mr. Spilman’s shares are scheduled to vest.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concerning options exercised by, and stock awards that vested for, our named executive officers during fiscal 2023.</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200" w:type="dxa"/>
            <w:vAlign w:val="bottom"/>
          </w:tcPr>
          <w:p>
            <w:pPr>
              <w:spacing w:after="0"/>
              <w:rPr>
                <w:sz w:val="19"/>
                <w:szCs w:val="19"/>
                <w:color w:val="auto"/>
              </w:rPr>
            </w:pPr>
          </w:p>
        </w:tc>
        <w:tc>
          <w:tcPr>
            <w:tcW w:w="2720" w:type="dxa"/>
            <w:vAlign w:val="bottom"/>
            <w:gridSpan w:val="3"/>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Stock Awards</w:t>
            </w:r>
          </w:p>
        </w:tc>
      </w:tr>
      <w:tr>
        <w:trPr>
          <w:trHeight w:val="174"/>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ind w:right="36"/>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280" w:type="dxa"/>
            <w:vAlign w:val="bottom"/>
            <w:tcBorders>
              <w:top w:val="single" w:sz="8" w:color="auto"/>
            </w:tcBorders>
          </w:tcPr>
          <w:p>
            <w:pPr>
              <w:jc w:val="right"/>
              <w:ind w:right="16"/>
              <w:spacing w:after="0" w:line="175" w:lineRule="exact"/>
              <w:rPr>
                <w:sz w:val="20"/>
                <w:szCs w:val="20"/>
                <w:color w:val="auto"/>
              </w:rPr>
            </w:pPr>
            <w:r>
              <w:rPr>
                <w:rFonts w:ascii="Times New Roman" w:cs="Times New Roman" w:eastAsia="Times New Roman" w:hAnsi="Times New Roman"/>
                <w:sz w:val="17"/>
                <w:szCs w:val="17"/>
                <w:b w:val="1"/>
                <w:bCs w:val="1"/>
                <w:color w:val="auto"/>
              </w:rPr>
              <w:t>Value realized</w:t>
            </w:r>
          </w:p>
        </w:tc>
        <w:tc>
          <w:tcPr>
            <w:tcW w:w="200" w:type="dxa"/>
            <w:vAlign w:val="bottom"/>
          </w:tcPr>
          <w:p>
            <w:pPr>
              <w:spacing w:after="0"/>
              <w:rPr>
                <w:sz w:val="15"/>
                <w:szCs w:val="15"/>
                <w:color w:val="auto"/>
              </w:rPr>
            </w:pPr>
          </w:p>
        </w:tc>
        <w:tc>
          <w:tcPr>
            <w:tcW w:w="1320" w:type="dxa"/>
            <w:vAlign w:val="bottom"/>
            <w:tcBorders>
              <w:top w:val="single" w:sz="8" w:color="auto"/>
            </w:tcBorders>
          </w:tcPr>
          <w:p>
            <w:pPr>
              <w:jc w:val="center"/>
              <w:ind w:right="16"/>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7"/>
              </w:rPr>
              <w:t>shares acquired</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on exercise (1)</w:t>
            </w:r>
          </w:p>
        </w:tc>
        <w:tc>
          <w:tcPr>
            <w:tcW w:w="200" w:type="dxa"/>
            <w:vAlign w:val="bottom"/>
          </w:tcPr>
          <w:p>
            <w:pPr>
              <w:spacing w:after="0"/>
              <w:rPr>
                <w:sz w:val="17"/>
                <w:szCs w:val="17"/>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7"/>
              </w:rPr>
              <w:t>shares acquired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Value realized</w:t>
            </w:r>
          </w:p>
        </w:tc>
      </w:tr>
      <w:tr>
        <w:trPr>
          <w:trHeight w:val="222"/>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on exercise (#)</w:t>
            </w:r>
          </w:p>
        </w:tc>
        <w:tc>
          <w:tcPr>
            <w:tcW w:w="12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8"/>
              </w:rPr>
              <w:t>on vesting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on vesting (1)($)</w:t>
            </w:r>
          </w:p>
        </w:tc>
        <w:tc>
          <w:tcPr>
            <w:tcW w:w="100" w:type="dxa"/>
            <w:vAlign w:val="bottom"/>
          </w:tcPr>
          <w:p>
            <w:pPr>
              <w:spacing w:after="0"/>
              <w:rPr>
                <w:sz w:val="19"/>
                <w:szCs w:val="19"/>
                <w:color w:val="auto"/>
              </w:rPr>
            </w:pPr>
          </w:p>
        </w:tc>
      </w:tr>
      <w:tr>
        <w:trPr>
          <w:trHeight w:val="195"/>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H. Spilman, Jr.</w:t>
            </w:r>
          </w:p>
        </w:tc>
        <w:tc>
          <w:tcPr>
            <w:tcW w:w="13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18,150</w:t>
            </w:r>
          </w:p>
        </w:tc>
      </w:tr>
      <w:tr>
        <w:trPr>
          <w:trHeight w:val="202"/>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Bruce R. Cohenour</w:t>
            </w:r>
          </w:p>
        </w:tc>
        <w:tc>
          <w:tcPr>
            <w:tcW w:w="13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800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14,520</w:t>
            </w:r>
          </w:p>
        </w:tc>
      </w:tr>
      <w:tr>
        <w:trPr>
          <w:trHeight w:val="202"/>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 Baker</w:t>
            </w:r>
          </w:p>
        </w:tc>
        <w:tc>
          <w:tcPr>
            <w:tcW w:w="13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14,520</w:t>
            </w:r>
          </w:p>
        </w:tc>
      </w:tr>
      <w:tr>
        <w:trPr>
          <w:trHeight w:val="202"/>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 Michael Daniel</w:t>
            </w:r>
          </w:p>
        </w:tc>
        <w:tc>
          <w:tcPr>
            <w:tcW w:w="13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800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14,520</w:t>
            </w:r>
          </w:p>
        </w:tc>
      </w:tr>
      <w:tr>
        <w:trPr>
          <w:trHeight w:val="202"/>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E. Bassett, III</w:t>
            </w:r>
          </w:p>
        </w:tc>
        <w:tc>
          <w:tcPr>
            <w:tcW w:w="13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12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79" w:lineRule="exact"/>
        <w:rPr>
          <w:sz w:val="20"/>
          <w:szCs w:val="20"/>
          <w:color w:val="auto"/>
        </w:rPr>
      </w:pPr>
    </w:p>
    <w:p>
      <w:pPr>
        <w:ind w:left="300" w:right="120" w:hanging="299"/>
        <w:spacing w:after="0" w:line="27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is calculated by multiplying the number of shares acquired on exercise or vesting by the market price of our common stock (less the exercise price in the case of options) on the date of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Retirement Plan</w:t>
      </w:r>
    </w:p>
    <w:p>
      <w:pPr>
        <w:spacing w:after="0" w:line="212" w:lineRule="exact"/>
        <w:rPr>
          <w:sz w:val="20"/>
          <w:szCs w:val="20"/>
          <w:color w:val="auto"/>
        </w:rPr>
      </w:pPr>
    </w:p>
    <w:p>
      <w:pPr>
        <w:ind w:right="80" w:firstLine="454"/>
        <w:spacing w:after="0" w:line="267" w:lineRule="auto"/>
        <w:rPr>
          <w:sz w:val="20"/>
          <w:szCs w:val="20"/>
          <w:color w:val="auto"/>
        </w:rPr>
      </w:pPr>
      <w:r>
        <w:rPr>
          <w:rFonts w:ascii="Times New Roman" w:cs="Times New Roman" w:eastAsia="Times New Roman" w:hAnsi="Times New Roman"/>
          <w:sz w:val="16"/>
          <w:szCs w:val="16"/>
          <w:color w:val="auto"/>
        </w:rPr>
        <w:t>The Supplemental Retirement Plan covers one current and certain former senior executives and was designed to promote long service as well as provide an additional retirement benefit. Upon retirement, the Supplemental Retirement Plan provides for lifetime monthly payments in an amount equal to 65% of the participant’s final average compensation as defined in the Supplemental Retirement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Retirement Plan for a disability benefit if a participant’s employment is terminated prior to age 65 due to disability; however, the participant, notwithstanding the termination of employment, will continue to be covered by the Supplemental Retirement Plan. The death benefit is divided into (a) prior-to-retirement death, which pays the beneficiary 50% of final average annual compensation for a period of 120 months, and (b) post-retirement death, which pays the beneficiary 200% of final 12 months’ compensation in a single payment. There are no benefits payable as a result of a termination of employment for any reason other than death or retirement, except there is a change of control provision which provides for the immediate vesting and payment of the retirement benefit under the Supplemental Retirement Plan in the event of an employment termination resulting from a change of control. The executive officer covered under this Supplemental Retirement Plan has waived participation in the Company’s group life insurance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Cash Awards</w:t>
      </w:r>
    </w:p>
    <w:p>
      <w:pPr>
        <w:spacing w:after="0" w:line="212" w:lineRule="exact"/>
        <w:rPr>
          <w:sz w:val="20"/>
          <w:szCs w:val="20"/>
          <w:color w:val="auto"/>
        </w:rPr>
      </w:pPr>
    </w:p>
    <w:p>
      <w:pPr>
        <w:ind w:firstLine="454"/>
        <w:spacing w:after="0" w:line="274" w:lineRule="auto"/>
        <w:rPr>
          <w:sz w:val="20"/>
          <w:szCs w:val="20"/>
          <w:color w:val="auto"/>
        </w:rPr>
      </w:pPr>
      <w:r>
        <w:rPr>
          <w:rFonts w:ascii="Times New Roman" w:cs="Times New Roman" w:eastAsia="Times New Roman" w:hAnsi="Times New Roman"/>
          <w:sz w:val="16"/>
          <w:szCs w:val="16"/>
          <w:color w:val="auto"/>
        </w:rPr>
        <w:t>In fiscal 2017, Messrs. Bassett, Baker, Cohenour and Daniel each received an LTC Award in the amount of $400,000 under the Management Savings Plan.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5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Deferred Compensation Agreements</w:t>
      </w:r>
    </w:p>
    <w:p>
      <w:pPr>
        <w:spacing w:after="0" w:line="212" w:lineRule="exact"/>
        <w:rPr>
          <w:sz w:val="20"/>
          <w:szCs w:val="20"/>
          <w:color w:val="auto"/>
        </w:rPr>
      </w:pPr>
    </w:p>
    <w:p>
      <w:pPr>
        <w:ind w:right="440" w:firstLine="454"/>
        <w:spacing w:after="0" w:line="274" w:lineRule="auto"/>
        <w:rPr>
          <w:sz w:val="20"/>
          <w:szCs w:val="20"/>
          <w:color w:val="auto"/>
        </w:rPr>
      </w:pPr>
      <w:r>
        <w:rPr>
          <w:rFonts w:ascii="Times New Roman" w:cs="Times New Roman" w:eastAsia="Times New Roman" w:hAnsi="Times New Roman"/>
          <w:sz w:val="17"/>
          <w:szCs w:val="17"/>
          <w:color w:val="auto"/>
        </w:rPr>
        <w:t>Mr. Spilman has entered into a Deferred Compensation Agreement with the Company pursuant to the Executive Deferred Compensation Plan. Under that agreement, Mr. Spilman deferred a portion of his compensation over the four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year period from 1985 to 1989.</w:t>
      </w:r>
    </w:p>
    <w:p>
      <w:pPr>
        <w:spacing w:after="0" w:line="159" w:lineRule="exact"/>
        <w:rPr>
          <w:sz w:val="20"/>
          <w:szCs w:val="20"/>
          <w:color w:val="auto"/>
        </w:rPr>
      </w:pPr>
    </w:p>
    <w:p>
      <w:pPr>
        <w:ind w:right="260" w:firstLine="454"/>
        <w:spacing w:after="0" w:line="261" w:lineRule="auto"/>
        <w:rPr>
          <w:sz w:val="20"/>
          <w:szCs w:val="20"/>
          <w:color w:val="auto"/>
        </w:rPr>
      </w:pPr>
      <w:r>
        <w:rPr>
          <w:rFonts w:ascii="Times New Roman" w:cs="Times New Roman" w:eastAsia="Times New Roman" w:hAnsi="Times New Roman"/>
          <w:sz w:val="17"/>
          <w:szCs w:val="17"/>
          <w:color w:val="auto"/>
        </w:rPr>
        <w:t>In addition, on May 1, 2017, our Board of Directors, upon the recommendation of the Organization, Compensation and Nominating Committee, adopted the Management Savings Plan. The Management Savings Plan is an unfunded, nonqualified deferred compensation plan maintained for the benefit of certain highly compensated or management level employees.</w:t>
      </w:r>
    </w:p>
    <w:p>
      <w:pPr>
        <w:spacing w:after="0" w:line="169" w:lineRule="exact"/>
        <w:rPr>
          <w:sz w:val="20"/>
          <w:szCs w:val="20"/>
          <w:color w:val="auto"/>
        </w:rPr>
      </w:pPr>
    </w:p>
    <w:p>
      <w:pPr>
        <w:ind w:firstLine="454"/>
        <w:spacing w:after="0" w:line="249" w:lineRule="auto"/>
        <w:rPr>
          <w:sz w:val="20"/>
          <w:szCs w:val="20"/>
          <w:color w:val="auto"/>
        </w:rPr>
      </w:pPr>
      <w:r>
        <w:rPr>
          <w:rFonts w:ascii="Times New Roman" w:cs="Times New Roman" w:eastAsia="Times New Roman" w:hAnsi="Times New Roman"/>
          <w:sz w:val="17"/>
          <w:szCs w:val="17"/>
          <w:color w:val="auto"/>
        </w:rPr>
        <w:t>The Management Savings Plan is an account-based plan under which (i) participants may defer voluntarily the payment of current compensation to future years (“participant deferrals”) and (ii) the Company may make annual awards to participants payable in future years (“Company contributions”). The Management Savings Plan permits each participant to defer up to 75% of base salary and up to 100% of any cash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Management Savings Plan. No “above market” crediting rates are offered under the Management Savings Plan. Each participant’s account will be adjusted to reflect gains and losses based on the performance of the selected investment alternatives. A participant may receive distributions from the Management Savings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of Employment or Change in Control</w:t>
      </w:r>
    </w:p>
    <w:p>
      <w:pPr>
        <w:spacing w:after="0" w:line="212" w:lineRule="exact"/>
        <w:rPr>
          <w:sz w:val="20"/>
          <w:szCs w:val="20"/>
          <w:color w:val="auto"/>
        </w:rPr>
      </w:pPr>
    </w:p>
    <w:p>
      <w:pPr>
        <w:ind w:right="40" w:firstLine="454"/>
        <w:spacing w:after="0" w:line="285" w:lineRule="auto"/>
        <w:rPr>
          <w:sz w:val="20"/>
          <w:szCs w:val="20"/>
          <w:color w:val="auto"/>
        </w:rPr>
      </w:pPr>
      <w:r>
        <w:rPr>
          <w:rFonts w:ascii="Times New Roman" w:cs="Times New Roman" w:eastAsia="Times New Roman" w:hAnsi="Times New Roman"/>
          <w:sz w:val="16"/>
          <w:szCs w:val="16"/>
          <w:color w:val="auto"/>
        </w:rPr>
        <w:t>In January 2009, the Board of Directors adopted the Severance Program. All executive officers and other management employees participate in the Severance Program. Also, the Company entered into Employment Continuity Agreements with Messrs. Spilman and Bassett in January 2009, with Messrs. Cohenour and Daniel in January 2014 and with Mr. Baker in January 2016. The Severance Program and the Employment Continuity Agreements are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Severance Program</w:t>
      </w:r>
    </w:p>
    <w:p>
      <w:pPr>
        <w:spacing w:after="0" w:line="212" w:lineRule="exact"/>
        <w:rPr>
          <w:sz w:val="20"/>
          <w:szCs w:val="20"/>
          <w:color w:val="auto"/>
        </w:rPr>
      </w:pPr>
    </w:p>
    <w:p>
      <w:pPr>
        <w:ind w:right="180" w:firstLine="454"/>
        <w:spacing w:after="0" w:line="274" w:lineRule="auto"/>
        <w:rPr>
          <w:sz w:val="20"/>
          <w:szCs w:val="20"/>
          <w:color w:val="auto"/>
        </w:rPr>
      </w:pPr>
      <w:r>
        <w:rPr>
          <w:rFonts w:ascii="Times New Roman" w:cs="Times New Roman" w:eastAsia="Times New Roman" w:hAnsi="Times New Roman"/>
          <w:sz w:val="17"/>
          <w:szCs w:val="17"/>
          <w:color w:val="auto"/>
        </w:rPr>
        <w:t>Under the terms of the Severance Program, in the event that the participant’s employment is terminated by the Company for reasons other than “cause” or the participant’s death or disability, the participant will be entitled to receive:</w:t>
      </w:r>
    </w:p>
    <w:p>
      <w:pPr>
        <w:spacing w:after="0" w:line="159" w:lineRule="exact"/>
        <w:rPr>
          <w:sz w:val="20"/>
          <w:szCs w:val="20"/>
          <w:color w:val="auto"/>
        </w:rPr>
      </w:pPr>
    </w:p>
    <w:p>
      <w:pPr>
        <w:ind w:left="460" w:right="240" w:hanging="459"/>
        <w:spacing w:after="0" w:line="261"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monthly cash payment equal to (A) the product of (i) the participant’s base salary, (ii) a severance multiplier and (iii) the participant’s years of service (less any other cash severance or pay in lieu of notice under any other severance program, including the Employment Continuity Agreements, or applicable law) divided by (B) the number of months in the participant’s severance period;</w:t>
      </w:r>
    </w:p>
    <w:p>
      <w:pPr>
        <w:spacing w:after="0" w:line="169" w:lineRule="exact"/>
        <w:rPr>
          <w:rFonts w:ascii="Times New Roman" w:cs="Times New Roman" w:eastAsia="Times New Roman" w:hAnsi="Times New Roman"/>
          <w:sz w:val="17"/>
          <w:szCs w:val="17"/>
          <w:color w:val="auto"/>
        </w:rPr>
      </w:pPr>
    </w:p>
    <w:p>
      <w:pPr>
        <w:ind w:left="460" w:right="560" w:hanging="459"/>
        <w:spacing w:after="0" w:line="274"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is an executive officer, a lump sum cash payment equal to the participant’s average annual performance bonus for the three fiscal years preceding the date of termination;</w:t>
      </w:r>
    </w:p>
    <w:p>
      <w:pPr>
        <w:spacing w:after="0" w:line="158" w:lineRule="exact"/>
        <w:rPr>
          <w:rFonts w:ascii="Times New Roman" w:cs="Times New Roman" w:eastAsia="Times New Roman" w:hAnsi="Times New Roman"/>
          <w:sz w:val="17"/>
          <w:szCs w:val="17"/>
          <w:color w:val="auto"/>
        </w:rPr>
      </w:pPr>
    </w:p>
    <w:p>
      <w:pPr>
        <w:ind w:left="460" w:right="180" w:hanging="459"/>
        <w:spacing w:after="0" w:line="274"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is an executive officer, the prorated portion of the participant’s actual annual performance bonus for the fiscal year in which the participant’s employment is terminated, payable in cash concurrently with the payment to other participants in the Company’s annual bonus plan;</w:t>
      </w:r>
    </w:p>
    <w:p>
      <w:pPr>
        <w:spacing w:after="0" w:line="158"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health insurance coverage for the duration of the severance period; and</w:t>
      </w:r>
    </w:p>
    <w:p>
      <w:pPr>
        <w:spacing w:after="0" w:line="207"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outplacement services for the period and up to the limits specified in the program.</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22" w:name="page23"/>
    <w:bookmarkEnd w:id="22"/>
    <w:p>
      <w:pPr>
        <w:ind w:right="160" w:firstLine="454"/>
        <w:spacing w:after="0" w:line="261" w:lineRule="auto"/>
        <w:rPr>
          <w:sz w:val="20"/>
          <w:szCs w:val="20"/>
          <w:color w:val="auto"/>
        </w:rPr>
      </w:pPr>
      <w:r>
        <w:rPr>
          <w:rFonts w:ascii="Times New Roman" w:cs="Times New Roman" w:eastAsia="Times New Roman" w:hAnsi="Times New Roman"/>
          <w:sz w:val="17"/>
          <w:szCs w:val="17"/>
          <w:color w:val="auto"/>
        </w:rPr>
        <w:t xml:space="preserve">The term “cause” means (i) the willful and repeated failure of the executive to perform substantially his or her duties (other than failure resulting from incapacity due to physical or mental illness), (ii) conviction of,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which is materially and demonstrably injurious to the Company, or (iii) the willful engagement in gross misconduct in violation of Company policy.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participant’s total cash severance benefits may not exceed the maximum payout specified in the program for such participant.</w:t>
      </w:r>
    </w:p>
    <w:p>
      <w:pPr>
        <w:spacing w:after="0" w:line="208" w:lineRule="exact"/>
        <w:rPr>
          <w:sz w:val="20"/>
          <w:szCs w:val="20"/>
          <w:color w:val="auto"/>
        </w:rPr>
      </w:pPr>
    </w:p>
    <w:p>
      <w:pPr>
        <w:ind w:right="720" w:firstLine="454"/>
        <w:spacing w:after="0" w:line="274" w:lineRule="auto"/>
        <w:rPr>
          <w:sz w:val="20"/>
          <w:szCs w:val="20"/>
          <w:color w:val="auto"/>
        </w:rPr>
      </w:pPr>
      <w:r>
        <w:rPr>
          <w:rFonts w:ascii="Times New Roman" w:cs="Times New Roman" w:eastAsia="Times New Roman" w:hAnsi="Times New Roman"/>
          <w:sz w:val="17"/>
          <w:szCs w:val="17"/>
          <w:color w:val="auto"/>
        </w:rPr>
        <w:t>The following chart sets out the severance multiplier, maximum payout, severance period and outplacement period and cost limit for each category of participants: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Outplacement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period and</w:t>
            </w:r>
          </w:p>
        </w:tc>
        <w:tc>
          <w:tcPr>
            <w:tcW w:w="0" w:type="dxa"/>
            <w:vAlign w:val="bottom"/>
          </w:tcPr>
          <w:p>
            <w:pPr>
              <w:spacing w:after="0"/>
              <w:rPr>
                <w:sz w:val="1"/>
                <w:szCs w:val="1"/>
                <w:color w:val="auto"/>
              </w:rPr>
            </w:pPr>
          </w:p>
        </w:tc>
      </w:tr>
      <w:tr>
        <w:trPr>
          <w:trHeight w:val="22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Job classification</w:t>
            </w:r>
          </w:p>
        </w:tc>
        <w:tc>
          <w:tcPr>
            <w:tcW w:w="240" w:type="dxa"/>
            <w:vAlign w:val="bottom"/>
          </w:tcPr>
          <w:p>
            <w:pPr>
              <w:spacing w:after="0"/>
              <w:rPr>
                <w:sz w:val="19"/>
                <w:szCs w:val="19"/>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Multiplier</w:t>
            </w:r>
          </w:p>
        </w:tc>
        <w:tc>
          <w:tcPr>
            <w:tcW w:w="240" w:type="dxa"/>
            <w:vAlign w:val="bottom"/>
          </w:tcPr>
          <w:p>
            <w:pPr>
              <w:spacing w:after="0"/>
              <w:rPr>
                <w:sz w:val="19"/>
                <w:szCs w:val="19"/>
                <w:color w:val="auto"/>
              </w:rPr>
            </w:pPr>
          </w:p>
        </w:tc>
        <w:tc>
          <w:tcPr>
            <w:tcW w:w="3380" w:type="dxa"/>
            <w:vAlign w:val="bottom"/>
          </w:tcPr>
          <w:p>
            <w:pPr>
              <w:ind w:left="1040"/>
              <w:spacing w:after="0"/>
              <w:rPr>
                <w:sz w:val="20"/>
                <w:szCs w:val="20"/>
                <w:color w:val="auto"/>
              </w:rPr>
            </w:pPr>
            <w:r>
              <w:rPr>
                <w:rFonts w:ascii="Times New Roman" w:cs="Times New Roman" w:eastAsia="Times New Roman" w:hAnsi="Times New Roman"/>
                <w:sz w:val="17"/>
                <w:szCs w:val="17"/>
                <w:b w:val="1"/>
                <w:bCs w:val="1"/>
                <w:color w:val="auto"/>
              </w:rPr>
              <w:t>Maximum payout</w:t>
            </w:r>
          </w:p>
        </w:tc>
        <w:tc>
          <w:tcPr>
            <w:tcW w:w="220" w:type="dxa"/>
            <w:vAlign w:val="bottom"/>
          </w:tcPr>
          <w:p>
            <w:pPr>
              <w:spacing w:after="0"/>
              <w:rPr>
                <w:sz w:val="19"/>
                <w:szCs w:val="19"/>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Severance period</w:t>
            </w:r>
          </w:p>
        </w:tc>
        <w:tc>
          <w:tcPr>
            <w:tcW w:w="220" w:type="dxa"/>
            <w:vAlign w:val="bottom"/>
          </w:tcPr>
          <w:p>
            <w:pPr>
              <w:spacing w:after="0"/>
              <w:rPr>
                <w:sz w:val="19"/>
                <w:szCs w:val="19"/>
                <w:color w:val="auto"/>
              </w:rPr>
            </w:pP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cost limit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President/CEO</w:t>
            </w:r>
          </w:p>
        </w:tc>
        <w:tc>
          <w:tcPr>
            <w:tcW w:w="136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.25</w:t>
            </w:r>
          </w:p>
        </w:tc>
        <w:tc>
          <w:tcPr>
            <w:tcW w:w="3620" w:type="dxa"/>
            <w:vAlign w:val="bottom"/>
            <w:gridSpan w:val="2"/>
            <w:shd w:val="clear" w:color="auto" w:fill="CCEEFF"/>
          </w:tcPr>
          <w:p>
            <w:pPr>
              <w:ind w:left="240"/>
              <w:spacing w:after="0" w:line="185" w:lineRule="exact"/>
              <w:rPr>
                <w:sz w:val="20"/>
                <w:szCs w:val="20"/>
                <w:color w:val="auto"/>
              </w:rPr>
            </w:pPr>
            <w:r>
              <w:rPr>
                <w:rFonts w:ascii="Times New Roman" w:cs="Times New Roman" w:eastAsia="Times New Roman" w:hAnsi="Times New Roman"/>
                <w:sz w:val="17"/>
                <w:szCs w:val="17"/>
                <w:color w:val="auto"/>
              </w:rPr>
              <w:t>2 times Base Salary + Average Bonus + Prorated</w:t>
            </w:r>
          </w:p>
        </w:tc>
        <w:tc>
          <w:tcPr>
            <w:tcW w:w="190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18 months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Bonus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Senior Vice President</w:t>
            </w:r>
          </w:p>
        </w:tc>
        <w:tc>
          <w:tcPr>
            <w:tcW w:w="136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.125</w:t>
            </w:r>
          </w:p>
        </w:tc>
        <w:tc>
          <w:tcPr>
            <w:tcW w:w="3620" w:type="dxa"/>
            <w:vAlign w:val="bottom"/>
            <w:gridSpan w:val="2"/>
            <w:shd w:val="clear" w:color="auto" w:fill="CCEEFF"/>
          </w:tcPr>
          <w:p>
            <w:pPr>
              <w:ind w:left="240"/>
              <w:spacing w:after="0" w:line="185" w:lineRule="exact"/>
              <w:rPr>
                <w:sz w:val="20"/>
                <w:szCs w:val="20"/>
                <w:color w:val="auto"/>
              </w:rPr>
            </w:pPr>
            <w:r>
              <w:rPr>
                <w:rFonts w:ascii="Times New Roman" w:cs="Times New Roman" w:eastAsia="Times New Roman" w:hAnsi="Times New Roman"/>
                <w:sz w:val="17"/>
                <w:szCs w:val="17"/>
                <w:color w:val="auto"/>
              </w:rPr>
              <w:t>1 times Base Salary + Average Bonus + Prorated</w:t>
            </w:r>
          </w:p>
        </w:tc>
        <w:tc>
          <w:tcPr>
            <w:tcW w:w="190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12 months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Bonus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Other Executive Officers</w:t>
            </w:r>
          </w:p>
        </w:tc>
        <w:tc>
          <w:tcPr>
            <w:tcW w:w="1360" w:type="dxa"/>
            <w:vAlign w:val="bottom"/>
            <w:gridSpan w:val="2"/>
            <w:shd w:val="clear" w:color="auto" w:fill="CCEEFF"/>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3"/>
              </w:rPr>
              <w:t>.125</w:t>
            </w:r>
          </w:p>
        </w:tc>
        <w:tc>
          <w:tcPr>
            <w:tcW w:w="3620" w:type="dxa"/>
            <w:vAlign w:val="bottom"/>
            <w:gridSpan w:val="2"/>
            <w:shd w:val="clear" w:color="auto" w:fill="CCEEFF"/>
          </w:tcPr>
          <w:p>
            <w:pPr>
              <w:ind w:left="240"/>
              <w:spacing w:after="0" w:line="185" w:lineRule="exact"/>
              <w:rPr>
                <w:sz w:val="20"/>
                <w:szCs w:val="20"/>
                <w:color w:val="auto"/>
              </w:rPr>
            </w:pPr>
            <w:r>
              <w:rPr>
                <w:rFonts w:ascii="Times New Roman" w:cs="Times New Roman" w:eastAsia="Times New Roman" w:hAnsi="Times New Roman"/>
                <w:sz w:val="17"/>
                <w:szCs w:val="17"/>
                <w:color w:val="auto"/>
              </w:rPr>
              <w:t>.75 times Base Salary + Average Bonus +</w:t>
            </w:r>
          </w:p>
        </w:tc>
        <w:tc>
          <w:tcPr>
            <w:tcW w:w="1900" w:type="dxa"/>
            <w:vAlign w:val="bottom"/>
            <w:gridSpan w:val="2"/>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9 months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Prorated Bonus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Non-Executive Officers</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9"/>
              </w:rPr>
              <w:t>.0833</w:t>
            </w: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.50 times Base Salary</w:t>
            </w:r>
          </w:p>
        </w:tc>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 months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None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Management Employees</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9"/>
              </w:rPr>
              <w:t>.0833</w:t>
            </w: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.25 times Base Salary</w:t>
            </w:r>
          </w:p>
        </w:tc>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 months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None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participant’s entitlement to benefits under the Severance Program ceases upon the participant’s employment by a competitor.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Continuity Agreements</w:t>
      </w:r>
    </w:p>
    <w:p>
      <w:pPr>
        <w:spacing w:after="0" w:line="212" w:lineRule="exact"/>
        <w:rPr>
          <w:sz w:val="20"/>
          <w:szCs w:val="20"/>
          <w:color w:val="auto"/>
        </w:rPr>
      </w:pPr>
    </w:p>
    <w:p>
      <w:pPr>
        <w:ind w:right="80" w:firstLine="454"/>
        <w:spacing w:after="0" w:line="261" w:lineRule="auto"/>
        <w:rPr>
          <w:sz w:val="20"/>
          <w:szCs w:val="20"/>
          <w:color w:val="auto"/>
        </w:rPr>
      </w:pPr>
      <w:r>
        <w:rPr>
          <w:rFonts w:ascii="Times New Roman" w:cs="Times New Roman" w:eastAsia="Times New Roman" w:hAnsi="Times New Roman"/>
          <w:sz w:val="17"/>
          <w:szCs w:val="17"/>
          <w:color w:val="auto"/>
        </w:rPr>
        <w:t>Under the terms of the Employment Continuity Agreements, in the event that a “change in control” has occurred and the executive’s employment is terminated by the Company before the second anniversary thereof for reasons other than “cause,” death or disability or by the participant for “good reason” within the 90 day period following the “change in control,” the participant will be entitled to receive:</w:t>
      </w:r>
    </w:p>
    <w:p>
      <w:pPr>
        <w:spacing w:after="0" w:line="169" w:lineRule="exact"/>
        <w:rPr>
          <w:sz w:val="20"/>
          <w:szCs w:val="20"/>
          <w:color w:val="auto"/>
        </w:rPr>
      </w:pPr>
    </w:p>
    <w:p>
      <w:pPr>
        <w:ind w:left="900" w:right="180" w:hanging="445"/>
        <w:spacing w:after="0" w:line="274"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the product of the executive’s “required base salary” and a change in control severance multiplier (which is equal to two for the President and Chief Executive Officer and one for the other executives);</w:t>
      </w:r>
    </w:p>
    <w:p>
      <w:pPr>
        <w:spacing w:after="0" w:line="158" w:lineRule="exact"/>
        <w:rPr>
          <w:rFonts w:ascii="Times New Roman" w:cs="Times New Roman" w:eastAsia="Times New Roman" w:hAnsi="Times New Roman"/>
          <w:sz w:val="17"/>
          <w:szCs w:val="17"/>
          <w:color w:val="auto"/>
        </w:rPr>
      </w:pPr>
    </w:p>
    <w:p>
      <w:pPr>
        <w:ind w:left="900" w:right="560" w:hanging="445"/>
        <w:spacing w:after="0" w:line="274"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the executive’s most recently established target annual performance bonus plus the executive’s average annual performance bonus for the three fiscal years preceding the date of termination;</w:t>
      </w:r>
    </w:p>
    <w:p>
      <w:pPr>
        <w:spacing w:after="0" w:line="158" w:lineRule="exact"/>
        <w:rPr>
          <w:rFonts w:ascii="Times New Roman" w:cs="Times New Roman" w:eastAsia="Times New Roman" w:hAnsi="Times New Roman"/>
          <w:sz w:val="17"/>
          <w:szCs w:val="17"/>
          <w:color w:val="auto"/>
        </w:rPr>
      </w:pPr>
    </w:p>
    <w:p>
      <w:pPr>
        <w:ind w:left="900" w:right="200" w:hanging="445"/>
        <w:spacing w:after="0" w:line="274"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health insurance coverage for the duration of the severance period (which is 18 months for the President and Chief Executive Officer and 12 months for the other executives);</w:t>
      </w:r>
    </w:p>
    <w:p>
      <w:pPr>
        <w:spacing w:after="0" w:line="158" w:lineRule="exact"/>
        <w:rPr>
          <w:rFonts w:ascii="Times New Roman" w:cs="Times New Roman" w:eastAsia="Times New Roman" w:hAnsi="Times New Roman"/>
          <w:sz w:val="17"/>
          <w:szCs w:val="17"/>
          <w:color w:val="auto"/>
        </w:rPr>
      </w:pPr>
    </w:p>
    <w:p>
      <w:pPr>
        <w:ind w:left="900" w:right="460" w:hanging="445"/>
        <w:spacing w:after="0" w:line="274"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the present value of continued life insurance and long-term disability coverage for the duration of the severance period; and</w:t>
      </w:r>
    </w:p>
    <w:p>
      <w:pPr>
        <w:spacing w:after="0" w:line="158" w:lineRule="exact"/>
        <w:rPr>
          <w:rFonts w:ascii="Times New Roman" w:cs="Times New Roman" w:eastAsia="Times New Roman" w:hAnsi="Times New Roman"/>
          <w:sz w:val="17"/>
          <w:szCs w:val="17"/>
          <w:color w:val="auto"/>
        </w:rPr>
      </w:pPr>
    </w:p>
    <w:p>
      <w:pPr>
        <w:ind w:left="900" w:right="120" w:hanging="445"/>
        <w:spacing w:after="0" w:line="274"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outplacement services (for a period of six months and three months for the President and Chief Executive Officer and the other executives, respectively, with a cost limit of $15,000 and $7,500 for the President and Chief Executive Officer and the other executives,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3" w:name="page24"/>
    <w:bookmarkEnd w:id="23"/>
    <w:p>
      <w:pPr>
        <w:ind w:firstLine="454"/>
        <w:spacing w:after="0" w:line="249" w:lineRule="auto"/>
        <w:rPr>
          <w:sz w:val="20"/>
          <w:szCs w:val="20"/>
          <w:color w:val="auto"/>
        </w:rPr>
      </w:pPr>
      <w:r>
        <w:rPr>
          <w:rFonts w:ascii="Times New Roman" w:cs="Times New Roman" w:eastAsia="Times New Roman" w:hAnsi="Times New Roman"/>
          <w:sz w:val="17"/>
          <w:szCs w:val="17"/>
          <w:color w:val="auto"/>
        </w:rPr>
        <w:t>The term “change in control” is defined for purposes of the Employment Continuity Agreements the same as it is under the Company’s Employee Stock Plan. Under the Employee Stock Plan, a “change in control” includes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 (iii) stockholder approval of a reorganization, merger or consolidation in which the then-current stockholders cease to own at least 75% of the then outstanding shares of common stock, (iv) stockholder approval of a complete liquidation or dissolution of the Company and (v) the sale or other disposition of all or substantially all of the assets of the Company. An executive’s “required base salary” means the higher of (i) his base salary in effect immediately prior to the change in control and (ii) his highest base salary at any point in time after the change in control. The term “good reason” means (i) a material reduction in the executive’s base salary below the required base salary, (ii) a material diminution in the executive’s authority, duties or responsibilities, (iii) a material diminution in the authority, duties or responsibilities of the supervisor to whom the executive is required to report, including a requirement that the executive report to a corporate officer or other employee if the executive reported to the Board of Directors prior to the change in control; (iv) a material diminution in the budget over which the executive retains authority; or (v) a change at the request of the employer in the executive’s principal work location of more than 50 miles; in each case provided the executive gives notice to the employer of the existence of such condition within 30 days of its initial existence and the employer has not remedied the condition within 30 days of such notice. The term “cause” has the same meaning as under the Severance Program.</w:t>
      </w:r>
    </w:p>
    <w:p>
      <w:pPr>
        <w:spacing w:after="0" w:line="188" w:lineRule="exact"/>
        <w:rPr>
          <w:sz w:val="20"/>
          <w:szCs w:val="20"/>
          <w:color w:val="auto"/>
        </w:rPr>
      </w:pPr>
    </w:p>
    <w:p>
      <w:pPr>
        <w:ind w:right="120" w:firstLine="454"/>
        <w:spacing w:after="0" w:line="254" w:lineRule="auto"/>
        <w:rPr>
          <w:sz w:val="20"/>
          <w:szCs w:val="20"/>
          <w:color w:val="auto"/>
        </w:rPr>
      </w:pPr>
      <w:r>
        <w:rPr>
          <w:rFonts w:ascii="Times New Roman" w:cs="Times New Roman" w:eastAsia="Times New Roman" w:hAnsi="Times New Roman"/>
          <w:sz w:val="17"/>
          <w:szCs w:val="17"/>
          <w:color w:val="auto"/>
        </w:rPr>
        <w:t>The Employment Continuity Agreements may be amended or terminated by the Board of Directors at any time; provided that the agreements cannot be terminated or amended after the occurrence of a change in control, and provided further that the agreements cannot be terminated or amended in a manner that would adversely affect the rights of participants after the Board of Directors has knowledge of a potential change in control unless and until the Board of Directors has determined that such potential change in control will not be consummated and the Board of Directors does not have knowledge of any other potential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12" w:lineRule="exact"/>
        <w:rPr>
          <w:sz w:val="20"/>
          <w:szCs w:val="20"/>
          <w:color w:val="auto"/>
        </w:rPr>
      </w:pPr>
    </w:p>
    <w:p>
      <w:pPr>
        <w:ind w:right="20" w:firstLine="454"/>
        <w:spacing w:after="0" w:line="254" w:lineRule="auto"/>
        <w:rPr>
          <w:sz w:val="20"/>
          <w:szCs w:val="20"/>
          <w:color w:val="auto"/>
        </w:rPr>
      </w:pPr>
      <w:r>
        <w:rPr>
          <w:rFonts w:ascii="Times New Roman" w:cs="Times New Roman" w:eastAsia="Times New Roman" w:hAnsi="Times New Roman"/>
          <w:sz w:val="17"/>
          <w:szCs w:val="17"/>
          <w:color w:val="auto"/>
        </w:rPr>
        <w:t>Each of the Severance Program and the Employment Continuity Agreements provides for severance benefits to be paid in a manner intended to comply with, or be exempt from, Section 409A of the Internal Revenue Code, including delaying certain benefits for a period of six months following termination if necessary. In addition, severance benefits are subject to reduction to avoid any excise tax on excess “parachute payments” under Section 280G of the Internal Revenue Code. All employees who accept benefits under the Severance Program or the Employment Continuity Agreements will be required to sign a release of claims and will be subject to certain covenants, including a one-year non-solicitation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Potential Payments Table</w:t>
      </w:r>
    </w:p>
    <w:p>
      <w:pPr>
        <w:spacing w:after="0" w:line="212" w:lineRule="exact"/>
        <w:rPr>
          <w:sz w:val="20"/>
          <w:szCs w:val="20"/>
          <w:color w:val="auto"/>
        </w:rPr>
      </w:pPr>
    </w:p>
    <w:p>
      <w:pPr>
        <w:ind w:right="20" w:firstLine="454"/>
        <w:spacing w:after="0" w:line="254" w:lineRule="auto"/>
        <w:rPr>
          <w:sz w:val="20"/>
          <w:szCs w:val="20"/>
          <w:color w:val="auto"/>
        </w:rPr>
      </w:pPr>
      <w:r>
        <w:rPr>
          <w:rFonts w:ascii="Times New Roman" w:cs="Times New Roman" w:eastAsia="Times New Roman" w:hAnsi="Times New Roman"/>
          <w:sz w:val="17"/>
          <w:szCs w:val="17"/>
          <w:color w:val="auto"/>
        </w:rPr>
        <w:t>The table below shows the estimated amount of payments and benefits that the Company would provide to the named executive officers under the Severance Program assuming that their employment was terminated as of November 25, 2023 for reasons other than cause, death or disability. The table also shows the estimated amount of payments and benefits that the Company would provide those named executive officers who have entered into Employment Continuity Agreements assuming that their employment was terminated as of November 25, 2023 by the Company without cause or by the executives with good reason, in each case within the period specified in the agreements following a change in 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Lump</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Continuation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Accelerated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Accelerated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sum</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of health</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Outplacement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vesting of</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vesting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continuation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cash</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insurance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services cost</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restricted</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xml:space="preserve">payment </w:t>
            </w: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 xml:space="preserve">coverage </w:t>
            </w: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limit ($)</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 xml:space="preserve">options </w:t>
            </w: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stock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 xml:space="preserve">benefits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4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3"/>
                <w:szCs w:val="13"/>
                <w:color w:val="auto"/>
              </w:rPr>
              <w:t>Robert H. Spilman, Jr.</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970,000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277,083</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18,282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1,280,365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following a change in control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1,415,547</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18,282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83,150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Bruce R. Cohenour</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393,000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142,917</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549,550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following a change in control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620,476</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66,520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700,629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David C. Baker</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247,000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110,833</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12,188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377,521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following a change in control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425,669</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12,188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66,520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511,877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Michael Daniel</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285,000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134,167</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12,573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439,240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following a change in control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502,412</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12,573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66,520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589,005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John E. Bassett III</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285,000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134,167</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12,573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439,240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Termination following a change in control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502,412</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12,573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66,520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589,005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right="80" w:hanging="299"/>
        <w:spacing w:after="0" w:line="274"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amounts shown in the table, Mr. Spilman’s retirement benefit under the Supplemental Retirement Plan would be accelerated upon a termination following a change in control, resulting in the payment of an estimated annual benefit of $298,892 commencing upon such termination.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2" w:lineRule="exact"/>
        <w:rPr>
          <w:sz w:val="20"/>
          <w:szCs w:val="20"/>
          <w:color w:val="auto"/>
        </w:rPr>
      </w:pPr>
    </w:p>
    <w:p>
      <w:pPr>
        <w:ind w:right="800" w:firstLine="454"/>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as of November 25, 2023 with respect to shares of common stock that may be issued under existing equity compensation plans. All equity compensation plans currently in place have been approved by the stockholders.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 of securities</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remaining available for</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future issuance under</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Number of securities</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Weighted average</w:t>
            </w:r>
          </w:p>
        </w:tc>
        <w:tc>
          <w:tcPr>
            <w:tcW w:w="24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equity compensation</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 be issued upon</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exercise price of</w:t>
            </w:r>
          </w:p>
        </w:tc>
        <w:tc>
          <w:tcPr>
            <w:tcW w:w="24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plans (excluding</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24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securities reflected in</w:t>
            </w:r>
          </w:p>
        </w:tc>
      </w:tr>
      <w:tr>
        <w:trPr>
          <w:trHeight w:val="22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outstanding options</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24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column (a))</w:t>
            </w: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Stockholders</w:t>
            </w:r>
          </w:p>
        </w:tc>
        <w:tc>
          <w:tcPr>
            <w:tcW w:w="12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w w:val="93"/>
              </w:rPr>
              <w:t>0</w:t>
            </w:r>
          </w:p>
        </w:tc>
        <w:tc>
          <w:tcPr>
            <w:tcW w:w="22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ind w:left="39"/>
              <w:spacing w:after="0" w:line="194" w:lineRule="exact"/>
              <w:rPr>
                <w:sz w:val="20"/>
                <w:szCs w:val="20"/>
                <w:color w:val="auto"/>
              </w:rPr>
            </w:pPr>
            <w:r>
              <w:rPr>
                <w:rFonts w:ascii="Times New Roman" w:cs="Times New Roman" w:eastAsia="Times New Roman" w:hAnsi="Times New Roman"/>
                <w:sz w:val="14"/>
                <w:szCs w:val="14"/>
                <w:color w:val="auto"/>
              </w:rPr>
              <w:t>438,078</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Equity Compensation Plans Not Approved by Stockholders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Pr>
          <w:p>
            <w:pPr>
              <w:spacing w:after="0"/>
              <w:rPr>
                <w:sz w:val="17"/>
                <w:szCs w:val="17"/>
                <w:color w:val="auto"/>
              </w:rPr>
            </w:pPr>
          </w:p>
        </w:tc>
        <w:tc>
          <w:tcPr>
            <w:tcW w:w="180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7"/>
                <w:szCs w:val="17"/>
                <w:color w:val="auto"/>
                <w:w w:val="95"/>
              </w:rPr>
              <w:t>N/A</w:t>
            </w:r>
          </w:p>
        </w:tc>
        <w:tc>
          <w:tcPr>
            <w:tcW w:w="240" w:type="dxa"/>
            <w:vAlign w:val="bottom"/>
          </w:tcPr>
          <w:p>
            <w:pPr>
              <w:spacing w:after="0"/>
              <w:rPr>
                <w:sz w:val="17"/>
                <w:szCs w:val="17"/>
                <w:color w:val="auto"/>
              </w:rPr>
            </w:pPr>
          </w:p>
        </w:tc>
        <w:tc>
          <w:tcPr>
            <w:tcW w:w="17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center"/>
              <w:ind w:left="36"/>
              <w:spacing w:after="0" w:line="194" w:lineRule="exact"/>
              <w:rPr>
                <w:sz w:val="20"/>
                <w:szCs w:val="20"/>
                <w:color w:val="auto"/>
              </w:rPr>
            </w:pPr>
            <w:r>
              <w:rPr>
                <w:rFonts w:ascii="Times New Roman" w:cs="Times New Roman" w:eastAsia="Times New Roman" w:hAnsi="Times New Roman"/>
                <w:sz w:val="17"/>
                <w:szCs w:val="17"/>
                <w:color w:val="auto"/>
                <w:w w:val="93"/>
              </w:rPr>
              <w:t>0</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716"/>
              <w:spacing w:after="0" w:line="194" w:lineRule="exact"/>
              <w:rPr>
                <w:sz w:val="20"/>
                <w:szCs w:val="20"/>
                <w:color w:val="auto"/>
              </w:rPr>
            </w:pPr>
            <w:r>
              <w:rPr>
                <w:rFonts w:ascii="Times New Roman" w:cs="Times New Roman" w:eastAsia="Times New Roman" w:hAnsi="Times New Roman"/>
                <w:sz w:val="17"/>
                <w:szCs w:val="17"/>
                <w:color w:val="auto"/>
              </w:rPr>
              <w:t>0</w:t>
            </w: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center"/>
              <w:ind w:left="39"/>
              <w:spacing w:after="0" w:line="194" w:lineRule="exact"/>
              <w:rPr>
                <w:sz w:val="20"/>
                <w:szCs w:val="20"/>
                <w:color w:val="auto"/>
              </w:rPr>
            </w:pPr>
            <w:r>
              <w:rPr>
                <w:rFonts w:ascii="Times New Roman" w:cs="Times New Roman" w:eastAsia="Times New Roman" w:hAnsi="Times New Roman"/>
                <w:sz w:val="14"/>
                <w:szCs w:val="14"/>
                <w:color w:val="auto"/>
              </w:rPr>
              <w:t>438,078</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5" w:lineRule="exact"/>
        <w:rPr>
          <w:sz w:val="20"/>
          <w:szCs w:val="20"/>
          <w:color w:val="auto"/>
        </w:rPr>
      </w:pPr>
    </w:p>
    <w:p>
      <w:pPr>
        <w:jc w:val="both"/>
        <w:ind w:left="300" w:right="200" w:hanging="299"/>
        <w:spacing w:after="0" w:line="209" w:lineRule="auto"/>
        <w:tabs>
          <w:tab w:leader="none" w:pos="3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shares remaining available for issuance under the 2017 Employee Stock Purchase Plan and the 2021 Stock Incentive Plan. Consists of shares available under the 2017 Employee Stock Purchase Plan including 74,395 shares available to be purchased in the then current period and 363,683 shares available in the 2021 Stock Incentive Plan.</w:t>
      </w:r>
    </w:p>
    <w:p>
      <w:pPr>
        <w:ind w:left="300" w:hanging="299"/>
        <w:spacing w:after="0" w:line="183"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are no equity compensation plans in place not approved by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212" w:lineRule="exact"/>
        <w:rPr>
          <w:sz w:val="20"/>
          <w:szCs w:val="20"/>
          <w:color w:val="auto"/>
        </w:rPr>
      </w:pPr>
    </w:p>
    <w:p>
      <w:pPr>
        <w:ind w:firstLine="605"/>
        <w:spacing w:after="0" w:line="256" w:lineRule="auto"/>
        <w:rPr>
          <w:sz w:val="20"/>
          <w:szCs w:val="20"/>
          <w:color w:val="auto"/>
        </w:rPr>
      </w:pPr>
      <w:r>
        <w:rPr>
          <w:rFonts w:ascii="Times New Roman" w:cs="Times New Roman" w:eastAsia="Times New Roman" w:hAnsi="Times New Roman"/>
          <w:sz w:val="17"/>
          <w:szCs w:val="17"/>
          <w:color w:val="auto"/>
        </w:rPr>
        <w:t>For fiscal 2023, the median annual total compensation of all our employees (other than our CEO) was $39,167 and the annual total compensation for the CEO was $533,750. The ratio of our CEO’s annual total compensation to the median annual compensation of all other employees was estimated to be 14:1. We believe this ratio is a reasonable estimate calculated in a manner consistent with Item 402(u) of Regulation S-K, promulgated by the Dodd-Frank Wall Street Reform Act and Consumer Protection Act of 2010.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identify the median compensated employee, we used the following methodology and assumptions:</w:t>
      </w:r>
    </w:p>
    <w:p>
      <w:pPr>
        <w:spacing w:after="0" w:line="208" w:lineRule="exact"/>
        <w:rPr>
          <w:sz w:val="20"/>
          <w:szCs w:val="20"/>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collected all the compensation data for fiscal year 2023 of all our employees globally who were employed on November 25, 2023.</w:t>
      </w:r>
    </w:p>
    <w:p>
      <w:pPr>
        <w:spacing w:after="0" w:line="233"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annualized compensation for employees who were terminated or hired between November 26, 2022 and November 25, 2023. The compensation in non-U.S. currencies was converted to U.S. dollars using exchange rates as of November 25, 2023.</w:t>
      </w:r>
    </w:p>
    <w:p>
      <w:pPr>
        <w:spacing w:after="0" w:line="158" w:lineRule="exact"/>
        <w:rPr>
          <w:rFonts w:ascii="Times New Roman" w:cs="Times New Roman" w:eastAsia="Times New Roman" w:hAnsi="Times New Roman"/>
          <w:sz w:val="17"/>
          <w:szCs w:val="17"/>
          <w:color w:val="auto"/>
        </w:rPr>
      </w:pPr>
    </w:p>
    <w:p>
      <w:pPr>
        <w:ind w:left="600" w:right="180" w:hanging="297"/>
        <w:spacing w:after="0" w:line="274"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used the following pay elements to determine total annual compensation for the median: base salary (including overtime, vacation and holiday pay) and bonuses.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shows the past two fiscal years’ total compensation for our named executive officers as set forth in the Summary Compensation Table, the “compensation actually paid” to our named executive officers (as determined under SEC rules), our total shareholder return (TSR), and our net income.</w:t>
      </w:r>
    </w:p>
    <w:p>
      <w:pPr>
        <w:spacing w:after="0" w:line="159"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November 25, 2023 or, if earlier, the vesting date (rather than the grant date) and factor in dividends and interest accrued with respect to such awards. For purposes of the disclosure below, no pension valuation adjustments were required.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Value of Initial</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Fixed $100</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8"/>
              </w:rPr>
              <w:t>Investment</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7"/>
              </w:rPr>
              <w:t>Based on</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60" w:type="dxa"/>
            <w:vAlign w:val="bottom"/>
            <w:gridSpan w:val="2"/>
          </w:tcPr>
          <w:p>
            <w:pPr>
              <w:jc w:val="center"/>
              <w:ind w:left="1256"/>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240" w:type="dxa"/>
            <w:vAlign w:val="bottom"/>
          </w:tcPr>
          <w:p>
            <w:pPr>
              <w:spacing w:after="0"/>
              <w:rPr>
                <w:sz w:val="17"/>
                <w:szCs w:val="17"/>
                <w:color w:val="auto"/>
              </w:rPr>
            </w:pPr>
          </w:p>
        </w:tc>
        <w:tc>
          <w:tcPr>
            <w:tcW w:w="100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8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 Shareholder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1"/>
              </w:rPr>
              <w:t>for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80" w:type="dxa"/>
            <w:vAlign w:val="bottom"/>
          </w:tcPr>
          <w:p>
            <w:pPr>
              <w:spacing w:after="0"/>
              <w:rPr>
                <w:sz w:val="17"/>
                <w:szCs w:val="17"/>
                <w:color w:val="auto"/>
              </w:rPr>
            </w:pPr>
          </w:p>
        </w:tc>
        <w:tc>
          <w:tcPr>
            <w:tcW w:w="1860" w:type="dxa"/>
            <w:vAlign w:val="bottom"/>
            <w:gridSpan w:val="3"/>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8"/>
              </w:rPr>
              <w:t>Return (“TSR”)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5"/>
              </w:rPr>
              <w:t>Total for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Non-PEO</w:t>
            </w:r>
          </w:p>
        </w:tc>
        <w:tc>
          <w:tcPr>
            <w:tcW w:w="240" w:type="dxa"/>
            <w:vAlign w:val="bottom"/>
          </w:tcPr>
          <w:p>
            <w:pPr>
              <w:spacing w:after="0"/>
              <w:rPr>
                <w:sz w:val="17"/>
                <w:szCs w:val="17"/>
                <w:color w:val="auto"/>
              </w:rPr>
            </w:pPr>
          </w:p>
        </w:tc>
        <w:tc>
          <w:tcPr>
            <w:tcW w:w="10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Actually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Principal</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8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rPr>
              <w:t>Named</w:t>
            </w:r>
          </w:p>
        </w:tc>
        <w:tc>
          <w:tcPr>
            <w:tcW w:w="240" w:type="dxa"/>
            <w:vAlign w:val="bottom"/>
          </w:tcPr>
          <w:p>
            <w:pPr>
              <w:spacing w:after="0"/>
              <w:rPr>
                <w:sz w:val="17"/>
                <w:szCs w:val="17"/>
                <w:color w:val="auto"/>
              </w:rPr>
            </w:pPr>
          </w:p>
        </w:tc>
        <w:tc>
          <w:tcPr>
            <w:tcW w:w="100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7"/>
              </w:rPr>
              <w:t>Paid to</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260" w:type="dxa"/>
            <w:vAlign w:val="bottom"/>
          </w:tcPr>
          <w:p>
            <w:pPr>
              <w:spacing w:after="0"/>
              <w:rPr>
                <w:sz w:val="17"/>
                <w:szCs w:val="17"/>
                <w:color w:val="auto"/>
              </w:rPr>
            </w:pPr>
          </w:p>
        </w:tc>
        <w:tc>
          <w:tcPr>
            <w:tcW w:w="98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7"/>
              </w:rPr>
              <w:t>Actually</w:t>
            </w:r>
          </w:p>
        </w:tc>
        <w:tc>
          <w:tcPr>
            <w:tcW w:w="18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240" w:type="dxa"/>
            <w:vAlign w:val="bottom"/>
          </w:tcPr>
          <w:p>
            <w:pPr>
              <w:spacing w:after="0"/>
              <w:rPr>
                <w:sz w:val="17"/>
                <w:szCs w:val="17"/>
                <w:color w:val="auto"/>
              </w:rPr>
            </w:pPr>
          </w:p>
        </w:tc>
        <w:tc>
          <w:tcPr>
            <w:tcW w:w="10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rPr>
              <w:t>Non-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Peer</w:t>
            </w:r>
          </w:p>
        </w:tc>
        <w:tc>
          <w:tcPr>
            <w:tcW w:w="3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6"/>
              </w:rPr>
              <w:t>Officer</w:t>
            </w:r>
          </w:p>
        </w:tc>
        <w:tc>
          <w:tcPr>
            <w:tcW w:w="260" w:type="dxa"/>
            <w:vAlign w:val="bottom"/>
          </w:tcPr>
          <w:p>
            <w:pPr>
              <w:spacing w:after="0"/>
              <w:rPr>
                <w:sz w:val="17"/>
                <w:szCs w:val="17"/>
                <w:color w:val="auto"/>
              </w:rPr>
            </w:pPr>
          </w:p>
        </w:tc>
        <w:tc>
          <w:tcPr>
            <w:tcW w:w="98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rPr>
              <w:t>Paid to</w:t>
            </w:r>
          </w:p>
        </w:tc>
        <w:tc>
          <w:tcPr>
            <w:tcW w:w="18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9"/>
              </w:rPr>
              <w:t>Officers</w:t>
            </w:r>
          </w:p>
        </w:tc>
        <w:tc>
          <w:tcPr>
            <w:tcW w:w="240" w:type="dxa"/>
            <w:vAlign w:val="bottom"/>
          </w:tcPr>
          <w:p>
            <w:pPr>
              <w:spacing w:after="0"/>
              <w:rPr>
                <w:sz w:val="17"/>
                <w:szCs w:val="17"/>
                <w:color w:val="auto"/>
              </w:rPr>
            </w:pPr>
          </w:p>
        </w:tc>
        <w:tc>
          <w:tcPr>
            <w:tcW w:w="100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7"/>
              </w:rPr>
              <w:t>PEO</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Group</w:t>
            </w:r>
          </w:p>
        </w:tc>
        <w:tc>
          <w:tcPr>
            <w:tcW w:w="3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(Loss)</w:t>
            </w:r>
          </w:p>
        </w:tc>
        <w:tc>
          <w:tcPr>
            <w:tcW w:w="0" w:type="dxa"/>
            <w:vAlign w:val="bottom"/>
          </w:tcPr>
          <w:p>
            <w:pPr>
              <w:spacing w:after="0"/>
              <w:rPr>
                <w:sz w:val="1"/>
                <w:szCs w:val="1"/>
                <w:color w:val="auto"/>
              </w:rPr>
            </w:pPr>
          </w:p>
        </w:tc>
      </w:tr>
      <w:tr>
        <w:trPr>
          <w:trHeight w:val="222"/>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540" w:type="dxa"/>
            <w:vAlign w:val="bottom"/>
          </w:tcPr>
          <w:p>
            <w:pPr>
              <w:spacing w:after="0"/>
              <w:rPr>
                <w:sz w:val="19"/>
                <w:szCs w:val="19"/>
                <w:color w:val="auto"/>
              </w:rPr>
            </w:pPr>
          </w:p>
        </w:tc>
        <w:tc>
          <w:tcPr>
            <w:tcW w:w="1020" w:type="dxa"/>
            <w:vAlign w:val="bottom"/>
          </w:tcPr>
          <w:p>
            <w:pPr>
              <w:jc w:val="center"/>
              <w:ind w:right="117"/>
              <w:spacing w:after="0" w:line="222"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PEO</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5"/>
                <w:szCs w:val="25"/>
                <w:b w:val="1"/>
                <w:bCs w:val="1"/>
                <w:color w:val="auto"/>
                <w:vertAlign w:val="superscript"/>
              </w:rPr>
              <w:t>(1)</w:t>
            </w:r>
          </w:p>
        </w:tc>
        <w:tc>
          <w:tcPr>
            <w:tcW w:w="260" w:type="dxa"/>
            <w:vAlign w:val="bottom"/>
          </w:tcPr>
          <w:p>
            <w:pPr>
              <w:spacing w:after="0"/>
              <w:rPr>
                <w:sz w:val="19"/>
                <w:szCs w:val="19"/>
                <w:color w:val="auto"/>
              </w:rPr>
            </w:pPr>
          </w:p>
        </w:tc>
        <w:tc>
          <w:tcPr>
            <w:tcW w:w="980" w:type="dxa"/>
            <w:vAlign w:val="bottom"/>
          </w:tcPr>
          <w:p>
            <w:pPr>
              <w:jc w:val="center"/>
              <w:ind w:right="177"/>
              <w:spacing w:after="0" w:line="222" w:lineRule="exact"/>
              <w:rPr>
                <w:sz w:val="20"/>
                <w:szCs w:val="20"/>
                <w:color w:val="auto"/>
              </w:rPr>
            </w:pPr>
            <w:r>
              <w:rPr>
                <w:rFonts w:ascii="Times New Roman" w:cs="Times New Roman" w:eastAsia="Times New Roman" w:hAnsi="Times New Roman"/>
                <w:sz w:val="15"/>
                <w:szCs w:val="15"/>
                <w:b w:val="1"/>
                <w:bCs w:val="1"/>
                <w:color w:val="auto"/>
              </w:rPr>
              <w:t>PEO</w:t>
            </w:r>
            <w:r>
              <w:rPr>
                <w:rFonts w:ascii="Times New Roman" w:cs="Times New Roman" w:eastAsia="Times New Roman" w:hAnsi="Times New Roman"/>
                <w:sz w:val="25"/>
                <w:szCs w:val="25"/>
                <w:b w:val="1"/>
                <w:bCs w:val="1"/>
                <w:color w:val="auto"/>
                <w:vertAlign w:val="superscript"/>
              </w:rPr>
              <w:t>(3)</w:t>
            </w:r>
          </w:p>
        </w:tc>
        <w:tc>
          <w:tcPr>
            <w:tcW w:w="180" w:type="dxa"/>
            <w:vAlign w:val="bottom"/>
          </w:tcPr>
          <w:p>
            <w:pPr>
              <w:spacing w:after="0"/>
              <w:rPr>
                <w:sz w:val="19"/>
                <w:szCs w:val="19"/>
                <w:color w:val="auto"/>
              </w:rPr>
            </w:pPr>
          </w:p>
        </w:tc>
        <w:tc>
          <w:tcPr>
            <w:tcW w:w="1060" w:type="dxa"/>
            <w:vAlign w:val="bottom"/>
          </w:tcPr>
          <w:p>
            <w:pPr>
              <w:jc w:val="center"/>
              <w:ind w:right="97"/>
              <w:spacing w:after="0" w:line="222"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5"/>
                <w:szCs w:val="25"/>
                <w:b w:val="1"/>
                <w:bCs w:val="1"/>
                <w:color w:val="auto"/>
                <w:vertAlign w:val="superscript"/>
              </w:rPr>
              <w:t>(2)</w:t>
            </w:r>
          </w:p>
        </w:tc>
        <w:tc>
          <w:tcPr>
            <w:tcW w:w="240" w:type="dxa"/>
            <w:vAlign w:val="bottom"/>
          </w:tcPr>
          <w:p>
            <w:pPr>
              <w:spacing w:after="0"/>
              <w:rPr>
                <w:sz w:val="19"/>
                <w:szCs w:val="19"/>
                <w:color w:val="auto"/>
              </w:rPr>
            </w:pPr>
          </w:p>
        </w:tc>
        <w:tc>
          <w:tcPr>
            <w:tcW w:w="1000" w:type="dxa"/>
            <w:vAlign w:val="bottom"/>
          </w:tcPr>
          <w:p>
            <w:pPr>
              <w:jc w:val="center"/>
              <w:ind w:right="157"/>
              <w:spacing w:after="0" w:line="222" w:lineRule="exact"/>
              <w:rPr>
                <w:sz w:val="20"/>
                <w:szCs w:val="20"/>
                <w:color w:val="auto"/>
              </w:rPr>
            </w:pP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25"/>
                <w:szCs w:val="25"/>
                <w:b w:val="1"/>
                <w:bCs w:val="1"/>
                <w:color w:val="auto"/>
                <w:vertAlign w:val="superscript"/>
              </w:rPr>
              <w:t>(3)</w:t>
            </w:r>
          </w:p>
        </w:tc>
        <w:tc>
          <w:tcPr>
            <w:tcW w:w="180" w:type="dxa"/>
            <w:vAlign w:val="bottom"/>
          </w:tcPr>
          <w:p>
            <w:pPr>
              <w:spacing w:after="0"/>
              <w:rPr>
                <w:sz w:val="19"/>
                <w:szCs w:val="19"/>
                <w:color w:val="auto"/>
              </w:rPr>
            </w:pPr>
          </w:p>
        </w:tc>
        <w:tc>
          <w:tcPr>
            <w:tcW w:w="1000" w:type="dxa"/>
            <w:vAlign w:val="bottom"/>
            <w:gridSpan w:val="2"/>
          </w:tcPr>
          <w:p>
            <w:pPr>
              <w:jc w:val="center"/>
              <w:ind w:right="300"/>
              <w:spacing w:after="0" w:line="222" w:lineRule="exact"/>
              <w:rPr>
                <w:sz w:val="20"/>
                <w:szCs w:val="20"/>
                <w:color w:val="auto"/>
              </w:rPr>
            </w:pPr>
            <w:r>
              <w:rPr>
                <w:rFonts w:ascii="Times New Roman" w:cs="Times New Roman" w:eastAsia="Times New Roman" w:hAnsi="Times New Roman"/>
                <w:sz w:val="15"/>
                <w:szCs w:val="15"/>
                <w:b w:val="1"/>
                <w:bCs w:val="1"/>
                <w:color w:val="auto"/>
              </w:rPr>
              <w:t>TSR</w:t>
            </w:r>
            <w:r>
              <w:rPr>
                <w:rFonts w:ascii="Times New Roman" w:cs="Times New Roman" w:eastAsia="Times New Roman" w:hAnsi="Times New Roman"/>
                <w:sz w:val="25"/>
                <w:szCs w:val="25"/>
                <w:b w:val="1"/>
                <w:bCs w:val="1"/>
                <w:color w:val="auto"/>
                <w:vertAlign w:val="superscript"/>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TSR</w:t>
            </w:r>
          </w:p>
        </w:tc>
        <w:tc>
          <w:tcPr>
            <w:tcW w:w="32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3"/>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2023</w:t>
            </w:r>
          </w:p>
        </w:tc>
        <w:tc>
          <w:tcPr>
            <w:tcW w:w="1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
              <w:spacing w:after="0" w:line="194" w:lineRule="exact"/>
              <w:rPr>
                <w:sz w:val="20"/>
                <w:szCs w:val="20"/>
                <w:color w:val="auto"/>
              </w:rPr>
            </w:pPr>
            <w:r>
              <w:rPr>
                <w:rFonts w:ascii="Times New Roman" w:cs="Times New Roman" w:eastAsia="Times New Roman" w:hAnsi="Times New Roman"/>
                <w:sz w:val="17"/>
                <w:szCs w:val="17"/>
                <w:color w:val="auto"/>
              </w:rPr>
              <w:t>533,750</w:t>
            </w:r>
          </w:p>
        </w:tc>
        <w:tc>
          <w:tcPr>
            <w:tcW w:w="2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line="194" w:lineRule="exact"/>
              <w:rPr>
                <w:sz w:val="20"/>
                <w:szCs w:val="20"/>
                <w:color w:val="auto"/>
              </w:rPr>
            </w:pPr>
            <w:r>
              <w:rPr>
                <w:rFonts w:ascii="Times New Roman" w:cs="Times New Roman" w:eastAsia="Times New Roman" w:hAnsi="Times New Roman"/>
                <w:sz w:val="17"/>
                <w:szCs w:val="17"/>
                <w:color w:val="auto"/>
              </w:rPr>
              <w:t>527,480</w:t>
            </w:r>
          </w:p>
        </w:tc>
        <w:tc>
          <w:tcPr>
            <w:tcW w:w="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line="194" w:lineRule="exact"/>
              <w:rPr>
                <w:sz w:val="20"/>
                <w:szCs w:val="20"/>
                <w:color w:val="auto"/>
              </w:rPr>
            </w:pPr>
            <w:r>
              <w:rPr>
                <w:rFonts w:ascii="Times New Roman" w:cs="Times New Roman" w:eastAsia="Times New Roman" w:hAnsi="Times New Roman"/>
                <w:sz w:val="17"/>
                <w:szCs w:val="17"/>
                <w:color w:val="auto"/>
              </w:rPr>
              <w:t>361,144</w:t>
            </w:r>
          </w:p>
        </w:tc>
        <w:tc>
          <w:tcPr>
            <w:tcW w:w="2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7"/>
              <w:spacing w:after="0" w:line="194" w:lineRule="exact"/>
              <w:rPr>
                <w:sz w:val="20"/>
                <w:szCs w:val="20"/>
                <w:color w:val="auto"/>
              </w:rPr>
            </w:pPr>
            <w:r>
              <w:rPr>
                <w:rFonts w:ascii="Times New Roman" w:cs="Times New Roman" w:eastAsia="Times New Roman" w:hAnsi="Times New Roman"/>
                <w:sz w:val="17"/>
                <w:szCs w:val="17"/>
                <w:color w:val="auto"/>
              </w:rPr>
              <w:t>356,128</w:t>
            </w:r>
          </w:p>
        </w:tc>
        <w:tc>
          <w:tcPr>
            <w:tcW w:w="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rPr>
              <w:t>73</w:t>
            </w:r>
          </w:p>
        </w:tc>
        <w:tc>
          <w:tcPr>
            <w:tcW w:w="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(3,171)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956,060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964,460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554,268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560,983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124</w:t>
            </w: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70</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65,345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40" w:hanging="239"/>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summary compensation table totals for Mr. Spilman for fiscal years 2023 and 2022.</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24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average summary compensation table totals of our non-CEO NEOs, which includes for 2023 and 2022 Messrs. Cohenour, Daniel, Bassett and Baker.</w:t>
      </w:r>
    </w:p>
    <w:p>
      <w:pPr>
        <w:spacing w:after="0" w:line="158" w:lineRule="exact"/>
        <w:rPr>
          <w:rFonts w:ascii="Times New Roman" w:cs="Times New Roman" w:eastAsia="Times New Roman" w:hAnsi="Times New Roman"/>
          <w:sz w:val="17"/>
          <w:szCs w:val="17"/>
          <w:color w:val="auto"/>
        </w:rPr>
      </w:pPr>
    </w:p>
    <w:p>
      <w:pPr>
        <w:ind w:right="200" w:firstLine="1"/>
        <w:spacing w:after="0" w:line="274" w:lineRule="auto"/>
        <w:tabs>
          <w:tab w:leader="none" w:pos="23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rules require certain adjustments be made for Summary Compensation Table totals to determine compensation “actually paid” as reported in the Pay versus Performance table. The following tables detail these adjustments.</w:t>
      </w:r>
    </w:p>
    <w:p>
      <w:pPr>
        <w:spacing w:after="0" w:line="158" w:lineRule="exact"/>
        <w:rPr>
          <w:rFonts w:ascii="Times New Roman" w:cs="Times New Roman" w:eastAsia="Times New Roman" w:hAnsi="Times New Roman"/>
          <w:sz w:val="17"/>
          <w:szCs w:val="17"/>
          <w:color w:val="auto"/>
        </w:rPr>
      </w:pPr>
    </w:p>
    <w:p>
      <w:pPr>
        <w:ind w:right="120" w:firstLine="1"/>
        <w:spacing w:after="0" w:line="261" w:lineRule="auto"/>
        <w:tabs>
          <w:tab w:leader="none" w:pos="23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(TSR) is determined based on the value of an initial fixed investment of $100. The peer group TSR represents cumulative, weighted TSR of the same peer group that is reviewed in our compensation setting process, as described in our Compensation Discussion and Analysis on page 11 of this proxy statement.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Deduct</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Reported</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Add Equity</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jc w:val="right"/>
              <w:ind w:right="976"/>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92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Executives</w:t>
            </w:r>
          </w:p>
        </w:tc>
        <w:tc>
          <w:tcPr>
            <w:tcW w:w="10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700" w:type="dxa"/>
            <w:vAlign w:val="bottom"/>
            <w:gridSpan w:val="2"/>
          </w:tcPr>
          <w:p>
            <w:pPr>
              <w:jc w:val="center"/>
              <w:ind w:right="260"/>
              <w:spacing w:after="0" w:line="222" w:lineRule="exact"/>
              <w:rPr>
                <w:sz w:val="20"/>
                <w:szCs w:val="20"/>
                <w:color w:val="auto"/>
              </w:rPr>
            </w:pPr>
            <w:r>
              <w:rPr>
                <w:rFonts w:ascii="Times New Roman" w:cs="Times New Roman" w:eastAsia="Times New Roman" w:hAnsi="Times New Roman"/>
                <w:sz w:val="15"/>
                <w:szCs w:val="15"/>
                <w:b w:val="1"/>
                <w:bCs w:val="1"/>
                <w:color w:val="auto"/>
              </w:rPr>
              <w:t>Equity Awards</w:t>
            </w:r>
            <w:r>
              <w:rPr>
                <w:rFonts w:ascii="Times New Roman" w:cs="Times New Roman" w:eastAsia="Times New Roman" w:hAnsi="Times New Roman"/>
                <w:sz w:val="25"/>
                <w:szCs w:val="25"/>
                <w:b w:val="1"/>
                <w:bCs w:val="1"/>
                <w:color w:val="auto"/>
                <w:vertAlign w:val="superscript"/>
              </w:rPr>
              <w:t>(a)</w:t>
            </w:r>
          </w:p>
        </w:tc>
        <w:tc>
          <w:tcPr>
            <w:tcW w:w="1660" w:type="dxa"/>
            <w:vAlign w:val="bottom"/>
            <w:gridSpan w:val="2"/>
          </w:tcPr>
          <w:p>
            <w:pPr>
              <w:jc w:val="center"/>
              <w:ind w:right="220"/>
              <w:spacing w:after="0" w:line="222" w:lineRule="exact"/>
              <w:rPr>
                <w:sz w:val="20"/>
                <w:szCs w:val="20"/>
                <w:color w:val="auto"/>
              </w:rPr>
            </w:pPr>
            <w:r>
              <w:rPr>
                <w:rFonts w:ascii="Times New Roman" w:cs="Times New Roman" w:eastAsia="Times New Roman" w:hAnsi="Times New Roman"/>
                <w:sz w:val="15"/>
                <w:szCs w:val="15"/>
                <w:b w:val="1"/>
                <w:bCs w:val="1"/>
                <w:color w:val="auto"/>
              </w:rPr>
              <w:t>Adjustments</w:t>
            </w:r>
            <w:r>
              <w:rPr>
                <w:rFonts w:ascii="Times New Roman" w:cs="Times New Roman" w:eastAsia="Times New Roman" w:hAnsi="Times New Roman"/>
                <w:sz w:val="25"/>
                <w:szCs w:val="25"/>
                <w:b w:val="1"/>
                <w:bCs w:val="1"/>
                <w:color w:val="auto"/>
                <w:vertAlign w:val="superscript"/>
              </w:rPr>
              <w:t>(b)</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Actually Paid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jc w:val="right"/>
              <w:ind w:right="2056"/>
              <w:spacing w:after="0"/>
              <w:rPr>
                <w:sz w:val="20"/>
                <w:szCs w:val="20"/>
                <w:color w:val="auto"/>
              </w:rPr>
            </w:pPr>
            <w:r>
              <w:rPr>
                <w:rFonts w:ascii="Times New Roman" w:cs="Times New Roman" w:eastAsia="Times New Roman" w:hAnsi="Times New Roman"/>
                <w:sz w:val="17"/>
                <w:szCs w:val="17"/>
                <w:color w:val="auto"/>
                <w:w w:val="88"/>
              </w:rPr>
              <w:t>2023</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CEO</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533,750</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52,650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46,380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527,480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NEOs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1,444,576</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168,480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148,416</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jc w:val="right"/>
              <w:ind w:right="2056"/>
              <w:spacing w:after="0"/>
              <w:rPr>
                <w:sz w:val="20"/>
                <w:szCs w:val="20"/>
                <w:color w:val="auto"/>
              </w:rPr>
            </w:pPr>
            <w:r>
              <w:rPr>
                <w:rFonts w:ascii="Times New Roman" w:cs="Times New Roman" w:eastAsia="Times New Roman" w:hAnsi="Times New Roman"/>
                <w:sz w:val="17"/>
                <w:szCs w:val="17"/>
                <w:color w:val="auto"/>
                <w:w w:val="88"/>
              </w:rPr>
              <w:t>2022</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CEO</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956,060</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47,460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55,860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964,460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NEOs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2,217,051</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151,872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178,752</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2,243,931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right="180" w:hanging="299"/>
        <w:spacing w:after="0" w:line="274"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grant date fair value of equity awards as reported in the “Stock Awards” column of the Summary Compensation Table for each applicable year.</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year-end fair value of any equity awards granted in the applicable year that are outstanding and unvested as of the end of the year;</w:t>
      </w:r>
    </w:p>
    <w:p>
      <w:pPr>
        <w:spacing w:after="0" w:line="233" w:lineRule="exact"/>
        <w:rPr>
          <w:rFonts w:ascii="Times New Roman" w:cs="Times New Roman" w:eastAsia="Times New Roman" w:hAnsi="Times New Roman"/>
          <w:sz w:val="17"/>
          <w:szCs w:val="17"/>
          <w:color w:val="auto"/>
        </w:rPr>
      </w:pPr>
    </w:p>
    <w:p>
      <w:pPr>
        <w:ind w:left="900" w:right="80" w:hanging="294"/>
        <w:spacing w:after="0" w:line="274" w:lineRule="auto"/>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change in fair value as of the end of the applicable year (from the end of the prior fiscal year) of any awards granted in prior years that are outstanding and unvested as of the end of the applicable year;</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that are granted and vest in the same applicable year, the fair value as of the vesting date;</w:t>
      </w:r>
    </w:p>
    <w:p>
      <w:pPr>
        <w:spacing w:after="0" w:line="233" w:lineRule="exact"/>
        <w:rPr>
          <w:rFonts w:ascii="Times New Roman" w:cs="Times New Roman" w:eastAsia="Times New Roman" w:hAnsi="Times New Roman"/>
          <w:sz w:val="17"/>
          <w:szCs w:val="17"/>
          <w:color w:val="auto"/>
        </w:rPr>
      </w:pPr>
    </w:p>
    <w:p>
      <w:pPr>
        <w:ind w:left="900" w:right="180" w:hanging="294"/>
        <w:spacing w:after="0" w:line="274" w:lineRule="auto"/>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granted in prior years that vest in the applicable year, the amount equal to the change in fair value as of the vesting date (from the end of the prior fiscal year);</w:t>
      </w:r>
    </w:p>
    <w:p>
      <w:pPr>
        <w:spacing w:after="0" w:line="158" w:lineRule="exact"/>
        <w:rPr>
          <w:rFonts w:ascii="Times New Roman" w:cs="Times New Roman" w:eastAsia="Times New Roman" w:hAnsi="Times New Roman"/>
          <w:sz w:val="17"/>
          <w:szCs w:val="17"/>
          <w:color w:val="auto"/>
        </w:rPr>
      </w:pPr>
    </w:p>
    <w:p>
      <w:pPr>
        <w:ind w:left="900" w:right="440" w:hanging="294"/>
        <w:spacing w:after="0" w:line="274" w:lineRule="auto"/>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granted in prior years that are determined to fail to meet the applicable vesting conditions during the applicable year, a deduction for the amount equal to the fair value at the end of the prior fiscal year;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value of any dividends or other earnings paid on equity awards In the applicable year prior to the vesting date that are not otherwise reflected in the fair value of such award or included in any other component of total compensation for the applicable year.</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Unvested Awards</w:t>
            </w:r>
          </w:p>
        </w:tc>
        <w:tc>
          <w:tcPr>
            <w:tcW w:w="250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Vested Awards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Fair</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vesting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value as</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from</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vesting</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prior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Deduct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forfeited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during the</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prior</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and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(fair</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Value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that</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vested</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vested</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end</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or other</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unvested at</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 at</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the</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during</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prior</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award</w:t>
            </w:r>
          </w:p>
        </w:tc>
        <w:tc>
          <w:tcPr>
            <w:tcW w:w="0" w:type="dxa"/>
            <w:vAlign w:val="bottom"/>
          </w:tcPr>
          <w:p>
            <w:pPr>
              <w:spacing w:after="0"/>
              <w:rPr>
                <w:sz w:val="1"/>
                <w:szCs w:val="1"/>
                <w:color w:val="auto"/>
              </w:rPr>
            </w:pPr>
          </w:p>
        </w:tc>
      </w:tr>
      <w:tr>
        <w:trPr>
          <w:trHeight w:val="222"/>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paid</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6"/>
                <w:szCs w:val="16"/>
                <w:color w:val="auto"/>
              </w:rPr>
            </w:pPr>
          </w:p>
        </w:tc>
        <w:tc>
          <w:tcPr>
            <w:tcW w:w="10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6"/>
                <w:szCs w:val="16"/>
                <w:color w:val="auto"/>
              </w:rPr>
            </w:pPr>
          </w:p>
        </w:tc>
        <w:tc>
          <w:tcPr>
            <w:tcW w:w="10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6"/>
                <w:szCs w:val="16"/>
                <w:color w:val="auto"/>
              </w:rPr>
            </w:pPr>
          </w:p>
        </w:tc>
        <w:tc>
          <w:tcPr>
            <w:tcW w:w="10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6"/>
                <w:szCs w:val="16"/>
                <w:color w:val="auto"/>
              </w:rPr>
            </w:pPr>
          </w:p>
        </w:tc>
        <w:tc>
          <w:tcPr>
            <w:tcW w:w="10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CEO</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48,890</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(3,980)</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470</w:t>
            </w:r>
          </w:p>
        </w:tc>
        <w:tc>
          <w:tcPr>
            <w:tcW w:w="1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NEOs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159,648</w:t>
            </w:r>
          </w:p>
        </w:tc>
        <w:tc>
          <w:tcPr>
            <w:tcW w:w="2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(12,736)</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1,504</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148,416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CEO</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55,860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55,860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NEOs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178,752</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178,752</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Relationship of Pay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5668010" cy="6228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010" cy="622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Actually Paid (“CAP”)</w:t>
      </w:r>
    </w:p>
    <w:p>
      <w:pPr>
        <w:spacing w:after="0" w:line="20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775" w:right="1440" w:bottom="1440" w:gutter="0" w:footer="0" w:header="0"/>
        </w:sectPr>
      </w:pPr>
    </w:p>
    <w:bookmarkStart w:id="29" w:name="page30"/>
    <w:bookmarkEnd w:id="29"/>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0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REGISTERED PUBLIC ACCOUNTING FIRM</w:t>
      </w:r>
    </w:p>
    <w:p>
      <w:pPr>
        <w:spacing w:after="0" w:line="212" w:lineRule="exact"/>
        <w:rPr>
          <w:sz w:val="20"/>
          <w:szCs w:val="20"/>
          <w:color w:val="auto"/>
        </w:rPr>
      </w:pPr>
    </w:p>
    <w:p>
      <w:pPr>
        <w:jc w:val="both"/>
        <w:ind w:right="100" w:firstLine="454"/>
        <w:spacing w:after="0" w:line="256" w:lineRule="auto"/>
        <w:rPr>
          <w:sz w:val="20"/>
          <w:szCs w:val="20"/>
          <w:color w:val="auto"/>
        </w:rPr>
      </w:pPr>
      <w:r>
        <w:rPr>
          <w:rFonts w:ascii="Times New Roman" w:cs="Times New Roman" w:eastAsia="Times New Roman" w:hAnsi="Times New Roman"/>
          <w:sz w:val="17"/>
          <w:szCs w:val="17"/>
          <w:color w:val="auto"/>
        </w:rPr>
        <w:t>The Audit Committee has selected Ernst &amp; Young LLP as independent registered public accounting firm to audit the financial statements of the Company for the fiscal year ending November 30, 2024. This selection is being presented to the stockholders for their ratification at the Annual Meeting of Stockholders. The firm of Ernst &amp; Young LLP is considered well qualified. Representatives of Ernst &amp; Young LLP are expected to be present at the Annual Meeting of Stockholders with an opportunity to make a statement if they desire to do so and are expected to be available to respond to appropriate questions.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and Other Fees</w:t>
      </w:r>
    </w:p>
    <w:p>
      <w:pPr>
        <w:spacing w:after="0" w:line="208" w:lineRule="exact"/>
        <w:rPr>
          <w:sz w:val="20"/>
          <w:szCs w:val="20"/>
          <w:color w:val="auto"/>
        </w:rPr>
      </w:pPr>
    </w:p>
    <w:p>
      <w:pPr>
        <w:jc w:val="both"/>
        <w:ind w:right="220" w:firstLine="454"/>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Audit Fees. </w:t>
      </w:r>
      <w:r>
        <w:rPr>
          <w:rFonts w:ascii="Times New Roman" w:cs="Times New Roman" w:eastAsia="Times New Roman" w:hAnsi="Times New Roman"/>
          <w:sz w:val="17"/>
          <w:szCs w:val="17"/>
          <w:color w:val="auto"/>
        </w:rPr>
        <w:t>The aggregate fees billed by Ernst &amp; Young LLP for audit services (audit of the Company’s annual financial statements, audit of internal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the Company’s financial reporting, review of the Company’s quarterly financial statements included in its Forms 10-Q, and assistance with and review of SEC filings) for fiscal year 2023 and fiscal year 2022 were $915,000 and $1,008,000, respectively.</w:t>
      </w:r>
    </w:p>
    <w:p>
      <w:pPr>
        <w:spacing w:after="0" w:line="164" w:lineRule="exact"/>
        <w:rPr>
          <w:sz w:val="20"/>
          <w:szCs w:val="20"/>
          <w:color w:val="auto"/>
        </w:rPr>
      </w:pPr>
    </w:p>
    <w:p>
      <w:pPr>
        <w:ind w:right="120" w:firstLine="454"/>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Audit-Related Fees. </w:t>
      </w:r>
      <w:r>
        <w:rPr>
          <w:rFonts w:ascii="Times New Roman" w:cs="Times New Roman" w:eastAsia="Times New Roman" w:hAnsi="Times New Roman"/>
          <w:sz w:val="17"/>
          <w:szCs w:val="17"/>
          <w:color w:val="auto"/>
        </w:rPr>
        <w:t>There were no fees billed for audit-related services by Ernst &amp; Young LLP in fiscal year 2023 and fiscal year 2022 not otherwise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preceding paragraph.</w:t>
      </w:r>
    </w:p>
    <w:p>
      <w:pPr>
        <w:spacing w:after="0" w:line="151" w:lineRule="exact"/>
        <w:rPr>
          <w:sz w:val="20"/>
          <w:szCs w:val="20"/>
          <w:color w:val="auto"/>
        </w:rPr>
      </w:pPr>
    </w:p>
    <w:p>
      <w:pPr>
        <w:ind w:right="520" w:firstLine="454"/>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Tax Fees. </w:t>
      </w:r>
      <w:r>
        <w:rPr>
          <w:rFonts w:ascii="Times New Roman" w:cs="Times New Roman" w:eastAsia="Times New Roman" w:hAnsi="Times New Roman"/>
          <w:sz w:val="16"/>
          <w:szCs w:val="16"/>
          <w:color w:val="auto"/>
        </w:rPr>
        <w:t>The aggregate fees billed by Ernst &amp; Young LLP in fiscal year 2023 and fiscal year 2022 for tax-related services were $345,000 and $314,952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Tax compliance services accounted for $263,000 of the fees billed in fiscal year 2023 and $162,640 of the fees billed in fiscal year 2022.</w:t>
      </w:r>
    </w:p>
    <w:p>
      <w:pPr>
        <w:spacing w:after="0" w:line="127" w:lineRule="exact"/>
        <w:rPr>
          <w:sz w:val="20"/>
          <w:szCs w:val="20"/>
          <w:color w:val="auto"/>
        </w:rPr>
      </w:pPr>
    </w:p>
    <w:p>
      <w:pPr>
        <w:ind w:right="140" w:firstLine="454"/>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All Other Fees. </w:t>
      </w:r>
      <w:r>
        <w:rPr>
          <w:rFonts w:ascii="Times New Roman" w:cs="Times New Roman" w:eastAsia="Times New Roman" w:hAnsi="Times New Roman"/>
          <w:sz w:val="17"/>
          <w:szCs w:val="17"/>
          <w:color w:val="auto"/>
        </w:rPr>
        <w:t>In each of fiscal year 2023 and fiscal year 2022, the Company paid an additional $3,600 and $2,715, respectively, to Ernst &amp; Young LLP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subscription to its online accounting research tool. None of the services provided by Ernst &amp; Young LLP consisted of financial information systems design or implementation services.</w:t>
      </w:r>
    </w:p>
    <w:p>
      <w:pPr>
        <w:spacing w:after="0" w:line="168" w:lineRule="exact"/>
        <w:rPr>
          <w:sz w:val="20"/>
          <w:szCs w:val="20"/>
          <w:color w:val="auto"/>
        </w:rPr>
      </w:pPr>
    </w:p>
    <w:p>
      <w:pPr>
        <w:ind w:firstLine="454"/>
        <w:spacing w:after="0" w:line="254" w:lineRule="auto"/>
        <w:rPr>
          <w:sz w:val="20"/>
          <w:szCs w:val="20"/>
          <w:color w:val="auto"/>
        </w:rPr>
      </w:pPr>
      <w:r>
        <w:rPr>
          <w:rFonts w:ascii="Times New Roman" w:cs="Times New Roman" w:eastAsia="Times New Roman" w:hAnsi="Times New Roman"/>
          <w:sz w:val="17"/>
          <w:szCs w:val="17"/>
          <w:color w:val="auto"/>
        </w:rPr>
        <w:t>The Audit Committee considered whether, and determined that, the auditor’s provision of non-audit services was compatible with maintaining the auditor’s independence. In accordance with provisions of the Sarbanes-Oxley Act of 2002, all audit and non-audit services provided to the Company by its independent auditors must be pre-approved by the Audit Committee. As authorized by that statute, the Audit Committee has delegated authority to the chairperson of the Audit Committee to pre-approve audit and non-audit services when the Audit Committee is not in session. Any decisions by the chairperson of the Audit Committee under this delegated authority will be reported at the next meeting of the Audit Committee. All services described above were pre-approved by the full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jc w:val="both"/>
        <w:ind w:right="200" w:firstLine="454"/>
        <w:spacing w:after="0" w:line="258" w:lineRule="auto"/>
        <w:rPr>
          <w:sz w:val="20"/>
          <w:szCs w:val="20"/>
          <w:color w:val="auto"/>
        </w:rPr>
      </w:pPr>
      <w:r>
        <w:rPr>
          <w:rFonts w:ascii="Times New Roman" w:cs="Times New Roman" w:eastAsia="Times New Roman" w:hAnsi="Times New Roman"/>
          <w:sz w:val="17"/>
          <w:szCs w:val="17"/>
          <w:color w:val="auto"/>
        </w:rPr>
        <w:t xml:space="preserve">The Board of Directors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selection of Ernst &amp; Young LLP as independent registered public accounting firm to audit the financial statements of the Company for the fiscal year ending November 30, 2024, and proxies solicited by the Board of Directors will be so voted unless stockholders specify a different choice. If the stockholders do not ratify the selection of Ernst &amp; Young LLP, the selection of independent public accountants will be reconsidered by the Audit Committee.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30" w:name="page31"/>
    <w:bookmarkEnd w:id="30"/>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0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ADVISORY VOTE ON EXECUTIVE COMPENSATION</w:t>
      </w:r>
    </w:p>
    <w:p>
      <w:pPr>
        <w:spacing w:after="0" w:line="2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(SAY-ON-PAY)</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accordance with Section 14A of the Exchange Act, we are asking stockholders to approve the following advisory resolution at the Annual Meeting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w:t>
      </w:r>
    </w:p>
    <w:p>
      <w:pPr>
        <w:spacing w:after="0" w:line="192" w:lineRule="exact"/>
        <w:rPr>
          <w:sz w:val="20"/>
          <w:szCs w:val="20"/>
          <w:color w:val="auto"/>
        </w:rPr>
      </w:pPr>
    </w:p>
    <w:p>
      <w:pPr>
        <w:ind w:right="600" w:firstLine="454"/>
        <w:spacing w:after="0" w:line="274"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in this Proxy Statement, including the Compensation Discussion and Analysis, compensation tables and narrative discussion, is hereby APPROVED.</w:t>
      </w:r>
    </w:p>
    <w:p>
      <w:pPr>
        <w:spacing w:after="0" w:line="159" w:lineRule="exact"/>
        <w:rPr>
          <w:sz w:val="20"/>
          <w:szCs w:val="20"/>
          <w:color w:val="auto"/>
        </w:rPr>
      </w:pPr>
    </w:p>
    <w:p>
      <w:pPr>
        <w:ind w:right="80" w:firstLine="454"/>
        <w:spacing w:after="0" w:line="274" w:lineRule="auto"/>
        <w:rPr>
          <w:sz w:val="20"/>
          <w:szCs w:val="20"/>
          <w:color w:val="auto"/>
        </w:rPr>
      </w:pPr>
      <w:r>
        <w:rPr>
          <w:rFonts w:ascii="Times New Roman" w:cs="Times New Roman" w:eastAsia="Times New Roman" w:hAnsi="Times New Roman"/>
          <w:sz w:val="17"/>
          <w:szCs w:val="17"/>
          <w:color w:val="auto"/>
        </w:rPr>
        <w:t>The primary goal of our executive compensation program is the same as our goal for operating the Company – to maximize corporate performance and thereby create value for our stockholders. To achieve this goal we have designed an executive compensation program based on the following principles:</w:t>
      </w:r>
    </w:p>
    <w:p>
      <w:pPr>
        <w:spacing w:after="0" w:line="159" w:lineRule="exact"/>
        <w:rPr>
          <w:sz w:val="20"/>
          <w:szCs w:val="20"/>
          <w:color w:val="auto"/>
        </w:rPr>
      </w:pPr>
    </w:p>
    <w:p>
      <w:pPr>
        <w:ind w:left="900" w:right="46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for performance – A significant portion of each executive’s potential cash compensation is made subject to achieving business performance measures.</w:t>
      </w:r>
    </w:p>
    <w:p>
      <w:pPr>
        <w:spacing w:after="0" w:line="158" w:lineRule="exact"/>
        <w:rPr>
          <w:rFonts w:ascii="Times New Roman" w:cs="Times New Roman" w:eastAsia="Times New Roman" w:hAnsi="Times New Roman"/>
          <w:sz w:val="17"/>
          <w:szCs w:val="17"/>
          <w:color w:val="auto"/>
        </w:rPr>
      </w:pPr>
    </w:p>
    <w:p>
      <w:pPr>
        <w:ind w:left="900" w:right="16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Alignment with the interests of stockholders – Equity awards align our executives’ financial interests with those of our stockholders by providing value to our executives if the market price of our stock increases.</w:t>
      </w:r>
    </w:p>
    <w:p>
      <w:pPr>
        <w:spacing w:after="0" w:line="158" w:lineRule="exact"/>
        <w:rPr>
          <w:rFonts w:ascii="Times New Roman" w:cs="Times New Roman" w:eastAsia="Times New Roman" w:hAnsi="Times New Roman"/>
          <w:sz w:val="17"/>
          <w:szCs w:val="17"/>
          <w:color w:val="auto"/>
        </w:rPr>
      </w:pPr>
    </w:p>
    <w:p>
      <w:pPr>
        <w:ind w:left="900" w:right="12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and retaining top talent – The compensation of our executives must be competitive so that we may attract and retain talented and experienced executives in our industry.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believe the design and operation of our compensation program effectively incorporates these principles, as illustrated by the following:</w:t>
      </w:r>
    </w:p>
    <w:p>
      <w:pPr>
        <w:spacing w:after="0" w:line="208" w:lineRule="exact"/>
        <w:rPr>
          <w:sz w:val="20"/>
          <w:szCs w:val="20"/>
          <w:color w:val="auto"/>
        </w:rPr>
      </w:pPr>
    </w:p>
    <w:p>
      <w:pPr>
        <w:ind w:left="900" w:hanging="294"/>
        <w:spacing w:after="0" w:line="261"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of disruptive marketplace trends threatening the traditional furniture industry for the last several years and to keep fixed costs under control, the base salaries of our executives have changed only modestly in recent years. For example, our chief executive officer’s salary has increased by 5.25% in the aggregate from fiscal 2021 to fiscal 2023.</w:t>
      </w:r>
    </w:p>
    <w:p>
      <w:pPr>
        <w:spacing w:after="0" w:line="169" w:lineRule="exact"/>
        <w:rPr>
          <w:rFonts w:ascii="Times New Roman" w:cs="Times New Roman" w:eastAsia="Times New Roman" w:hAnsi="Times New Roman"/>
          <w:sz w:val="17"/>
          <w:szCs w:val="17"/>
          <w:color w:val="auto"/>
        </w:rPr>
      </w:pPr>
    </w:p>
    <w:p>
      <w:pPr>
        <w:ind w:left="900" w:right="40" w:hanging="294"/>
        <w:spacing w:after="0" w:line="253"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last grants of performance-based long term equity incentive awards, which also were time-vested, were made in 2018 and vested in 2021. Those grants were based on achieving cash flow goals and were targeted at and achieved 52% of salary for all but one named executive officer, whose achieved target was for 30% of salary. Since then we have made two modest grants of time-vesting restricted stock in 2022 and 2023, each vesting ratably over three years, and ranging from 10% to 16.5% of salary for our named executive officers. The most recent grants were made to several members of management in order to retain talent. Given the current challenges in the furniture industry, we feel the executive pay mix is in line with shareholders’ long-term interests</w:t>
      </w:r>
      <w:r>
        <w:rPr>
          <w:rFonts w:ascii="Times New Roman" w:cs="Times New Roman" w:eastAsia="Times New Roman" w:hAnsi="Times New Roman"/>
          <w:sz w:val="17"/>
          <w:szCs w:val="17"/>
          <w:b w:val="1"/>
          <w:bCs w:val="1"/>
          <w:color w:val="auto"/>
        </w:rPr>
        <w:t>.</w:t>
      </w:r>
    </w:p>
    <w:p>
      <w:pPr>
        <w:spacing w:after="0" w:line="176" w:lineRule="exact"/>
        <w:rPr>
          <w:sz w:val="20"/>
          <w:szCs w:val="20"/>
          <w:color w:val="auto"/>
        </w:rPr>
      </w:pPr>
    </w:p>
    <w:p>
      <w:pPr>
        <w:ind w:right="520" w:firstLine="454"/>
        <w:spacing w:after="0" w:line="256" w:lineRule="auto"/>
        <w:rPr>
          <w:sz w:val="20"/>
          <w:szCs w:val="20"/>
          <w:color w:val="auto"/>
        </w:rPr>
      </w:pPr>
      <w:r>
        <w:rPr>
          <w:rFonts w:ascii="Times New Roman" w:cs="Times New Roman" w:eastAsia="Times New Roman" w:hAnsi="Times New Roman"/>
          <w:sz w:val="17"/>
          <w:szCs w:val="17"/>
          <w:color w:val="auto"/>
        </w:rPr>
        <w:t xml:space="preserve">For a detailed description of our executive compensation policies and programs and how they are designed to motivate superior performance, we urge stockholders to read the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in this proxy statement beginning on page 11. The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also discusses the compensation objectives and principles that underlie the Company’s executive compensation program, the elements of the program and how performance is measured, evaluated and rewarded.</w:t>
      </w:r>
    </w:p>
    <w:p>
      <w:pPr>
        <w:spacing w:after="0" w:line="175" w:lineRule="exact"/>
        <w:rPr>
          <w:sz w:val="20"/>
          <w:szCs w:val="20"/>
          <w:color w:val="auto"/>
        </w:rPr>
      </w:pPr>
    </w:p>
    <w:p>
      <w:pPr>
        <w:ind w:right="20" w:firstLine="454"/>
        <w:spacing w:after="0" w:line="256" w:lineRule="auto"/>
        <w:rPr>
          <w:sz w:val="20"/>
          <w:szCs w:val="20"/>
          <w:color w:val="auto"/>
        </w:rPr>
      </w:pPr>
      <w:r>
        <w:rPr>
          <w:rFonts w:ascii="Times New Roman" w:cs="Times New Roman" w:eastAsia="Times New Roman" w:hAnsi="Times New Roman"/>
          <w:sz w:val="17"/>
          <w:szCs w:val="17"/>
          <w:color w:val="auto"/>
        </w:rPr>
        <w:t>This vote is not intended to address any specific item of compensation, but rather the overall compensation that is paid to our named executive officers resulting from our compensation objectives, policies and practices as described in this proxy statement. Because your vote is advisory, it will not be binding upon the Board of Directors. However, the Board of Directors and the Organization, Compensation and Nominating Committee value the opinions expressed by our stockholders and will review the voting results in connection with their ongoing evaluation of our executive compensation program.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Recommendation</w:t>
      </w:r>
    </w:p>
    <w:p>
      <w:pPr>
        <w:spacing w:after="0" w:line="208" w:lineRule="exact"/>
        <w:rPr>
          <w:sz w:val="20"/>
          <w:szCs w:val="20"/>
          <w:color w:val="auto"/>
        </w:rPr>
      </w:pPr>
    </w:p>
    <w:p>
      <w:pPr>
        <w:ind w:firstLine="454"/>
        <w:spacing w:after="0" w:line="279" w:lineRule="auto"/>
        <w:rPr>
          <w:sz w:val="20"/>
          <w:szCs w:val="20"/>
          <w:color w:val="auto"/>
        </w:rPr>
      </w:pPr>
      <w:r>
        <w:rPr>
          <w:rFonts w:ascii="Times New Roman" w:cs="Times New Roman" w:eastAsia="Times New Roman" w:hAnsi="Times New Roman"/>
          <w:sz w:val="17"/>
          <w:szCs w:val="17"/>
          <w:color w:val="auto"/>
        </w:rPr>
        <w:t xml:space="preserve">Our Board of Directors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above advisory resolution approving the compensation paid to our named executive officers, as disclosed in this proxy statement, and proxies solicited by the Board of Directors will be so voted unless stockholders specify a different choice.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320" w:top="548" w:right="4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for Inclusion in the Proxy Statement</w:t>
      </w:r>
    </w:p>
    <w:p>
      <w:pPr>
        <w:spacing w:after="0" w:line="212" w:lineRule="exact"/>
        <w:rPr>
          <w:sz w:val="20"/>
          <w:szCs w:val="20"/>
          <w:color w:val="auto"/>
        </w:rPr>
      </w:pPr>
    </w:p>
    <w:p>
      <w:pPr>
        <w:ind w:right="260" w:firstLine="454"/>
        <w:spacing w:after="0" w:line="256" w:lineRule="auto"/>
        <w:rPr>
          <w:sz w:val="20"/>
          <w:szCs w:val="20"/>
          <w:color w:val="auto"/>
        </w:rPr>
      </w:pPr>
      <w:r>
        <w:rPr>
          <w:rFonts w:ascii="Times New Roman" w:cs="Times New Roman" w:eastAsia="Times New Roman" w:hAnsi="Times New Roman"/>
          <w:sz w:val="17"/>
          <w:szCs w:val="17"/>
          <w:color w:val="auto"/>
        </w:rPr>
        <w:t>Any proposal that a stockholder intends to present for action at the 2025 Annual Meeting of Stockholders (“2025 Annual Meeting”) must be received by the Company not later than October 9, 2024, in order for the proposal to be included in the proxy statement and form of proxy for the 2024 Annual Meeting. Any such proposal must meet the applicable requirements of the Exchange Act and the rules and regulations thereunder. Such proposals should be sent to Jay R. Hervey, Secretary, Bassett Furniture Industries, Incorporated, Post Office Box 626, Bassett, Virginia 24055.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Stockholder Proposals and Nominations</w:t>
      </w:r>
    </w:p>
    <w:p>
      <w:pPr>
        <w:spacing w:after="0" w:line="212" w:lineRule="exact"/>
        <w:rPr>
          <w:sz w:val="20"/>
          <w:szCs w:val="20"/>
          <w:color w:val="auto"/>
        </w:rPr>
      </w:pPr>
    </w:p>
    <w:p>
      <w:pPr>
        <w:ind w:firstLine="454"/>
        <w:spacing w:after="0" w:line="254" w:lineRule="auto"/>
        <w:rPr>
          <w:sz w:val="20"/>
          <w:szCs w:val="20"/>
          <w:color w:val="auto"/>
        </w:rPr>
      </w:pPr>
      <w:r>
        <w:rPr>
          <w:rFonts w:ascii="Times New Roman" w:cs="Times New Roman" w:eastAsia="Times New Roman" w:hAnsi="Times New Roman"/>
          <w:sz w:val="17"/>
          <w:szCs w:val="17"/>
          <w:color w:val="auto"/>
        </w:rPr>
        <w:t>The Company’s Bylaws prescribe the procedures that a stockholder must follow to nominate directors for election at an annual meeting or to bring other business before an annual meeting (other than matters that have been included in the Company’s proxy statement for such meeting). The Chairman of the meeting may refuse to acknowledge the nomination of any person as a director or any other proposal by a stockholder not made in compliance with these procedures. The following summary of these procedures is qualified by reference to the Company’s Bylaws, a copy of which may be obtained, without charge, upon written request to Jay R. Hervey, Secretary, Bassett Furniture Industries, Incorporated, Post Office Box 626, Bassett, Virginia 24055.</w:t>
      </w:r>
    </w:p>
    <w:p>
      <w:pPr>
        <w:spacing w:after="0" w:line="176" w:lineRule="exact"/>
        <w:rPr>
          <w:sz w:val="20"/>
          <w:szCs w:val="20"/>
          <w:color w:val="auto"/>
        </w:rPr>
      </w:pPr>
    </w:p>
    <w:p>
      <w:pPr>
        <w:ind w:right="120" w:firstLine="454"/>
        <w:spacing w:after="0" w:line="254" w:lineRule="auto"/>
        <w:rPr>
          <w:sz w:val="20"/>
          <w:szCs w:val="20"/>
          <w:color w:val="auto"/>
        </w:rPr>
      </w:pPr>
      <w:r>
        <w:rPr>
          <w:rFonts w:ascii="Times New Roman" w:cs="Times New Roman" w:eastAsia="Times New Roman" w:hAnsi="Times New Roman"/>
          <w:sz w:val="17"/>
          <w:szCs w:val="17"/>
          <w:color w:val="auto"/>
        </w:rPr>
        <w:t>A stockholder who desires to nominate a director for election at an annual meeting must give timely written notice thereof to the Secretary of the Company by personal delivery or by registered or certified mail, postage prepaid, at the address shown above. To be timely, a stockholder’s notice must be received not later than December 6, 2024, for nominations to be made at the 2025 Annual Meeting. The notice must contain the information specified in the Bylaws regarding the stockholder giving the notice and each person whom the stockholder wishes to nominate for election as a director. The notice must be accompanied by the written consent of each proposed nominee to serve as a director of the Company, if elected.</w:t>
      </w:r>
    </w:p>
    <w:p>
      <w:pPr>
        <w:spacing w:after="0" w:line="176" w:lineRule="exact"/>
        <w:rPr>
          <w:sz w:val="20"/>
          <w:szCs w:val="20"/>
          <w:color w:val="auto"/>
        </w:rPr>
      </w:pPr>
    </w:p>
    <w:p>
      <w:pPr>
        <w:ind w:right="20" w:firstLine="454"/>
        <w:spacing w:after="0" w:line="254" w:lineRule="auto"/>
        <w:rPr>
          <w:sz w:val="20"/>
          <w:szCs w:val="20"/>
          <w:color w:val="auto"/>
        </w:rPr>
      </w:pPr>
      <w:r>
        <w:rPr>
          <w:rFonts w:ascii="Times New Roman" w:cs="Times New Roman" w:eastAsia="Times New Roman" w:hAnsi="Times New Roman"/>
          <w:sz w:val="17"/>
          <w:szCs w:val="17"/>
          <w:color w:val="auto"/>
        </w:rPr>
        <w:t>In order to comply with the SEC’s universal proxy rules, shareholders who intend to solicit proxies in support of director nominees other than the Company’s Board’s nominees must provide notice to the Secretary of the Company that sets forth the information required by Rule 14a-19 under the Exchange Act no later than 60 calendar days prior to the anniversary of the previous year’s annual meeting. For any such director nominee to be included on our proxy card for next year’s annual meeting, the Corporate Secretary must receive notice under SEC Rule 14a-19 no later than January 6, 2025. Please note that the notice requirement under SEC Rule 14a-19 is in addition to the applicable notice requirements under the advance notice provisions of our Bylaws described above.</w:t>
      </w:r>
    </w:p>
    <w:p>
      <w:pPr>
        <w:spacing w:after="0" w:line="176" w:lineRule="exact"/>
        <w:rPr>
          <w:sz w:val="20"/>
          <w:szCs w:val="20"/>
          <w:color w:val="auto"/>
        </w:rPr>
      </w:pPr>
    </w:p>
    <w:p>
      <w:pPr>
        <w:ind w:right="80" w:firstLine="454"/>
        <w:spacing w:after="0" w:line="254" w:lineRule="auto"/>
        <w:rPr>
          <w:sz w:val="20"/>
          <w:szCs w:val="20"/>
          <w:color w:val="auto"/>
        </w:rPr>
      </w:pPr>
      <w:r>
        <w:rPr>
          <w:rFonts w:ascii="Times New Roman" w:cs="Times New Roman" w:eastAsia="Times New Roman" w:hAnsi="Times New Roman"/>
          <w:sz w:val="17"/>
          <w:szCs w:val="17"/>
          <w:color w:val="auto"/>
        </w:rPr>
        <w:t>A stockholder who desires to bring any other business before an annual meeting (other than matters that have been included in the Company’s proxy statement for such meeting) must give timely written notice thereof to the Secretary of the Company by personal delivery or by registered or certified mail, postage prepaid, at the address shown above. To be timely, a stockholder’s notice must be received not later than September 27, 2024 for business to be acted upon at the 2025 Annual Meeting. The notice must contain the information specified in the Bylaws regarding the stockholder giving the notice and the business proposed to be brought before the meeting.</w:t>
      </w:r>
    </w:p>
    <w:p>
      <w:pPr>
        <w:spacing w:after="0" w:line="176" w:lineRule="exact"/>
        <w:rPr>
          <w:sz w:val="20"/>
          <w:szCs w:val="20"/>
          <w:color w:val="auto"/>
        </w:rPr>
      </w:pPr>
    </w:p>
    <w:p>
      <w:pPr>
        <w:ind w:right="160" w:firstLine="454"/>
        <w:spacing w:after="0" w:line="261" w:lineRule="auto"/>
        <w:rPr>
          <w:sz w:val="20"/>
          <w:szCs w:val="20"/>
          <w:color w:val="auto"/>
        </w:rPr>
      </w:pPr>
      <w:r>
        <w:rPr>
          <w:rFonts w:ascii="Times New Roman" w:cs="Times New Roman" w:eastAsia="Times New Roman" w:hAnsi="Times New Roman"/>
          <w:sz w:val="17"/>
          <w:szCs w:val="17"/>
          <w:color w:val="auto"/>
        </w:rPr>
        <w:t>With respect to stockholder proposals not included in the Company’s proxy statement for the 2025 Annual Meeting, the persons named in the Board of Directors’ proxy for such meeting will be entitled to exercise the discretionary voting power conferred by such proxy under the circumstances specified in Rule 14a-4(c) under the Exchange Act, including with respect to proposals received by the Company after September 27, 2024.</w:t>
      </w:r>
    </w:p>
    <w:p>
      <w:pPr>
        <w:spacing w:after="0" w:line="165" w:lineRule="exact"/>
        <w:rPr>
          <w:sz w:val="20"/>
          <w:szCs w:val="20"/>
          <w:color w:val="auto"/>
        </w:rPr>
      </w:pPr>
    </w:p>
    <w:p>
      <w:pPr>
        <w:jc w:val="both"/>
        <w:ind w:right="40" w:firstLine="454"/>
        <w:spacing w:after="0" w:line="263" w:lineRule="auto"/>
        <w:rPr>
          <w:sz w:val="20"/>
          <w:szCs w:val="20"/>
          <w:color w:val="auto"/>
        </w:rPr>
      </w:pPr>
      <w:r>
        <w:rPr>
          <w:rFonts w:ascii="Times New Roman" w:cs="Times New Roman" w:eastAsia="Times New Roman" w:hAnsi="Times New Roman"/>
          <w:sz w:val="17"/>
          <w:szCs w:val="17"/>
          <w:b w:val="1"/>
          <w:bCs w:val="1"/>
          <w:color w:val="auto"/>
        </w:rPr>
        <w:t>COPIES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ANNUAL REPORT ON FORM 10-K FOR THE FISCAL YEAR ENDED NOVEMBER 25, 2023, AS FILED WITH THE SECURITIES AND EXCHANGE COMMISSION, CAN BE OBTAINED WITHOUT CHARGE UPON WRITTEN REQUEST TO JAY R. HERVEY, SECRETARY, BASSETT FURNITURE INDUSTRIES, INCORPORATED, POST OFFICE BOX 626, BASSETT, VIRGINIA 24055.</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505460</wp:posOffset>
            </wp:positionV>
            <wp:extent cx="7200265" cy="9158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9158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361315</wp:posOffset>
            </wp:positionV>
            <wp:extent cx="7141210" cy="9158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9158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361315</wp:posOffset>
            </wp:positionV>
            <wp:extent cx="7141210" cy="9175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917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372110</wp:posOffset>
            </wp:positionH>
            <wp:positionV relativeFrom="page">
              <wp:posOffset>361315</wp:posOffset>
            </wp:positionV>
            <wp:extent cx="6805295" cy="8806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805295" cy="8806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lvl w:ilvl="1">
      <w:lvlJc w:val="left"/>
      <w:lvlText w:val="%2."/>
      <w:numFmt w:val="lowerRoman"/>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2024-02-05T08:28:18Z</dcterms:created>
  <dcterms:modified xsi:type="dcterms:W3CDTF">2024-02-05T08:28:18Z</dcterms:modified>
</cp:coreProperties>
</file>