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4"/>
          <w:szCs w:val="24"/>
          <w:color w:val="auto"/>
        </w:rPr>
      </w:pPr>
    </w:p>
    <w:p>
      <w:pPr>
        <w:ind w:left="3760" w:right="2820" w:hanging="928"/>
        <w:spacing w:after="0" w:line="282" w:lineRule="auto"/>
        <w:tabs>
          <w:tab w:leader="none" w:pos="3038"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May 29, 2021</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21" w:lineRule="exact"/>
        <w:rPr>
          <w:sz w:val="24"/>
          <w:szCs w:val="24"/>
          <w:color w:val="auto"/>
        </w:rPr>
      </w:pPr>
    </w:p>
    <w:p>
      <w:pPr>
        <w:ind w:left="3760" w:right="2820" w:hanging="934"/>
        <w:spacing w:after="0" w:line="282" w:lineRule="auto"/>
        <w:tabs>
          <w:tab w:leader="none" w:pos="3031"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166" w:lineRule="exact"/>
        <w:rPr>
          <w:sz w:val="24"/>
          <w:szCs w:val="24"/>
          <w:color w:val="auto"/>
        </w:rPr>
      </w:pPr>
    </w:p>
    <w:p>
      <w:pPr>
        <w:ind w:left="2080"/>
        <w:spacing w:after="0"/>
        <w:rPr>
          <w:sz w:val="20"/>
          <w:szCs w:val="20"/>
          <w:color w:val="auto"/>
        </w:rPr>
      </w:pPr>
      <w:r>
        <w:rPr>
          <w:rFonts w:ascii="Arial" w:cs="Arial" w:eastAsia="Arial" w:hAnsi="Arial"/>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Commission File No. 000-00209</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BASSETT FURNITURE INDUSTRIES, INCORPORATED</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11" w:lineRule="exact"/>
        <w:rPr>
          <w:sz w:val="24"/>
          <w:szCs w:val="24"/>
          <w:color w:val="auto"/>
        </w:rPr>
      </w:pPr>
    </w:p>
    <w:tbl>
      <w:tblPr>
        <w:tblLayout w:type="fixed"/>
        <w:tblInd w:w="1420" w:type="dxa"/>
        <w:tblCellMar>
          <w:top w:w="0" w:type="dxa"/>
          <w:left w:w="0" w:type="dxa"/>
          <w:bottom w:w="0" w:type="dxa"/>
          <w:right w:w="0" w:type="dxa"/>
        </w:tblCellMar>
      </w:tblPr>
      <w:tr>
        <w:trPr>
          <w:trHeight w:val="230"/>
        </w:trPr>
        <w:tc>
          <w:tcPr>
            <w:tcW w:w="2680" w:type="dxa"/>
            <w:vAlign w:val="bottom"/>
          </w:tcPr>
          <w:p>
            <w:pPr>
              <w:jc w:val="center"/>
              <w:ind w:left="10"/>
              <w:spacing w:after="0"/>
              <w:rPr>
                <w:sz w:val="20"/>
                <w:szCs w:val="20"/>
                <w:color w:val="auto"/>
              </w:rPr>
            </w:pPr>
            <w:r>
              <w:rPr>
                <w:rFonts w:ascii="Arial" w:cs="Arial" w:eastAsia="Arial" w:hAnsi="Arial"/>
                <w:sz w:val="18"/>
                <w:szCs w:val="18"/>
                <w:color w:val="auto"/>
                <w:w w:val="96"/>
              </w:rPr>
              <w:t>Virginia</w:t>
            </w:r>
          </w:p>
        </w:tc>
        <w:tc>
          <w:tcPr>
            <w:tcW w:w="5740" w:type="dxa"/>
            <w:vAlign w:val="bottom"/>
            <w:gridSpan w:val="5"/>
          </w:tcPr>
          <w:p>
            <w:pPr>
              <w:jc w:val="center"/>
              <w:ind w:left="2830"/>
              <w:spacing w:after="0"/>
              <w:rPr>
                <w:sz w:val="20"/>
                <w:szCs w:val="20"/>
                <w:color w:val="auto"/>
              </w:rPr>
            </w:pPr>
            <w:r>
              <w:rPr>
                <w:rFonts w:ascii="Arial" w:cs="Arial" w:eastAsia="Arial" w:hAnsi="Arial"/>
                <w:sz w:val="18"/>
                <w:szCs w:val="18"/>
                <w:color w:val="auto"/>
                <w:w w:val="89"/>
              </w:rPr>
              <w:t>54-0135270</w:t>
            </w:r>
          </w:p>
        </w:tc>
      </w:tr>
      <w:tr>
        <w:trPr>
          <w:trHeight w:val="195"/>
        </w:trPr>
        <w:tc>
          <w:tcPr>
            <w:tcW w:w="2680" w:type="dxa"/>
            <w:vAlign w:val="bottom"/>
            <w:tcBorders>
              <w:top w:val="single" w:sz="8" w:color="auto"/>
            </w:tcBorders>
          </w:tcPr>
          <w:p>
            <w:pPr>
              <w:jc w:val="center"/>
              <w:ind w:left="10"/>
              <w:spacing w:after="0" w:line="195" w:lineRule="exact"/>
              <w:rPr>
                <w:sz w:val="20"/>
                <w:szCs w:val="20"/>
                <w:color w:val="auto"/>
              </w:rPr>
            </w:pPr>
            <w:r>
              <w:rPr>
                <w:rFonts w:ascii="Arial" w:cs="Arial" w:eastAsia="Arial" w:hAnsi="Arial"/>
                <w:sz w:val="18"/>
                <w:szCs w:val="18"/>
                <w:color w:val="auto"/>
                <w:w w:val="92"/>
              </w:rPr>
              <w:t>(State or other jurisdiction</w:t>
            </w:r>
          </w:p>
        </w:tc>
        <w:tc>
          <w:tcPr>
            <w:tcW w:w="120" w:type="dxa"/>
            <w:vAlign w:val="bottom"/>
            <w:tcBorders>
              <w:top w:val="single" w:sz="8" w:color="auto"/>
            </w:tcBorders>
          </w:tcPr>
          <w:p>
            <w:pPr>
              <w:spacing w:after="0"/>
              <w:rPr>
                <w:sz w:val="16"/>
                <w:szCs w:val="16"/>
                <w:color w:val="auto"/>
              </w:rPr>
            </w:pPr>
          </w:p>
        </w:tc>
        <w:tc>
          <w:tcPr>
            <w:tcW w:w="56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82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(I.R.S. Employer</w:t>
            </w:r>
          </w:p>
        </w:tc>
      </w:tr>
      <w:tr>
        <w:trPr>
          <w:trHeight w:val="230"/>
        </w:trPr>
        <w:tc>
          <w:tcPr>
            <w:tcW w:w="2680" w:type="dxa"/>
            <w:vAlign w:val="bottom"/>
          </w:tcPr>
          <w:p>
            <w:pPr>
              <w:jc w:val="center"/>
              <w:ind w:left="30"/>
              <w:spacing w:after="0"/>
              <w:rPr>
                <w:sz w:val="20"/>
                <w:szCs w:val="20"/>
                <w:color w:val="auto"/>
              </w:rPr>
            </w:pPr>
            <w:r>
              <w:rPr>
                <w:rFonts w:ascii="Arial" w:cs="Arial" w:eastAsia="Arial" w:hAnsi="Arial"/>
                <w:sz w:val="18"/>
                <w:szCs w:val="18"/>
                <w:color w:val="auto"/>
                <w:w w:val="92"/>
              </w:rPr>
              <w:t>of incorporation or organization)</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2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8"/>
        </w:trPr>
        <w:tc>
          <w:tcPr>
            <w:tcW w:w="2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20" w:type="dxa"/>
            <w:vAlign w:val="bottom"/>
            <w:gridSpan w:val="4"/>
          </w:tcPr>
          <w:p>
            <w:pPr>
              <w:jc w:val="center"/>
              <w:ind w:right="2730"/>
              <w:spacing w:after="0"/>
              <w:rPr>
                <w:sz w:val="20"/>
                <w:szCs w:val="20"/>
                <w:color w:val="auto"/>
              </w:rPr>
            </w:pPr>
            <w:r>
              <w:rPr>
                <w:rFonts w:ascii="Arial" w:cs="Arial" w:eastAsia="Arial" w:hAnsi="Arial"/>
                <w:sz w:val="18"/>
                <w:szCs w:val="18"/>
                <w:color w:val="auto"/>
                <w:w w:val="91"/>
              </w:rPr>
              <w:t>3525 Fairystone Park Highway</w:t>
            </w:r>
          </w:p>
        </w:tc>
      </w:tr>
      <w:tr>
        <w:trPr>
          <w:trHeight w:val="190"/>
        </w:trPr>
        <w:tc>
          <w:tcPr>
            <w:tcW w:w="2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060" w:type="dxa"/>
            <w:vAlign w:val="bottom"/>
            <w:gridSpan w:val="3"/>
          </w:tcPr>
          <w:p>
            <w:pPr>
              <w:jc w:val="center"/>
              <w:ind w:right="3290"/>
              <w:spacing w:after="0" w:line="190" w:lineRule="exact"/>
              <w:rPr>
                <w:sz w:val="20"/>
                <w:szCs w:val="20"/>
                <w:color w:val="auto"/>
              </w:rPr>
            </w:pPr>
            <w:r>
              <w:rPr>
                <w:rFonts w:ascii="Arial" w:cs="Arial" w:eastAsia="Arial" w:hAnsi="Arial"/>
                <w:sz w:val="18"/>
                <w:szCs w:val="18"/>
                <w:color w:val="auto"/>
                <w:w w:val="90"/>
              </w:rPr>
              <w:t>Bassett, Virginia 24055</w:t>
            </w:r>
          </w:p>
        </w:tc>
      </w:tr>
      <w:tr>
        <w:trPr>
          <w:trHeight w:val="20"/>
        </w:trPr>
        <w:tc>
          <w:tcPr>
            <w:tcW w:w="26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3380" w:type="dxa"/>
            <w:vAlign w:val="bottom"/>
            <w:gridSpan w:val="2"/>
          </w:tcPr>
          <w:p>
            <w:pPr>
              <w:spacing w:after="0" w:line="20" w:lineRule="exact"/>
              <w:rPr>
                <w:sz w:val="1"/>
                <w:szCs w:val="1"/>
                <w:color w:val="auto"/>
              </w:rPr>
            </w:pPr>
          </w:p>
        </w:tc>
      </w:tr>
      <w:tr>
        <w:trPr>
          <w:trHeight w:val="222"/>
        </w:trPr>
        <w:tc>
          <w:tcPr>
            <w:tcW w:w="2680" w:type="dxa"/>
            <w:vAlign w:val="bottom"/>
          </w:tcPr>
          <w:p>
            <w:pPr>
              <w:spacing w:after="0"/>
              <w:rPr>
                <w:sz w:val="19"/>
                <w:szCs w:val="19"/>
                <w:color w:val="auto"/>
              </w:rPr>
            </w:pPr>
          </w:p>
        </w:tc>
        <w:tc>
          <w:tcPr>
            <w:tcW w:w="5740" w:type="dxa"/>
            <w:vAlign w:val="bottom"/>
            <w:gridSpan w:val="5"/>
          </w:tcPr>
          <w:p>
            <w:pPr>
              <w:jc w:val="center"/>
              <w:ind w:right="2590"/>
              <w:spacing w:after="0"/>
              <w:rPr>
                <w:sz w:val="20"/>
                <w:szCs w:val="20"/>
                <w:color w:val="auto"/>
              </w:rPr>
            </w:pPr>
            <w:r>
              <w:rPr>
                <w:rFonts w:ascii="Arial" w:cs="Arial" w:eastAsia="Arial" w:hAnsi="Arial"/>
                <w:sz w:val="18"/>
                <w:szCs w:val="18"/>
                <w:color w:val="auto"/>
                <w:w w:val="92"/>
              </w:rPr>
              <w:t>(Address of principal executive offices)</w:t>
            </w:r>
          </w:p>
        </w:tc>
      </w:tr>
      <w:tr>
        <w:trPr>
          <w:trHeight w:val="230"/>
        </w:trPr>
        <w:tc>
          <w:tcPr>
            <w:tcW w:w="2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060" w:type="dxa"/>
            <w:vAlign w:val="bottom"/>
            <w:gridSpan w:val="3"/>
          </w:tcPr>
          <w:p>
            <w:pPr>
              <w:jc w:val="center"/>
              <w:ind w:right="3290"/>
              <w:spacing w:after="0"/>
              <w:rPr>
                <w:sz w:val="20"/>
                <w:szCs w:val="20"/>
                <w:color w:val="auto"/>
              </w:rPr>
            </w:pPr>
            <w:r>
              <w:rPr>
                <w:rFonts w:ascii="Arial" w:cs="Arial" w:eastAsia="Arial" w:hAnsi="Arial"/>
                <w:sz w:val="18"/>
                <w:szCs w:val="18"/>
                <w:color w:val="auto"/>
                <w:w w:val="94"/>
              </w:rPr>
              <w:t>(Zip Code)</w:t>
            </w:r>
          </w:p>
        </w:tc>
      </w:tr>
    </w:tbl>
    <w:p>
      <w:pPr>
        <w:spacing w:after="0" w:line="20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(276) 629-6000</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25" w:lineRule="exact"/>
        <w:rPr>
          <w:sz w:val="24"/>
          <w:szCs w:val="24"/>
          <w:color w:val="auto"/>
        </w:rPr>
      </w:pPr>
    </w:p>
    <w:tbl>
      <w:tblPr>
        <w:tblLayout w:type="fixed"/>
        <w:tblInd w:w="300" w:type="dxa"/>
        <w:tblCellMar>
          <w:top w:w="0" w:type="dxa"/>
          <w:left w:w="0" w:type="dxa"/>
          <w:bottom w:w="0" w:type="dxa"/>
          <w:right w:w="0" w:type="dxa"/>
        </w:tblCellMar>
      </w:tblPr>
      <w:tr>
        <w:trPr>
          <w:trHeight w:val="230"/>
        </w:trPr>
        <w:tc>
          <w:tcPr>
            <w:tcW w:w="3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20" w:type="dxa"/>
            <w:vAlign w:val="bottom"/>
          </w:tcPr>
          <w:p>
            <w:pPr>
              <w:spacing w:after="0"/>
              <w:rPr>
                <w:sz w:val="20"/>
                <w:szCs w:val="20"/>
                <w:color w:val="auto"/>
              </w:rPr>
            </w:pPr>
          </w:p>
        </w:tc>
        <w:tc>
          <w:tcPr>
            <w:tcW w:w="2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320" w:type="dxa"/>
            <w:vAlign w:val="bottom"/>
          </w:tcPr>
          <w:p>
            <w:pPr>
              <w:spacing w:after="0"/>
              <w:rPr>
                <w:sz w:val="20"/>
                <w:szCs w:val="20"/>
                <w:color w:val="auto"/>
              </w:rPr>
            </w:pPr>
          </w:p>
        </w:tc>
        <w:tc>
          <w:tcPr>
            <w:tcW w:w="37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3820" w:type="dxa"/>
            <w:vAlign w:val="bottom"/>
          </w:tcPr>
          <w:p>
            <w:pPr>
              <w:jc w:val="center"/>
              <w:spacing w:after="0"/>
              <w:rPr>
                <w:sz w:val="20"/>
                <w:szCs w:val="20"/>
                <w:color w:val="auto"/>
              </w:rPr>
            </w:pPr>
            <w:r>
              <w:rPr>
                <w:rFonts w:ascii="Arial" w:cs="Arial" w:eastAsia="Arial" w:hAnsi="Arial"/>
                <w:sz w:val="18"/>
                <w:szCs w:val="18"/>
                <w:color w:val="auto"/>
                <w:w w:val="90"/>
              </w:rPr>
              <w:t>Common Stock ($5.00 par value)</w:t>
            </w:r>
          </w:p>
        </w:tc>
        <w:tc>
          <w:tcPr>
            <w:tcW w:w="320" w:type="dxa"/>
            <w:vAlign w:val="bottom"/>
          </w:tcPr>
          <w:p>
            <w:pPr>
              <w:spacing w:after="0"/>
              <w:rPr>
                <w:sz w:val="19"/>
                <w:szCs w:val="19"/>
                <w:color w:val="auto"/>
              </w:rPr>
            </w:pPr>
          </w:p>
        </w:tc>
        <w:tc>
          <w:tcPr>
            <w:tcW w:w="2420" w:type="dxa"/>
            <w:vAlign w:val="bottom"/>
          </w:tcPr>
          <w:p>
            <w:pPr>
              <w:jc w:val="center"/>
              <w:spacing w:after="0"/>
              <w:rPr>
                <w:sz w:val="20"/>
                <w:szCs w:val="20"/>
                <w:color w:val="auto"/>
              </w:rPr>
            </w:pPr>
            <w:r>
              <w:rPr>
                <w:rFonts w:ascii="Arial" w:cs="Arial" w:eastAsia="Arial" w:hAnsi="Arial"/>
                <w:sz w:val="18"/>
                <w:szCs w:val="18"/>
                <w:color w:val="auto"/>
                <w:w w:val="93"/>
              </w:rPr>
              <w:t>BSET</w:t>
            </w:r>
          </w:p>
        </w:tc>
        <w:tc>
          <w:tcPr>
            <w:tcW w:w="320" w:type="dxa"/>
            <w:vAlign w:val="bottom"/>
          </w:tcPr>
          <w:p>
            <w:pPr>
              <w:spacing w:after="0"/>
              <w:rPr>
                <w:sz w:val="19"/>
                <w:szCs w:val="19"/>
                <w:color w:val="auto"/>
              </w:rPr>
            </w:pPr>
          </w:p>
        </w:tc>
        <w:tc>
          <w:tcPr>
            <w:tcW w:w="3780" w:type="dxa"/>
            <w:vAlign w:val="bottom"/>
          </w:tcPr>
          <w:p>
            <w:pPr>
              <w:jc w:val="center"/>
              <w:spacing w:after="0"/>
              <w:rPr>
                <w:sz w:val="20"/>
                <w:szCs w:val="20"/>
                <w:color w:val="auto"/>
              </w:rPr>
            </w:pPr>
            <w:r>
              <w:rPr>
                <w:rFonts w:ascii="Arial" w:cs="Arial" w:eastAsia="Arial" w:hAnsi="Arial"/>
                <w:sz w:val="18"/>
                <w:szCs w:val="18"/>
                <w:color w:val="auto"/>
                <w:w w:val="99"/>
              </w:rPr>
              <w:t>NASDAQ</w:t>
            </w:r>
          </w:p>
        </w:tc>
      </w:tr>
    </w:tbl>
    <w:p>
      <w:pPr>
        <w:spacing w:after="0" w:line="187"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5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26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2040" w:type="dxa"/>
            <w:vAlign w:val="bottom"/>
          </w:tcPr>
          <w:p>
            <w:pPr>
              <w:ind w:left="560"/>
              <w:spacing w:after="0" w:line="181" w:lineRule="exact"/>
              <w:rPr>
                <w:sz w:val="20"/>
                <w:szCs w:val="20"/>
                <w:color w:val="auto"/>
              </w:rPr>
            </w:pPr>
            <w:r>
              <w:rPr>
                <w:rFonts w:ascii="MS PGothic" w:cs="MS PGothic" w:eastAsia="MS PGothic" w:hAnsi="MS PGothic"/>
                <w:sz w:val="18"/>
                <w:szCs w:val="18"/>
                <w:color w:val="auto"/>
              </w:rPr>
              <w:t>☐</w:t>
            </w:r>
          </w:p>
        </w:tc>
        <w:tc>
          <w:tcPr>
            <w:tcW w:w="3760" w:type="dxa"/>
            <w:vAlign w:val="bottom"/>
          </w:tcPr>
          <w:p>
            <w:pPr>
              <w:ind w:left="1320"/>
              <w:spacing w:after="0"/>
              <w:rPr>
                <w:sz w:val="20"/>
                <w:szCs w:val="20"/>
                <w:color w:val="auto"/>
              </w:rPr>
            </w:pPr>
            <w:r>
              <w:rPr>
                <w:rFonts w:ascii="Arial" w:cs="Arial" w:eastAsia="Arial" w:hAnsi="Arial"/>
                <w:sz w:val="18"/>
                <w:szCs w:val="18"/>
                <w:color w:val="auto"/>
              </w:rPr>
              <w:t>Accelerated Filer</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260" w:type="dxa"/>
            <w:vAlign w:val="bottom"/>
          </w:tcPr>
          <w:p>
            <w:pPr>
              <w:spacing w:after="0"/>
              <w:rPr>
                <w:sz w:val="20"/>
                <w:szCs w:val="20"/>
                <w:color w:val="auto"/>
              </w:rPr>
            </w:pPr>
            <w:r>
              <w:rPr>
                <w:rFonts w:ascii="Arial" w:cs="Arial" w:eastAsia="Arial" w:hAnsi="Arial"/>
                <w:sz w:val="18"/>
                <w:szCs w:val="18"/>
                <w:color w:val="auto"/>
              </w:rPr>
              <w:t>Non-accelerated Filer</w:t>
            </w:r>
          </w:p>
        </w:tc>
        <w:tc>
          <w:tcPr>
            <w:tcW w:w="2040" w:type="dxa"/>
            <w:vAlign w:val="bottom"/>
          </w:tcPr>
          <w:p>
            <w:pPr>
              <w:ind w:left="560"/>
              <w:spacing w:after="0" w:line="181" w:lineRule="exact"/>
              <w:rPr>
                <w:sz w:val="20"/>
                <w:szCs w:val="20"/>
                <w:color w:val="auto"/>
              </w:rPr>
            </w:pPr>
            <w:r>
              <w:rPr>
                <w:rFonts w:ascii="MS PGothic" w:cs="MS PGothic" w:eastAsia="MS PGothic" w:hAnsi="MS PGothic"/>
                <w:sz w:val="18"/>
                <w:szCs w:val="18"/>
                <w:color w:val="auto"/>
              </w:rPr>
              <w:t>☐</w:t>
            </w:r>
          </w:p>
        </w:tc>
        <w:tc>
          <w:tcPr>
            <w:tcW w:w="3760" w:type="dxa"/>
            <w:vAlign w:val="bottom"/>
          </w:tcPr>
          <w:p>
            <w:pPr>
              <w:ind w:left="1320"/>
              <w:spacing w:after="0"/>
              <w:rPr>
                <w:sz w:val="20"/>
                <w:szCs w:val="20"/>
                <w:color w:val="auto"/>
              </w:rPr>
            </w:pPr>
            <w:r>
              <w:rPr>
                <w:rFonts w:ascii="Arial" w:cs="Arial" w:eastAsia="Arial" w:hAnsi="Arial"/>
                <w:sz w:val="18"/>
                <w:szCs w:val="18"/>
                <w:color w:val="auto"/>
              </w:rPr>
              <w:t>Smaller Reporting Company</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26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3760" w:type="dxa"/>
            <w:vAlign w:val="bottom"/>
          </w:tcPr>
          <w:p>
            <w:pPr>
              <w:ind w:left="1320"/>
              <w:spacing w:after="0"/>
              <w:rPr>
                <w:sz w:val="20"/>
                <w:szCs w:val="20"/>
                <w:color w:val="auto"/>
              </w:rPr>
            </w:pPr>
            <w:r>
              <w:rPr>
                <w:rFonts w:ascii="Arial" w:cs="Arial" w:eastAsia="Arial" w:hAnsi="Arial"/>
                <w:sz w:val="18"/>
                <w:szCs w:val="18"/>
                <w:color w:val="auto"/>
              </w:rPr>
              <w:t>Emerging Growth Company</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82"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At June 25, 2021, 9,798,359 shares of common stock of the Registrant were outstanding.</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 of 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15"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OF CONTENTS</w:t>
      </w:r>
    </w:p>
    <w:p>
      <w:pPr>
        <w:spacing w:after="0" w:line="225"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auto"/>
        </w:rPr>
        <w:t>ITEM</w:t>
      </w:r>
      <w:r>
        <w:rPr>
          <w:sz w:val="20"/>
          <w:szCs w:val="20"/>
          <w:color w:val="auto"/>
        </w:rPr>
        <w:tab/>
      </w:r>
      <w:r>
        <w:rPr>
          <w:rFonts w:ascii="Arial" w:cs="Arial" w:eastAsia="Arial" w:hAnsi="Arial"/>
          <w:sz w:val="18"/>
          <w:szCs w:val="18"/>
          <w:color w:val="auto"/>
        </w:rPr>
        <w:t>PAGE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left="580" w:right="860" w:hanging="572"/>
        <w:spacing w:after="0" w:line="277" w:lineRule="auto"/>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Condensed Consolidated Financial Statements as of May 29, 2021 (unaudited) and November 28, 2020 and for the three and six months ended May 29, 2021 (unaudited) and May 30, 2020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-293370</wp:posOffset>
            </wp:positionV>
            <wp:extent cx="7132320" cy="274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274320"/>
                    </a:xfrm>
                    <a:prstGeom prst="rect">
                      <a:avLst/>
                    </a:prstGeom>
                    <a:noFill/>
                  </pic:spPr>
                </pic:pic>
              </a:graphicData>
            </a:graphic>
          </wp:anchor>
        </w:drawing>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Operations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Comprehensive Income (Loss)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4</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Balance Sheets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Condensed Consolidated Statements of Cash Flows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6</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Notes to Condensed Consolidated Financial Statements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7</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2.</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23</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3.</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Quantitative and Qualitative Disclosures About Market Risk</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35</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4.</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Controls and Procedures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36</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spacing w:after="0"/>
              <w:rPr>
                <w:sz w:val="18"/>
                <w:szCs w:val="18"/>
                <w:color w:val="auto"/>
              </w:rPr>
            </w:pPr>
          </w:p>
        </w:tc>
        <w:tc>
          <w:tcPr>
            <w:tcW w:w="8820" w:type="dxa"/>
            <w:vAlign w:val="bottom"/>
            <w:shd w:val="clear" w:color="auto" w:fill="CCEEFF"/>
          </w:tcPr>
          <w:p>
            <w:pPr>
              <w:ind w:left="3960"/>
              <w:spacing w:after="0"/>
              <w:rPr>
                <w:sz w:val="20"/>
                <w:szCs w:val="20"/>
                <w:color w:val="auto"/>
              </w:rPr>
            </w:pPr>
            <w:r>
              <w:rPr>
                <w:rFonts w:ascii="Arial" w:cs="Arial" w:eastAsia="Arial" w:hAnsi="Arial"/>
                <w:sz w:val="18"/>
                <w:szCs w:val="18"/>
                <w:color w:val="auto"/>
              </w:rPr>
              <w:t>PART II - OTHER INFORMATION</w:t>
            </w:r>
          </w:p>
        </w:tc>
        <w:tc>
          <w:tcPr>
            <w:tcW w:w="2060" w:type="dxa"/>
            <w:vAlign w:val="bottom"/>
            <w:shd w:val="clear" w:color="auto" w:fill="CCEEFF"/>
          </w:tcPr>
          <w:p>
            <w:pPr>
              <w:spacing w:after="0"/>
              <w:rPr>
                <w:sz w:val="18"/>
                <w:szCs w:val="18"/>
                <w:color w:val="auto"/>
              </w:rPr>
            </w:pP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1.</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Legal Proceedings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37</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2.</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Unregistered Sales of Equity Securities, Use of Proceeds and Issuer Purchases of Equity Securities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37</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3.</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Defaults Upon Senior Securities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37</w:t>
            </w:r>
          </w:p>
        </w:tc>
      </w:tr>
      <w:tr>
        <w:trPr>
          <w:trHeight w:val="216"/>
        </w:trPr>
        <w:tc>
          <w:tcPr>
            <w:tcW w:w="360" w:type="dxa"/>
            <w:vAlign w:val="bottom"/>
          </w:tcPr>
          <w:p>
            <w:pPr>
              <w:spacing w:after="0"/>
              <w:rPr>
                <w:sz w:val="18"/>
                <w:szCs w:val="18"/>
                <w:color w:val="auto"/>
              </w:rPr>
            </w:pPr>
          </w:p>
        </w:tc>
        <w:tc>
          <w:tcPr>
            <w:tcW w:w="8820" w:type="dxa"/>
            <w:vAlign w:val="bottom"/>
          </w:tcPr>
          <w:p>
            <w:pPr>
              <w:spacing w:after="0"/>
              <w:rPr>
                <w:sz w:val="18"/>
                <w:szCs w:val="18"/>
                <w:color w:val="auto"/>
              </w:rPr>
            </w:pPr>
          </w:p>
        </w:tc>
        <w:tc>
          <w:tcPr>
            <w:tcW w:w="2060" w:type="dxa"/>
            <w:vAlign w:val="bottom"/>
          </w:tcPr>
          <w:p>
            <w:pPr>
              <w:spacing w:after="0"/>
              <w:rPr>
                <w:sz w:val="18"/>
                <w:szCs w:val="18"/>
                <w:color w:val="auto"/>
              </w:rPr>
            </w:pPr>
          </w:p>
        </w:tc>
      </w:tr>
      <w:tr>
        <w:trPr>
          <w:trHeight w:val="216"/>
        </w:trPr>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6.</w:t>
            </w:r>
          </w:p>
        </w:tc>
        <w:tc>
          <w:tcPr>
            <w:tcW w:w="88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Exhibits</w:t>
            </w:r>
          </w:p>
        </w:tc>
        <w:tc>
          <w:tcPr>
            <w:tcW w:w="2060" w:type="dxa"/>
            <w:vAlign w:val="bottom"/>
            <w:shd w:val="clear" w:color="auto" w:fill="CCEEFF"/>
          </w:tcPr>
          <w:p>
            <w:pPr>
              <w:ind w:left="1500"/>
              <w:spacing w:after="0"/>
              <w:rPr>
                <w:sz w:val="20"/>
                <w:szCs w:val="20"/>
                <w:color w:val="auto"/>
              </w:rPr>
            </w:pPr>
            <w:r>
              <w:rPr>
                <w:rFonts w:ascii="Arial" w:cs="Arial" w:eastAsia="Arial" w:hAnsi="Arial"/>
                <w:sz w:val="18"/>
                <w:szCs w:val="18"/>
                <w:color w:val="auto"/>
              </w:rPr>
              <w:t>38</w:t>
            </w:r>
          </w:p>
        </w:tc>
      </w:tr>
      <w:tr>
        <w:trPr>
          <w:trHeight w:val="432"/>
        </w:trPr>
        <w:tc>
          <w:tcPr>
            <w:tcW w:w="360" w:type="dxa"/>
            <w:vAlign w:val="bottom"/>
          </w:tcPr>
          <w:p>
            <w:pPr>
              <w:spacing w:after="0"/>
              <w:rPr>
                <w:sz w:val="24"/>
                <w:szCs w:val="24"/>
                <w:color w:val="auto"/>
              </w:rPr>
            </w:pPr>
          </w:p>
        </w:tc>
        <w:tc>
          <w:tcPr>
            <w:tcW w:w="8820" w:type="dxa"/>
            <w:vAlign w:val="bottom"/>
          </w:tcPr>
          <w:p>
            <w:pPr>
              <w:ind w:left="5000"/>
              <w:spacing w:after="0"/>
              <w:rPr>
                <w:sz w:val="20"/>
                <w:szCs w:val="20"/>
                <w:color w:val="auto"/>
              </w:rPr>
            </w:pPr>
            <w:r>
              <w:rPr>
                <w:rFonts w:ascii="Arial" w:cs="Arial" w:eastAsia="Arial" w:hAnsi="Arial"/>
                <w:sz w:val="18"/>
                <w:szCs w:val="18"/>
                <w:color w:val="auto"/>
              </w:rPr>
              <w:t>2 of 39</w:t>
            </w:r>
          </w:p>
        </w:tc>
        <w:tc>
          <w:tcPr>
            <w:tcW w:w="2060" w:type="dxa"/>
            <w:vAlign w:val="bottom"/>
          </w:tcPr>
          <w:p>
            <w:pPr>
              <w:spacing w:after="0"/>
              <w:rPr>
                <w:sz w:val="24"/>
                <w:szCs w:val="24"/>
                <w:color w:val="auto"/>
              </w:rPr>
            </w:pPr>
          </w:p>
        </w:tc>
      </w:tr>
      <w:tr>
        <w:trPr>
          <w:trHeight w:val="115"/>
        </w:trPr>
        <w:tc>
          <w:tcPr>
            <w:tcW w:w="360" w:type="dxa"/>
            <w:vAlign w:val="bottom"/>
            <w:tcBorders>
              <w:bottom w:val="single" w:sz="8" w:color="auto"/>
            </w:tcBorders>
          </w:tcPr>
          <w:p>
            <w:pPr>
              <w:spacing w:after="0"/>
              <w:rPr>
                <w:sz w:val="10"/>
                <w:szCs w:val="10"/>
                <w:color w:val="auto"/>
              </w:rPr>
            </w:pPr>
          </w:p>
        </w:tc>
        <w:tc>
          <w:tcPr>
            <w:tcW w:w="882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827" w:right="339"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20" w:type="dxa"/>
            <w:vAlign w:val="bottom"/>
            <w:gridSpan w:val="4"/>
          </w:tcPr>
          <w:p>
            <w:pPr>
              <w:spacing w:after="0"/>
              <w:rPr>
                <w:sz w:val="20"/>
                <w:szCs w:val="20"/>
                <w:color w:val="auto"/>
              </w:rPr>
            </w:pPr>
            <w:r>
              <w:rPr>
                <w:rFonts w:ascii="Arial" w:cs="Arial" w:eastAsia="Arial" w:hAnsi="Arial"/>
                <w:sz w:val="18"/>
                <w:szCs w:val="18"/>
                <w:color w:val="auto"/>
              </w:rPr>
              <w:t>PART I - FINANCIAL INFORMATION</w:t>
            </w:r>
          </w:p>
        </w:tc>
        <w:tc>
          <w:tcPr>
            <w:tcW w:w="94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655"/>
        </w:trPr>
        <w:tc>
          <w:tcPr>
            <w:tcW w:w="28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8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97"/>
              </w:rPr>
              <w:t>ITEM 1. FINANCIAL STATEMENTS</w:t>
            </w: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96"/>
        </w:trPr>
        <w:tc>
          <w:tcPr>
            <w:tcW w:w="2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240" w:type="dxa"/>
            <w:vAlign w:val="bottom"/>
            <w:gridSpan w:val="12"/>
          </w:tcPr>
          <w:p>
            <w:pPr>
              <w:jc w:val="center"/>
              <w:ind w:right="140"/>
              <w:spacing w:after="0" w:line="196" w:lineRule="exact"/>
              <w:rPr>
                <w:sz w:val="20"/>
                <w:szCs w:val="20"/>
                <w:color w:val="auto"/>
              </w:rPr>
            </w:pPr>
            <w:r>
              <w:rPr>
                <w:rFonts w:ascii="Arial" w:cs="Arial" w:eastAsia="Arial" w:hAnsi="Arial"/>
                <w:sz w:val="18"/>
                <w:szCs w:val="18"/>
                <w:color w:val="auto"/>
                <w:w w:val="96"/>
              </w:rPr>
              <w:t>BASSETT FURNITURE INDUSTRIES, INCORPORATED AND SUBSIDIARIES</w:t>
            </w: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96"/>
        </w:trPr>
        <w:tc>
          <w:tcPr>
            <w:tcW w:w="2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5160" w:type="dxa"/>
            <w:vAlign w:val="bottom"/>
            <w:tcBorders>
              <w:top w:val="single" w:sz="8" w:color="auto"/>
              <w:bottom w:val="single" w:sz="8" w:color="auto"/>
            </w:tcBorders>
            <w:gridSpan w:val="7"/>
          </w:tcPr>
          <w:p>
            <w:pPr>
              <w:jc w:val="center"/>
              <w:spacing w:after="0" w:line="196" w:lineRule="exact"/>
              <w:rPr>
                <w:sz w:val="20"/>
                <w:szCs w:val="20"/>
                <w:color w:val="auto"/>
              </w:rPr>
            </w:pPr>
            <w:r>
              <w:rPr>
                <w:rFonts w:ascii="Arial" w:cs="Arial" w:eastAsia="Arial" w:hAnsi="Arial"/>
                <w:sz w:val="18"/>
                <w:szCs w:val="18"/>
                <w:color w:val="auto"/>
                <w:w w:val="94"/>
              </w:rPr>
              <w:t>CONDENSED CONSOLIDATED STATEMENTS OF OPERATIONS</w:t>
            </w:r>
          </w:p>
        </w:tc>
        <w:tc>
          <w:tcPr>
            <w:tcW w:w="2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96"/>
        </w:trPr>
        <w:tc>
          <w:tcPr>
            <w:tcW w:w="9060" w:type="dxa"/>
            <w:vAlign w:val="bottom"/>
            <w:gridSpan w:val="14"/>
          </w:tcPr>
          <w:p>
            <w:pPr>
              <w:jc w:val="center"/>
              <w:ind w:left="2570"/>
              <w:spacing w:after="0" w:line="196" w:lineRule="exact"/>
              <w:rPr>
                <w:sz w:val="20"/>
                <w:szCs w:val="20"/>
                <w:color w:val="auto"/>
              </w:rPr>
            </w:pPr>
            <w:r>
              <w:rPr>
                <w:rFonts w:ascii="Arial" w:cs="Arial" w:eastAsia="Arial" w:hAnsi="Arial"/>
                <w:sz w:val="18"/>
                <w:szCs w:val="18"/>
                <w:color w:val="auto"/>
                <w:w w:val="95"/>
              </w:rPr>
              <w:t>FOR THE PERIODS ENDED MAY 29, 2021 AND MAY 30, 2020 – UNAUDITED</w:t>
            </w: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7"/>
        </w:trPr>
        <w:tc>
          <w:tcPr>
            <w:tcW w:w="280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3100" w:type="dxa"/>
            <w:vAlign w:val="bottom"/>
            <w:tcBorders>
              <w:top w:val="single" w:sz="8" w:color="auto"/>
            </w:tcBorders>
            <w:gridSpan w:val="4"/>
          </w:tcPr>
          <w:p>
            <w:pPr>
              <w:jc w:val="center"/>
              <w:ind w:left="30"/>
              <w:spacing w:after="0"/>
              <w:rPr>
                <w:sz w:val="20"/>
                <w:szCs w:val="20"/>
                <w:color w:val="auto"/>
              </w:rPr>
            </w:pPr>
            <w:r>
              <w:rPr>
                <w:rFonts w:ascii="Arial" w:cs="Arial" w:eastAsia="Arial" w:hAnsi="Arial"/>
                <w:sz w:val="18"/>
                <w:szCs w:val="18"/>
                <w:color w:val="auto"/>
                <w:w w:val="87"/>
              </w:rPr>
              <w:t>(In thousands except per share data)</w:t>
            </w:r>
          </w:p>
        </w:tc>
        <w:tc>
          <w:tcPr>
            <w:tcW w:w="520" w:type="dxa"/>
            <w:vAlign w:val="bottom"/>
            <w:tcBorders>
              <w:top w:val="single" w:sz="8" w:color="auto"/>
            </w:tcBorders>
          </w:tcPr>
          <w:p>
            <w:pPr>
              <w:spacing w:after="0"/>
              <w:rPr>
                <w:sz w:val="20"/>
                <w:szCs w:val="20"/>
                <w:color w:val="auto"/>
              </w:rPr>
            </w:pPr>
          </w:p>
        </w:tc>
        <w:tc>
          <w:tcPr>
            <w:tcW w:w="60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Quarter Ended</w:t>
            </w:r>
          </w:p>
        </w:tc>
        <w:tc>
          <w:tcPr>
            <w:tcW w:w="60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gridSpan w:val="4"/>
          </w:tcPr>
          <w:p>
            <w:pPr>
              <w:jc w:val="right"/>
              <w:ind w:right="430"/>
              <w:spacing w:after="0"/>
              <w:rPr>
                <w:sz w:val="20"/>
                <w:szCs w:val="20"/>
                <w:color w:val="auto"/>
              </w:rPr>
            </w:pPr>
            <w:r>
              <w:rPr>
                <w:rFonts w:ascii="Arial" w:cs="Arial" w:eastAsia="Arial" w:hAnsi="Arial"/>
                <w:sz w:val="18"/>
                <w:szCs w:val="18"/>
                <w:b w:val="1"/>
                <w:bCs w:val="1"/>
                <w:color w:val="auto"/>
                <w:w w:val="98"/>
              </w:rPr>
              <w:t>Six Months Ended</w:t>
            </w:r>
          </w:p>
        </w:tc>
        <w:tc>
          <w:tcPr>
            <w:tcW w:w="100" w:type="dxa"/>
            <w:vAlign w:val="bottom"/>
          </w:tcPr>
          <w:p>
            <w:pPr>
              <w:spacing w:after="0"/>
              <w:rPr>
                <w:sz w:val="24"/>
                <w:szCs w:val="24"/>
                <w:color w:val="auto"/>
              </w:rPr>
            </w:pPr>
          </w:p>
        </w:tc>
      </w:tr>
      <w:tr>
        <w:trPr>
          <w:trHeight w:val="426"/>
        </w:trPr>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38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6"/>
              </w:rPr>
              <w:t>May 29, 2021</w:t>
            </w:r>
          </w:p>
        </w:tc>
        <w:tc>
          <w:tcPr>
            <w:tcW w:w="134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6"/>
              </w:rPr>
              <w:t>May 30, 2020</w:t>
            </w:r>
          </w:p>
        </w:tc>
        <w:tc>
          <w:tcPr>
            <w:tcW w:w="1320" w:type="dxa"/>
            <w:vAlign w:val="bottom"/>
            <w:gridSpan w:val="4"/>
          </w:tcPr>
          <w:p>
            <w:pPr>
              <w:jc w:val="right"/>
              <w:ind w:right="260"/>
              <w:spacing w:after="0"/>
              <w:rPr>
                <w:sz w:val="20"/>
                <w:szCs w:val="20"/>
                <w:color w:val="auto"/>
              </w:rPr>
            </w:pPr>
            <w:r>
              <w:rPr>
                <w:rFonts w:ascii="Arial" w:cs="Arial" w:eastAsia="Arial" w:hAnsi="Arial"/>
                <w:sz w:val="18"/>
                <w:szCs w:val="18"/>
                <w:b w:val="1"/>
                <w:bCs w:val="1"/>
                <w:color w:val="auto"/>
                <w:w w:val="94"/>
              </w:rPr>
              <w:t>May 29, 2021</w:t>
            </w:r>
          </w:p>
        </w:tc>
        <w:tc>
          <w:tcPr>
            <w:tcW w:w="12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96"/>
              </w:rPr>
              <w:t>May 30, 2020</w:t>
            </w:r>
          </w:p>
        </w:tc>
      </w:tr>
      <w:tr>
        <w:trPr>
          <w:trHeight w:val="209"/>
        </w:trPr>
        <w:tc>
          <w:tcPr>
            <w:tcW w:w="33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Sales revenue:</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320" w:type="dxa"/>
            <w:vAlign w:val="bottom"/>
            <w:gridSpan w:val="4"/>
          </w:tcPr>
          <w:p>
            <w:pPr>
              <w:ind w:left="180"/>
              <w:spacing w:after="0"/>
              <w:rPr>
                <w:sz w:val="20"/>
                <w:szCs w:val="20"/>
                <w:color w:val="auto"/>
              </w:rPr>
            </w:pPr>
            <w:r>
              <w:rPr>
                <w:rFonts w:ascii="Arial" w:cs="Arial" w:eastAsia="Arial" w:hAnsi="Arial"/>
                <w:sz w:val="18"/>
                <w:szCs w:val="18"/>
                <w:color w:val="auto"/>
              </w:rPr>
              <w:t>Furniture and accessories</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109,997</w:t>
            </w:r>
          </w:p>
        </w:tc>
        <w:tc>
          <w:tcPr>
            <w:tcW w:w="260" w:type="dxa"/>
            <w:vAlign w:val="bottom"/>
          </w:tcPr>
          <w:p>
            <w:pPr>
              <w:spacing w:after="0"/>
              <w:rPr>
                <w:sz w:val="18"/>
                <w:szCs w:val="18"/>
                <w:color w:val="auto"/>
              </w:rPr>
            </w:pP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53,000</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211,652</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151,942</w:t>
            </w:r>
          </w:p>
        </w:tc>
      </w:tr>
      <w:tr>
        <w:trPr>
          <w:trHeight w:val="216"/>
        </w:trPr>
        <w:tc>
          <w:tcPr>
            <w:tcW w:w="3320" w:type="dxa"/>
            <w:vAlign w:val="bottom"/>
            <w:gridSpan w:val="4"/>
            <w:shd w:val="clear" w:color="auto" w:fill="CCEEFF"/>
          </w:tcPr>
          <w:p>
            <w:pPr>
              <w:ind w:left="180"/>
              <w:spacing w:after="0"/>
              <w:rPr>
                <w:sz w:val="20"/>
                <w:szCs w:val="20"/>
                <w:color w:val="auto"/>
              </w:rPr>
            </w:pPr>
            <w:r>
              <w:rPr>
                <w:rFonts w:ascii="Arial" w:cs="Arial" w:eastAsia="Arial" w:hAnsi="Arial"/>
                <w:sz w:val="18"/>
                <w:szCs w:val="18"/>
                <w:color w:val="auto"/>
              </w:rPr>
              <w:t>Logistical services</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14,062</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10,801</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26,080</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23,979</w:t>
            </w:r>
          </w:p>
        </w:tc>
      </w:tr>
      <w:tr>
        <w:trPr>
          <w:trHeight w:val="20"/>
        </w:trPr>
        <w:tc>
          <w:tcPr>
            <w:tcW w:w="280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3320" w:type="dxa"/>
            <w:vAlign w:val="bottom"/>
            <w:gridSpan w:val="4"/>
          </w:tcPr>
          <w:p>
            <w:pPr>
              <w:ind w:left="340"/>
              <w:spacing w:after="0"/>
              <w:rPr>
                <w:sz w:val="20"/>
                <w:szCs w:val="20"/>
                <w:color w:val="auto"/>
              </w:rPr>
            </w:pPr>
            <w:r>
              <w:rPr>
                <w:rFonts w:ascii="Arial" w:cs="Arial" w:eastAsia="Arial" w:hAnsi="Arial"/>
                <w:sz w:val="18"/>
                <w:szCs w:val="18"/>
                <w:color w:val="auto"/>
              </w:rPr>
              <w:t>Total sales revenue</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124,059</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63,801</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237,732</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175,921</w:t>
            </w:r>
          </w:p>
        </w:tc>
      </w:tr>
      <w:tr>
        <w:trPr>
          <w:trHeight w:val="216"/>
        </w:trPr>
        <w:tc>
          <w:tcPr>
            <w:tcW w:w="2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Cost of furniture and accessories sold</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52,911</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29,452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101,163</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74,722</w:t>
            </w:r>
          </w:p>
        </w:tc>
      </w:tr>
      <w:tr>
        <w:trPr>
          <w:trHeight w:val="216"/>
        </w:trPr>
        <w:tc>
          <w:tcPr>
            <w:tcW w:w="2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w w:val="92"/>
              </w:rPr>
              <w:t>Selling, general and administrative expenses</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50,001</w:t>
            </w: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37,730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97,843</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90,027</w:t>
            </w:r>
          </w:p>
        </w:tc>
      </w:tr>
      <w:tr>
        <w:trPr>
          <w:trHeight w:val="216"/>
        </w:trPr>
        <w:tc>
          <w:tcPr>
            <w:tcW w:w="33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Cost of logistical services</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12,768</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12,643</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24,326</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24,986</w:t>
            </w: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Asset impairment charges</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12,184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12,184</w:t>
            </w:r>
          </w:p>
        </w:tc>
      </w:tr>
      <w:tr>
        <w:trPr>
          <w:trHeight w:val="216"/>
        </w:trPr>
        <w:tc>
          <w:tcPr>
            <w:tcW w:w="33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Goodwill impairment charge</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1,971</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1,971</w:t>
            </w: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Litigation expense</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1,050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1,050</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3320" w:type="dxa"/>
            <w:vAlign w:val="bottom"/>
            <w:gridSpan w:val="4"/>
            <w:shd w:val="clear" w:color="auto" w:fill="CCEEFF"/>
          </w:tcPr>
          <w:p>
            <w:pPr>
              <w:ind w:left="180"/>
              <w:spacing w:after="0"/>
              <w:rPr>
                <w:sz w:val="20"/>
                <w:szCs w:val="20"/>
                <w:color w:val="auto"/>
              </w:rPr>
            </w:pPr>
            <w:r>
              <w:rPr>
                <w:rFonts w:ascii="Arial" w:cs="Arial" w:eastAsia="Arial" w:hAnsi="Arial"/>
                <w:sz w:val="18"/>
                <w:szCs w:val="18"/>
                <w:color w:val="auto"/>
              </w:rPr>
              <w:t>Income (loss) from operations</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8,379</w:t>
            </w: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(31,229)</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14,400</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(29,019)</w:t>
            </w:r>
          </w:p>
        </w:tc>
      </w:tr>
      <w:tr>
        <w:trPr>
          <w:trHeight w:val="216"/>
        </w:trPr>
        <w:tc>
          <w:tcPr>
            <w:tcW w:w="2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3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Other loss, net</w:t>
            </w: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(332)</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(765)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(669)</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(1,127)</w:t>
            </w:r>
          </w:p>
        </w:tc>
      </w:tr>
      <w:tr>
        <w:trPr>
          <w:trHeight w:val="20"/>
        </w:trPr>
        <w:tc>
          <w:tcPr>
            <w:tcW w:w="280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3320" w:type="dxa"/>
            <w:vAlign w:val="bottom"/>
            <w:gridSpan w:val="4"/>
          </w:tcPr>
          <w:p>
            <w:pPr>
              <w:spacing w:after="0"/>
              <w:rPr>
                <w:sz w:val="20"/>
                <w:szCs w:val="20"/>
                <w:color w:val="auto"/>
              </w:rPr>
            </w:pPr>
            <w:r>
              <w:rPr>
                <w:rFonts w:ascii="Arial" w:cs="Arial" w:eastAsia="Arial" w:hAnsi="Arial"/>
                <w:sz w:val="18"/>
                <w:szCs w:val="18"/>
                <w:color w:val="auto"/>
              </w:rPr>
              <w:t>Income (loss) before income taxes</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8,047</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(31,994)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13,731</w:t>
            </w:r>
          </w:p>
        </w:tc>
        <w:tc>
          <w:tcPr>
            <w:tcW w:w="3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(30,146)</w:t>
            </w:r>
          </w:p>
        </w:tc>
      </w:tr>
      <w:tr>
        <w:trPr>
          <w:trHeight w:val="216"/>
        </w:trPr>
        <w:tc>
          <w:tcPr>
            <w:tcW w:w="2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tcBorders>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320" w:type="dxa"/>
            <w:vAlign w:val="bottom"/>
            <w:gridSpan w:val="4"/>
          </w:tcPr>
          <w:p>
            <w:pPr>
              <w:ind w:left="180"/>
              <w:spacing w:after="0"/>
              <w:rPr>
                <w:sz w:val="20"/>
                <w:szCs w:val="20"/>
                <w:color w:val="auto"/>
              </w:rPr>
            </w:pPr>
            <w:r>
              <w:rPr>
                <w:rFonts w:ascii="Arial" w:cs="Arial" w:eastAsia="Arial" w:hAnsi="Arial"/>
                <w:sz w:val="18"/>
                <w:szCs w:val="18"/>
                <w:color w:val="auto"/>
              </w:rPr>
              <w:t>Income tax expense (benefit)</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2,073</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(11,642)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3,746</w:t>
            </w:r>
          </w:p>
        </w:tc>
        <w:tc>
          <w:tcPr>
            <w:tcW w:w="32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(11,004)</w:t>
            </w:r>
          </w:p>
        </w:tc>
      </w:tr>
      <w:tr>
        <w:trPr>
          <w:trHeight w:val="210"/>
        </w:trPr>
        <w:tc>
          <w:tcPr>
            <w:tcW w:w="28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right w:val="single" w:sz="8" w:color="CCEEFF"/>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320" w:type="dxa"/>
            <w:vAlign w:val="bottom"/>
            <w:gridSpan w:val="4"/>
          </w:tcPr>
          <w:p>
            <w:pPr>
              <w:ind w:left="180"/>
              <w:spacing w:after="0"/>
              <w:rPr>
                <w:sz w:val="20"/>
                <w:szCs w:val="20"/>
                <w:color w:val="auto"/>
              </w:rPr>
            </w:pPr>
            <w:r>
              <w:rPr>
                <w:rFonts w:ascii="Arial" w:cs="Arial" w:eastAsia="Arial" w:hAnsi="Arial"/>
                <w:sz w:val="18"/>
                <w:szCs w:val="18"/>
                <w:color w:val="auto"/>
              </w:rPr>
              <w:t>Net income (loss)</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5,974</w:t>
            </w:r>
          </w:p>
        </w:tc>
        <w:tc>
          <w:tcPr>
            <w:tcW w:w="260" w:type="dxa"/>
            <w:vAlign w:val="bottom"/>
          </w:tcPr>
          <w:p>
            <w:pPr>
              <w:spacing w:after="0"/>
              <w:rPr>
                <w:sz w:val="18"/>
                <w:szCs w:val="18"/>
                <w:color w:val="auto"/>
              </w:rPr>
            </w:pP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(20,352)</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9,985</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(19,142)</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2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Basic earnings (loss) per share</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0.60</w:t>
            </w: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(2.04)</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1.01</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(1.92)</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2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Diluted earnings (loss) per share</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60"/>
              <w:spacing w:after="0"/>
              <w:rPr>
                <w:sz w:val="20"/>
                <w:szCs w:val="20"/>
                <w:color w:val="auto"/>
              </w:rPr>
            </w:pPr>
            <w:r>
              <w:rPr>
                <w:rFonts w:ascii="Arial" w:cs="Arial" w:eastAsia="Arial" w:hAnsi="Arial"/>
                <w:sz w:val="18"/>
                <w:szCs w:val="18"/>
                <w:color w:val="auto"/>
              </w:rPr>
              <w:t>0.60</w:t>
            </w: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(2.04)</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1.01</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(1.92)</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Regular dividends per share</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0.125</w:t>
            </w:r>
          </w:p>
        </w:tc>
        <w:tc>
          <w:tcPr>
            <w:tcW w:w="260" w:type="dxa"/>
            <w:vAlign w:val="bottom"/>
          </w:tcPr>
          <w:p>
            <w:pPr>
              <w:spacing w:after="0"/>
              <w:rPr>
                <w:sz w:val="18"/>
                <w:szCs w:val="18"/>
                <w:color w:val="auto"/>
              </w:rPr>
            </w:pP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0.125</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0.25</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0.25</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8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320" w:type="dxa"/>
            <w:vAlign w:val="bottom"/>
            <w:gridSpan w:val="4"/>
          </w:tcPr>
          <w:p>
            <w:pPr>
              <w:spacing w:after="0"/>
              <w:rPr>
                <w:sz w:val="20"/>
                <w:szCs w:val="20"/>
                <w:color w:val="auto"/>
              </w:rPr>
            </w:pPr>
            <w:r>
              <w:rPr>
                <w:rFonts w:ascii="Arial" w:cs="Arial" w:eastAsia="Arial" w:hAnsi="Arial"/>
                <w:sz w:val="18"/>
                <w:szCs w:val="18"/>
                <w:color w:val="auto"/>
              </w:rPr>
              <w:t>Special dividend per share</w:t>
            </w:r>
          </w:p>
        </w:tc>
        <w:tc>
          <w:tcPr>
            <w:tcW w:w="2980" w:type="dxa"/>
            <w:vAlign w:val="bottom"/>
            <w:gridSpan w:val="3"/>
          </w:tcPr>
          <w:p>
            <w:pPr>
              <w:jc w:val="right"/>
              <w:ind w:right="15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520" w:type="dxa"/>
            <w:vAlign w:val="bottom"/>
          </w:tcPr>
          <w:p>
            <w:pPr>
              <w:jc w:val="right"/>
              <w:ind w:right="364"/>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4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0.25</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2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67" w:right="339" w:bottom="1440" w:gutter="0" w:footer="0" w:header="0"/>
        </w:sectPr>
      </w:pPr>
    </w:p>
    <w:bookmarkStart w:id="3" w:name="page4"/>
    <w:bookmarkEnd w:id="3"/>
    <w:p>
      <w:pPr>
        <w:ind w:left="3560"/>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ind w:left="4260"/>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ind w:left="282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ind w:left="2440"/>
        <w:spacing w:after="0"/>
        <w:rPr>
          <w:sz w:val="20"/>
          <w:szCs w:val="20"/>
          <w:color w:val="auto"/>
        </w:rPr>
      </w:pPr>
      <w:r>
        <w:rPr>
          <w:rFonts w:ascii="Arial" w:cs="Arial" w:eastAsia="Arial" w:hAnsi="Arial"/>
          <w:sz w:val="18"/>
          <w:szCs w:val="18"/>
          <w:u w:val="single" w:color="auto"/>
          <w:color w:val="auto"/>
        </w:rPr>
        <w:t>CONDENSED CONSOLIDATED STATEMENTS OF COMPREHENSIVE INCOME (LOSS)</w:t>
      </w:r>
    </w:p>
    <w:p>
      <w:pPr>
        <w:spacing w:after="0" w:line="9" w:lineRule="exact"/>
        <w:rPr>
          <w:sz w:val="20"/>
          <w:szCs w:val="20"/>
          <w:color w:val="auto"/>
        </w:rPr>
      </w:pPr>
    </w:p>
    <w:p>
      <w:pPr>
        <w:ind w:left="2800"/>
        <w:spacing w:after="0"/>
        <w:rPr>
          <w:sz w:val="20"/>
          <w:szCs w:val="20"/>
          <w:color w:val="auto"/>
        </w:rPr>
      </w:pPr>
      <w:r>
        <w:rPr>
          <w:rFonts w:ascii="Arial" w:cs="Arial" w:eastAsia="Arial" w:hAnsi="Arial"/>
          <w:sz w:val="18"/>
          <w:szCs w:val="18"/>
          <w:u w:val="single" w:color="auto"/>
          <w:color w:val="auto"/>
        </w:rPr>
        <w:t>FOR THE PERIODS ENDED MAY 29, 2021 AND MAY 30, 2020 – UNAUDITED</w:t>
      </w:r>
    </w:p>
    <w:p>
      <w:pPr>
        <w:spacing w:after="0" w:line="9" w:lineRule="exact"/>
        <w:rPr>
          <w:sz w:val="20"/>
          <w:szCs w:val="20"/>
          <w:color w:val="auto"/>
        </w:rPr>
      </w:pPr>
    </w:p>
    <w:p>
      <w:pPr>
        <w:ind w:left="5340"/>
        <w:spacing w:after="0"/>
        <w:rPr>
          <w:sz w:val="20"/>
          <w:szCs w:val="20"/>
          <w:color w:val="auto"/>
        </w:rPr>
      </w:pPr>
      <w:r>
        <w:rPr>
          <w:rFonts w:ascii="Arial" w:cs="Arial" w:eastAsia="Arial" w:hAnsi="Arial"/>
          <w:sz w:val="18"/>
          <w:szCs w:val="18"/>
          <w:u w:val="single" w:color="auto"/>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Quarter Ended</w:t>
            </w:r>
          </w:p>
        </w:tc>
        <w:tc>
          <w:tcPr>
            <w:tcW w:w="60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4"/>
          </w:tcPr>
          <w:p>
            <w:pPr>
              <w:jc w:val="right"/>
              <w:ind w:right="430"/>
              <w:spacing w:after="0"/>
              <w:rPr>
                <w:sz w:val="20"/>
                <w:szCs w:val="20"/>
                <w:color w:val="auto"/>
              </w:rPr>
            </w:pPr>
            <w:r>
              <w:rPr>
                <w:rFonts w:ascii="Arial" w:cs="Arial" w:eastAsia="Arial" w:hAnsi="Arial"/>
                <w:sz w:val="18"/>
                <w:szCs w:val="18"/>
                <w:b w:val="1"/>
                <w:bCs w:val="1"/>
                <w:color w:val="auto"/>
              </w:rPr>
              <w:t>Six Months Ended</w:t>
            </w:r>
          </w:p>
        </w:tc>
        <w:tc>
          <w:tcPr>
            <w:tcW w:w="100" w:type="dxa"/>
            <w:vAlign w:val="bottom"/>
          </w:tcPr>
          <w:p>
            <w:pPr>
              <w:spacing w:after="0"/>
              <w:rPr>
                <w:sz w:val="20"/>
                <w:szCs w:val="20"/>
                <w:color w:val="auto"/>
              </w:rPr>
            </w:pPr>
          </w:p>
        </w:tc>
      </w:tr>
      <w:tr>
        <w:trPr>
          <w:trHeight w:val="426"/>
        </w:trPr>
        <w:tc>
          <w:tcPr>
            <w:tcW w:w="5980" w:type="dxa"/>
            <w:vAlign w:val="bottom"/>
          </w:tcPr>
          <w:p>
            <w:pPr>
              <w:spacing w:after="0"/>
              <w:rPr>
                <w:sz w:val="24"/>
                <w:szCs w:val="24"/>
                <w:color w:val="auto"/>
              </w:rPr>
            </w:pPr>
          </w:p>
        </w:tc>
        <w:tc>
          <w:tcPr>
            <w:tcW w:w="138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6"/>
              </w:rPr>
              <w:t>May 29, 2021</w:t>
            </w:r>
          </w:p>
        </w:tc>
        <w:tc>
          <w:tcPr>
            <w:tcW w:w="134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6"/>
              </w:rPr>
              <w:t>May 30, 2020</w:t>
            </w:r>
          </w:p>
        </w:tc>
        <w:tc>
          <w:tcPr>
            <w:tcW w:w="132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4"/>
              </w:rPr>
              <w:t>May 29, 2021</w:t>
            </w:r>
          </w:p>
        </w:tc>
        <w:tc>
          <w:tcPr>
            <w:tcW w:w="12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96"/>
              </w:rPr>
              <w:t>May 30, 2020</w:t>
            </w:r>
          </w:p>
        </w:tc>
      </w:tr>
      <w:tr>
        <w:trPr>
          <w:trHeight w:val="209"/>
        </w:trPr>
        <w:tc>
          <w:tcPr>
            <w:tcW w:w="598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380" w:type="dxa"/>
            <w:vAlign w:val="bottom"/>
            <w:shd w:val="clear" w:color="auto" w:fill="CCEEFF"/>
          </w:tcPr>
          <w:p>
            <w:pPr>
              <w:jc w:val="right"/>
              <w:ind w:right="221"/>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5,974</w:t>
            </w:r>
          </w:p>
        </w:tc>
        <w:tc>
          <w:tcPr>
            <w:tcW w:w="520" w:type="dxa"/>
            <w:vAlign w:val="bottom"/>
            <w:shd w:val="clear" w:color="auto" w:fill="CCEEFF"/>
          </w:tcPr>
          <w:p>
            <w:pPr>
              <w:jc w:val="right"/>
              <w:ind w:right="361"/>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(20,352)</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9,985</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(19,142)</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 associated with</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ind w:left="660"/>
              <w:spacing w:after="0"/>
              <w:rPr>
                <w:sz w:val="20"/>
                <w:szCs w:val="20"/>
                <w:color w:val="auto"/>
              </w:rPr>
            </w:pPr>
            <w:r>
              <w:rPr>
                <w:rFonts w:ascii="Arial" w:cs="Arial" w:eastAsia="Arial" w:hAnsi="Arial"/>
                <w:sz w:val="18"/>
                <w:szCs w:val="18"/>
                <w:color w:val="auto"/>
              </w:rPr>
              <w:t>Long Term Cash Awards (LTCA)</w:t>
            </w:r>
          </w:p>
        </w:tc>
        <w:tc>
          <w:tcPr>
            <w:tcW w:w="380" w:type="dxa"/>
            <w:vAlign w:val="bottom"/>
          </w:tcPr>
          <w:p>
            <w:pPr>
              <w:spacing w:after="0"/>
              <w:rPr>
                <w:sz w:val="18"/>
                <w:szCs w:val="18"/>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36</w:t>
            </w: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31</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72</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r>
      <w:tr>
        <w:trPr>
          <w:trHeight w:val="216"/>
        </w:trPr>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Income taxes related to LTCA</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r>
      <w:tr>
        <w:trPr>
          <w:trHeight w:val="202"/>
        </w:trPr>
        <w:tc>
          <w:tcPr>
            <w:tcW w:w="5980" w:type="dxa"/>
            <w:vAlign w:val="bottom"/>
          </w:tcPr>
          <w:p>
            <w:pPr>
              <w:ind w:left="340"/>
              <w:spacing w:after="0" w:line="201" w:lineRule="exact"/>
              <w:rPr>
                <w:sz w:val="20"/>
                <w:szCs w:val="20"/>
                <w:color w:val="auto"/>
              </w:rPr>
            </w:pPr>
            <w:r>
              <w:rPr>
                <w:rFonts w:ascii="Arial" w:cs="Arial" w:eastAsia="Arial" w:hAnsi="Arial"/>
                <w:sz w:val="18"/>
                <w:szCs w:val="18"/>
                <w:color w:val="auto"/>
                <w:w w:val="98"/>
              </w:rPr>
              <w:t>Amortization associated with supplemental executive retirement defined</w:t>
            </w:r>
          </w:p>
        </w:tc>
        <w:tc>
          <w:tcPr>
            <w:tcW w:w="3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5980" w:type="dxa"/>
            <w:vAlign w:val="bottom"/>
          </w:tcPr>
          <w:p>
            <w:pPr>
              <w:ind w:left="500"/>
              <w:spacing w:after="0"/>
              <w:rPr>
                <w:sz w:val="20"/>
                <w:szCs w:val="20"/>
                <w:color w:val="auto"/>
              </w:rPr>
            </w:pPr>
            <w:r>
              <w:rPr>
                <w:rFonts w:ascii="Arial" w:cs="Arial" w:eastAsia="Arial" w:hAnsi="Arial"/>
                <w:sz w:val="18"/>
                <w:szCs w:val="18"/>
                <w:color w:val="auto"/>
              </w:rPr>
              <w:t>benefit plan (SERP)</w:t>
            </w:r>
          </w:p>
        </w:tc>
        <w:tc>
          <w:tcPr>
            <w:tcW w:w="380" w:type="dxa"/>
            <w:vAlign w:val="bottom"/>
          </w:tcPr>
          <w:p>
            <w:pPr>
              <w:spacing w:after="0"/>
              <w:rPr>
                <w:sz w:val="20"/>
                <w:szCs w:val="20"/>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11</w:t>
            </w:r>
          </w:p>
        </w:tc>
        <w:tc>
          <w:tcPr>
            <w:tcW w:w="520" w:type="dxa"/>
            <w:vAlign w:val="bottom"/>
          </w:tcPr>
          <w:p>
            <w:pPr>
              <w:spacing w:after="0"/>
              <w:rPr>
                <w:sz w:val="20"/>
                <w:szCs w:val="20"/>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w:t>
            </w:r>
          </w:p>
        </w:tc>
        <w:tc>
          <w:tcPr>
            <w:tcW w:w="300" w:type="dxa"/>
            <w:vAlign w:val="bottom"/>
          </w:tcPr>
          <w:p>
            <w:pPr>
              <w:spacing w:after="0"/>
              <w:rPr>
                <w:sz w:val="20"/>
                <w:szCs w:val="20"/>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22</w:t>
            </w:r>
          </w:p>
        </w:tc>
        <w:tc>
          <w:tcPr>
            <w:tcW w:w="32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r>
      <w:tr>
        <w:trPr>
          <w:trHeight w:val="216"/>
        </w:trPr>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Income taxes related to SERP</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r>
      <w:tr>
        <w:trPr>
          <w:trHeight w:val="209"/>
        </w:trPr>
        <w:tc>
          <w:tcPr>
            <w:tcW w:w="5980" w:type="dxa"/>
            <w:vAlign w:val="bottom"/>
            <w:tcBorders>
              <w:top w:val="single" w:sz="8" w:color="CCEEFF"/>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9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Other comprehensive income, net of tax</w:t>
            </w:r>
          </w:p>
        </w:tc>
        <w:tc>
          <w:tcPr>
            <w:tcW w:w="3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35</w:t>
            </w: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70</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w:t>
            </w:r>
          </w:p>
        </w:tc>
      </w:tr>
      <w:tr>
        <w:trPr>
          <w:trHeight w:val="209"/>
        </w:trPr>
        <w:tc>
          <w:tcPr>
            <w:tcW w:w="5980" w:type="dxa"/>
            <w:vAlign w:val="bottom"/>
            <w:tcBorders>
              <w:top w:val="single" w:sz="8" w:color="CCEEFF"/>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3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Total comprehensive income (loss)</w:t>
            </w:r>
          </w:p>
        </w:tc>
        <w:tc>
          <w:tcPr>
            <w:tcW w:w="380" w:type="dxa"/>
            <w:vAlign w:val="bottom"/>
            <w:shd w:val="clear" w:color="auto" w:fill="CCEEFF"/>
          </w:tcPr>
          <w:p>
            <w:pPr>
              <w:jc w:val="right"/>
              <w:ind w:right="221"/>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6,009</w:t>
            </w:r>
          </w:p>
        </w:tc>
        <w:tc>
          <w:tcPr>
            <w:tcW w:w="520" w:type="dxa"/>
            <w:vAlign w:val="bottom"/>
            <w:shd w:val="clear" w:color="auto" w:fill="CCEEFF"/>
          </w:tcPr>
          <w:p>
            <w:pPr>
              <w:jc w:val="right"/>
              <w:ind w:right="361"/>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(20,327)</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10,055</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(19,093)</w:t>
            </w:r>
          </w:p>
        </w:tc>
      </w:tr>
      <w:tr>
        <w:trPr>
          <w:trHeight w:val="20"/>
        </w:trPr>
        <w:tc>
          <w:tcPr>
            <w:tcW w:w="59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u w:val="single" w:color="auto"/>
          <w:color w:val="auto"/>
        </w:rPr>
        <w:t>CONDENSED CONSOLIDATED BALANCE SHEETS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u w:val="single" w:color="auto"/>
          <w:color w:val="auto"/>
        </w:rPr>
        <w:t>MAY 29, 2021 AND NOVEMBER 28, 2020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3800" w:type="dxa"/>
            <w:vAlign w:val="bottom"/>
            <w:gridSpan w:val="2"/>
          </w:tcPr>
          <w:p>
            <w:pPr>
              <w:jc w:val="right"/>
              <w:ind w:right="1950"/>
              <w:spacing w:after="0"/>
              <w:rPr>
                <w:sz w:val="20"/>
                <w:szCs w:val="20"/>
                <w:color w:val="auto"/>
              </w:rPr>
            </w:pPr>
            <w:r>
              <w:rPr>
                <w:rFonts w:ascii="Arial" w:cs="Arial" w:eastAsia="Arial" w:hAnsi="Arial"/>
                <w:sz w:val="18"/>
                <w:szCs w:val="18"/>
                <w:color w:val="auto"/>
              </w:rPr>
              <w:t>(In thousands)</w:t>
            </w: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99"/>
        </w:trPr>
        <w:tc>
          <w:tcPr>
            <w:tcW w:w="4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(Unaudited)</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5"/>
              </w:rPr>
              <w:t>May 29,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3"/>
              </w:rPr>
              <w:t>November 28,</w:t>
            </w:r>
          </w:p>
        </w:tc>
      </w:tr>
      <w:tr>
        <w:trPr>
          <w:trHeight w:val="234"/>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36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2021</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r>
      <w:tr>
        <w:trPr>
          <w:trHeight w:val="169"/>
        </w:trPr>
        <w:tc>
          <w:tcPr>
            <w:tcW w:w="438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b w:val="1"/>
                <w:bCs w:val="1"/>
                <w:color w:val="auto"/>
              </w:rPr>
              <w:t>Assets</w:t>
            </w:r>
          </w:p>
        </w:tc>
        <w:tc>
          <w:tcPr>
            <w:tcW w:w="36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1"/>
        </w:trPr>
        <w:tc>
          <w:tcPr>
            <w:tcW w:w="48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1600" w:type="dxa"/>
            <w:vAlign w:val="bottom"/>
            <w:tcBorders>
              <w:top w:val="single" w:sz="8" w:color="CCEEFF"/>
            </w:tcBorders>
            <w:shd w:val="clear" w:color="auto" w:fill="CCEEFF"/>
          </w:tcPr>
          <w:p>
            <w:pPr>
              <w:spacing w:after="0" w:line="20" w:lineRule="exact"/>
              <w:rPr>
                <w:sz w:val="1"/>
                <w:szCs w:val="1"/>
                <w:color w:val="auto"/>
              </w:rPr>
            </w:pPr>
          </w:p>
        </w:tc>
        <w:tc>
          <w:tcPr>
            <w:tcW w:w="36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3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3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438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45,776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45,799</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Short-term investments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17,715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17,715</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receivable, net</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25,882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22,340</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Inventories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67,301</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54,886</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Recoverable income taxes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7,789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9,666</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Other current assets</w:t>
            </w:r>
          </w:p>
        </w:tc>
        <w:tc>
          <w:tcPr>
            <w:tcW w:w="36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12,008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10,272</w:t>
            </w:r>
          </w:p>
        </w:tc>
        <w:tc>
          <w:tcPr>
            <w:tcW w:w="100" w:type="dxa"/>
            <w:vAlign w:val="bottom"/>
          </w:tcPr>
          <w:p>
            <w:pPr>
              <w:spacing w:after="0"/>
              <w:rPr>
                <w:sz w:val="18"/>
                <w:szCs w:val="18"/>
                <w:color w:val="auto"/>
              </w:rPr>
            </w:pPr>
          </w:p>
        </w:tc>
      </w:tr>
      <w:tr>
        <w:trPr>
          <w:trHeight w:val="210"/>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assets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176,471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160,678</w:t>
            </w:r>
          </w:p>
        </w:tc>
      </w:tr>
      <w:tr>
        <w:trPr>
          <w:trHeight w:val="209"/>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1600" w:type="dxa"/>
            <w:vAlign w:val="bottom"/>
            <w:tcBorders>
              <w:top w:val="single" w:sz="8" w:color="CCEEFF"/>
            </w:tcBorders>
          </w:tcPr>
          <w:p>
            <w:pPr>
              <w:spacing w:after="0"/>
              <w:rPr>
                <w:sz w:val="18"/>
                <w:szCs w:val="18"/>
                <w:color w:val="auto"/>
              </w:rPr>
            </w:pPr>
          </w:p>
        </w:tc>
        <w:tc>
          <w:tcPr>
            <w:tcW w:w="36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92,581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90,917</w:t>
            </w: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Deferred income taxes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3,362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4,587</w:t>
            </w:r>
          </w:p>
        </w:tc>
      </w:tr>
      <w:tr>
        <w:trPr>
          <w:trHeight w:val="216"/>
        </w:trPr>
        <w:tc>
          <w:tcPr>
            <w:tcW w:w="4380" w:type="dxa"/>
            <w:vAlign w:val="bottom"/>
            <w:gridSpan w:val="3"/>
          </w:tcPr>
          <w:p>
            <w:pPr>
              <w:spacing w:after="0"/>
              <w:rPr>
                <w:sz w:val="20"/>
                <w:szCs w:val="20"/>
                <w:color w:val="auto"/>
              </w:rPr>
            </w:pPr>
            <w:r>
              <w:rPr>
                <w:rFonts w:ascii="Arial" w:cs="Arial" w:eastAsia="Arial" w:hAnsi="Arial"/>
                <w:sz w:val="18"/>
                <w:szCs w:val="18"/>
                <w:color w:val="auto"/>
              </w:rPr>
              <w:t>Goodwill and other intangible assets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23,637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23,827</w:t>
            </w:r>
          </w:p>
        </w:tc>
      </w:tr>
      <w:tr>
        <w:trPr>
          <w:trHeight w:val="216"/>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Right of use assets under operating leases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116,357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116,903</w:t>
            </w:r>
          </w:p>
        </w:tc>
      </w:tr>
      <w:tr>
        <w:trPr>
          <w:trHeight w:val="216"/>
        </w:trPr>
        <w:tc>
          <w:tcPr>
            <w:tcW w:w="4380" w:type="dxa"/>
            <w:vAlign w:val="bottom"/>
            <w:gridSpan w:val="3"/>
          </w:tcPr>
          <w:p>
            <w:pPr>
              <w:spacing w:after="0"/>
              <w:rPr>
                <w:sz w:val="20"/>
                <w:szCs w:val="20"/>
                <w:color w:val="auto"/>
              </w:rPr>
            </w:pPr>
            <w:r>
              <w:rPr>
                <w:rFonts w:ascii="Arial" w:cs="Arial" w:eastAsia="Arial" w:hAnsi="Arial"/>
                <w:sz w:val="18"/>
                <w:szCs w:val="18"/>
                <w:color w:val="auto"/>
              </w:rPr>
              <w:t>Other</w:t>
            </w:r>
          </w:p>
        </w:tc>
        <w:tc>
          <w:tcPr>
            <w:tcW w:w="36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6,071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5,637</w:t>
            </w:r>
          </w:p>
        </w:tc>
        <w:tc>
          <w:tcPr>
            <w:tcW w:w="100" w:type="dxa"/>
            <w:vAlign w:val="bottom"/>
          </w:tcPr>
          <w:p>
            <w:pPr>
              <w:spacing w:after="0"/>
              <w:rPr>
                <w:sz w:val="18"/>
                <w:szCs w:val="18"/>
                <w:color w:val="auto"/>
              </w:rPr>
            </w:pPr>
          </w:p>
        </w:tc>
      </w:tr>
      <w:tr>
        <w:trPr>
          <w:trHeight w:val="210"/>
        </w:trPr>
        <w:tc>
          <w:tcPr>
            <w:tcW w:w="43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long-term assets</w:t>
            </w:r>
          </w:p>
        </w:tc>
        <w:tc>
          <w:tcPr>
            <w:tcW w:w="36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149,427</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150,954</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38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3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418,479</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402,549</w:t>
            </w:r>
          </w:p>
        </w:tc>
      </w:tr>
      <w:tr>
        <w:trPr>
          <w:trHeight w:val="20"/>
        </w:trPr>
        <w:tc>
          <w:tcPr>
            <w:tcW w:w="4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8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36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175"/>
        </w:trPr>
        <w:tc>
          <w:tcPr>
            <w:tcW w:w="4380" w:type="dxa"/>
            <w:vAlign w:val="bottom"/>
            <w:gridSpan w:val="3"/>
          </w:tcPr>
          <w:p>
            <w:pPr>
              <w:spacing w:after="0" w:line="176" w:lineRule="exact"/>
              <w:rPr>
                <w:sz w:val="20"/>
                <w:szCs w:val="20"/>
                <w:color w:val="auto"/>
              </w:rPr>
            </w:pPr>
            <w:r>
              <w:rPr>
                <w:rFonts w:ascii="Arial" w:cs="Arial" w:eastAsia="Arial" w:hAnsi="Arial"/>
                <w:sz w:val="18"/>
                <w:szCs w:val="18"/>
                <w:b w:val="1"/>
                <w:bCs w:val="1"/>
                <w:color w:val="auto"/>
              </w:rPr>
              <w:t>Liabilities and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3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480" w:type="dxa"/>
            <w:vAlign w:val="bottom"/>
            <w:tcBorders>
              <w:top w:val="single" w:sz="8" w:color="auto"/>
            </w:tcBorders>
          </w:tcPr>
          <w:p>
            <w:pPr>
              <w:spacing w:after="0" w:line="20" w:lineRule="exact"/>
              <w:rPr>
                <w:sz w:val="1"/>
                <w:szCs w:val="1"/>
                <w:color w:val="auto"/>
              </w:rPr>
            </w:pPr>
          </w:p>
        </w:tc>
        <w:tc>
          <w:tcPr>
            <w:tcW w:w="2300" w:type="dxa"/>
            <w:vAlign w:val="bottom"/>
            <w:tcBorders>
              <w:top w:val="single" w:sz="8" w:color="auto"/>
            </w:tcBorders>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Accounts payable</w:t>
            </w:r>
          </w:p>
        </w:tc>
        <w:tc>
          <w:tcPr>
            <w:tcW w:w="3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28,522</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23,426</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Accrued compensation and benefits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14,124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16,964</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Customer deposits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47,911</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39,762</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Current portion operating lease obligations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27,358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27,078</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Other current liabilites and accrued expenses</w:t>
            </w:r>
          </w:p>
        </w:tc>
        <w:tc>
          <w:tcPr>
            <w:tcW w:w="36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12,534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11,141</w:t>
            </w:r>
          </w:p>
        </w:tc>
        <w:tc>
          <w:tcPr>
            <w:tcW w:w="100" w:type="dxa"/>
            <w:vAlign w:val="bottom"/>
          </w:tcPr>
          <w:p>
            <w:pPr>
              <w:spacing w:after="0"/>
              <w:rPr>
                <w:sz w:val="18"/>
                <w:szCs w:val="18"/>
                <w:color w:val="auto"/>
              </w:rPr>
            </w:pPr>
          </w:p>
        </w:tc>
      </w:tr>
      <w:tr>
        <w:trPr>
          <w:trHeight w:val="209"/>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current liabilities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130,449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118,371</w:t>
            </w:r>
          </w:p>
        </w:tc>
      </w:tr>
      <w:tr>
        <w:trPr>
          <w:trHeight w:val="210"/>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1600" w:type="dxa"/>
            <w:vAlign w:val="bottom"/>
            <w:tcBorders>
              <w:top w:val="single" w:sz="8" w:color="CCEEFF"/>
            </w:tcBorders>
          </w:tcPr>
          <w:p>
            <w:pPr>
              <w:spacing w:after="0"/>
              <w:rPr>
                <w:sz w:val="18"/>
                <w:szCs w:val="18"/>
                <w:color w:val="auto"/>
              </w:rPr>
            </w:pPr>
          </w:p>
        </w:tc>
        <w:tc>
          <w:tcPr>
            <w:tcW w:w="36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Long-term liabilities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Post employment benefit obligations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12,398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12,089</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Long-term portion of operating lease obligations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109,832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111,972</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Other long-term liabilities</w:t>
            </w:r>
          </w:p>
        </w:tc>
        <w:tc>
          <w:tcPr>
            <w:tcW w:w="36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2,087</w:t>
            </w:r>
          </w:p>
        </w:tc>
        <w:tc>
          <w:tcPr>
            <w:tcW w:w="100" w:type="dxa"/>
            <w:vAlign w:val="bottom"/>
          </w:tcPr>
          <w:p>
            <w:pPr>
              <w:spacing w:after="0"/>
              <w:rPr>
                <w:sz w:val="18"/>
                <w:szCs w:val="18"/>
                <w:color w:val="auto"/>
              </w:rPr>
            </w:pPr>
          </w:p>
        </w:tc>
      </w:tr>
      <w:tr>
        <w:trPr>
          <w:trHeight w:val="209"/>
        </w:trPr>
        <w:tc>
          <w:tcPr>
            <w:tcW w:w="43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 long-term liabilities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127,768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126,148</w:t>
            </w:r>
          </w:p>
        </w:tc>
      </w:tr>
      <w:tr>
        <w:trPr>
          <w:trHeight w:val="210"/>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1600" w:type="dxa"/>
            <w:vAlign w:val="bottom"/>
            <w:tcBorders>
              <w:top w:val="single" w:sz="8" w:color="CCEEFF"/>
            </w:tcBorders>
          </w:tcPr>
          <w:p>
            <w:pPr>
              <w:spacing w:after="0"/>
              <w:rPr>
                <w:sz w:val="18"/>
                <w:szCs w:val="18"/>
                <w:color w:val="auto"/>
              </w:rPr>
            </w:pPr>
          </w:p>
        </w:tc>
        <w:tc>
          <w:tcPr>
            <w:tcW w:w="362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380" w:type="dxa"/>
            <w:vAlign w:val="bottom"/>
            <w:gridSpan w:val="3"/>
          </w:tcPr>
          <w:p>
            <w:pPr>
              <w:spacing w:after="0"/>
              <w:rPr>
                <w:sz w:val="20"/>
                <w:szCs w:val="20"/>
                <w:color w:val="auto"/>
              </w:rPr>
            </w:pPr>
            <w:r>
              <w:rPr>
                <w:rFonts w:ascii="Arial" w:cs="Arial" w:eastAsia="Arial" w:hAnsi="Arial"/>
                <w:sz w:val="18"/>
                <w:szCs w:val="18"/>
                <w:b w:val="1"/>
                <w:bCs w:val="1"/>
                <w:color w:val="auto"/>
              </w:rPr>
              <w:t>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Common stock</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49,262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49,714</w:t>
            </w:r>
          </w:p>
        </w:tc>
      </w:tr>
      <w:tr>
        <w:trPr>
          <w:trHeight w:val="216"/>
        </w:trPr>
        <w:tc>
          <w:tcPr>
            <w:tcW w:w="4380" w:type="dxa"/>
            <w:vAlign w:val="bottom"/>
            <w:gridSpan w:val="3"/>
          </w:tcPr>
          <w:p>
            <w:pPr>
              <w:ind w:left="180"/>
              <w:spacing w:after="0"/>
              <w:rPr>
                <w:sz w:val="20"/>
                <w:szCs w:val="20"/>
                <w:color w:val="auto"/>
              </w:rPr>
            </w:pPr>
            <w:r>
              <w:rPr>
                <w:rFonts w:ascii="Arial" w:cs="Arial" w:eastAsia="Arial" w:hAnsi="Arial"/>
                <w:sz w:val="18"/>
                <w:szCs w:val="18"/>
                <w:color w:val="auto"/>
              </w:rPr>
              <w:t>Retained earnings</w:t>
            </w:r>
          </w:p>
        </w:tc>
        <w:tc>
          <w:tcPr>
            <w:tcW w:w="3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8"/>
                <w:szCs w:val="18"/>
                <w:color w:val="auto"/>
              </w:rPr>
              <w:t>112,325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109,710</w:t>
            </w:r>
          </w:p>
        </w:tc>
      </w:tr>
      <w:tr>
        <w:trPr>
          <w:trHeight w:val="216"/>
        </w:trPr>
        <w:tc>
          <w:tcPr>
            <w:tcW w:w="43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Accumulated other comprehensive loss</w:t>
            </w:r>
          </w:p>
        </w:tc>
        <w:tc>
          <w:tcPr>
            <w:tcW w:w="3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(1,325)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(1,394)</w:t>
            </w:r>
          </w:p>
        </w:tc>
      </w:tr>
      <w:tr>
        <w:trPr>
          <w:trHeight w:val="209"/>
        </w:trPr>
        <w:tc>
          <w:tcPr>
            <w:tcW w:w="4380" w:type="dxa"/>
            <w:vAlign w:val="bottom"/>
            <w:tcBorders>
              <w:top w:val="single" w:sz="8" w:color="CCEEFF"/>
            </w:tcBorders>
            <w:gridSpan w:val="3"/>
          </w:tcPr>
          <w:p>
            <w:pPr>
              <w:spacing w:after="0"/>
              <w:rPr>
                <w:sz w:val="20"/>
                <w:szCs w:val="20"/>
                <w:color w:val="auto"/>
              </w:rPr>
            </w:pPr>
            <w:r>
              <w:rPr>
                <w:rFonts w:ascii="Arial" w:cs="Arial" w:eastAsia="Arial" w:hAnsi="Arial"/>
                <w:sz w:val="18"/>
                <w:szCs w:val="18"/>
                <w:color w:val="auto"/>
              </w:rPr>
              <w:t>Total stockholders' equity</w:t>
            </w:r>
          </w:p>
        </w:tc>
        <w:tc>
          <w:tcPr>
            <w:tcW w:w="3620" w:type="dxa"/>
            <w:vAlign w:val="bottom"/>
            <w:tcBorders>
              <w:top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160,262</w:t>
            </w: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158,030</w:t>
            </w:r>
          </w:p>
        </w:tc>
        <w:tc>
          <w:tcPr>
            <w:tcW w:w="100" w:type="dxa"/>
            <w:vAlign w:val="bottom"/>
            <w:tcBorders>
              <w:top w:val="single" w:sz="8" w:color="CCEEFF"/>
            </w:tcBorders>
          </w:tcPr>
          <w:p>
            <w:pPr>
              <w:spacing w:after="0"/>
              <w:rPr>
                <w:sz w:val="18"/>
                <w:szCs w:val="18"/>
                <w:color w:val="auto"/>
              </w:rPr>
            </w:pPr>
          </w:p>
        </w:tc>
      </w:tr>
      <w:tr>
        <w:trPr>
          <w:trHeight w:val="250"/>
        </w:trPr>
        <w:tc>
          <w:tcPr>
            <w:tcW w:w="438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tc>
        <w:tc>
          <w:tcPr>
            <w:tcW w:w="36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418,479</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402,549</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5" w:name="page6"/>
    <w:bookmarkEnd w:id="5"/>
    <w:p>
      <w:pPr>
        <w:ind w:left="3560"/>
        <w:spacing w:after="0"/>
        <w:rPr>
          <w:sz w:val="20"/>
          <w:szCs w:val="20"/>
          <w:color w:val="auto"/>
        </w:rPr>
      </w:pPr>
      <w:r>
        <w:rPr>
          <w:rFonts w:ascii="Arial" w:cs="Arial" w:eastAsia="Arial" w:hAnsi="Arial"/>
          <w:sz w:val="18"/>
          <w:szCs w:val="18"/>
          <w:u w:val="single" w:color="auto"/>
          <w:color w:val="auto"/>
        </w:rPr>
        <w:t>PART I – FINANCIAL INFORMATION – CONTINUED</w:t>
      </w:r>
    </w:p>
    <w:p>
      <w:pPr>
        <w:spacing w:after="0" w:line="23" w:lineRule="exact"/>
        <w:rPr>
          <w:sz w:val="20"/>
          <w:szCs w:val="20"/>
          <w:color w:val="auto"/>
        </w:rPr>
      </w:pPr>
    </w:p>
    <w:p>
      <w:pPr>
        <w:ind w:left="4260"/>
        <w:spacing w:after="0"/>
        <w:rPr>
          <w:sz w:val="20"/>
          <w:szCs w:val="20"/>
          <w:color w:val="auto"/>
        </w:rPr>
      </w:pPr>
      <w:r>
        <w:rPr>
          <w:rFonts w:ascii="Arial" w:cs="Arial" w:eastAsia="Arial" w:hAnsi="Arial"/>
          <w:sz w:val="18"/>
          <w:szCs w:val="18"/>
          <w:u w:val="single" w:color="auto"/>
          <w:color w:val="auto"/>
        </w:rPr>
        <w:t>ITEM 1. FINANCIAL STATEMENTS</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ind w:left="3080"/>
        <w:spacing w:after="0"/>
        <w:rPr>
          <w:sz w:val="20"/>
          <w:szCs w:val="20"/>
          <w:color w:val="auto"/>
        </w:rPr>
      </w:pPr>
      <w:r>
        <w:rPr>
          <w:rFonts w:ascii="Arial" w:cs="Arial" w:eastAsia="Arial" w:hAnsi="Arial"/>
          <w:sz w:val="18"/>
          <w:szCs w:val="18"/>
          <w:u w:val="single" w:color="auto"/>
          <w:color w:val="auto"/>
        </w:rPr>
        <w:t>CONDENSED CONSOLIDATED STATEMENTS OF CASH FLOWS</w:t>
      </w:r>
    </w:p>
    <w:p>
      <w:pPr>
        <w:spacing w:after="0" w:line="9" w:lineRule="exact"/>
        <w:rPr>
          <w:sz w:val="20"/>
          <w:szCs w:val="20"/>
          <w:color w:val="auto"/>
        </w:rPr>
      </w:pPr>
    </w:p>
    <w:p>
      <w:pPr>
        <w:ind w:left="2800"/>
        <w:spacing w:after="0"/>
        <w:rPr>
          <w:sz w:val="20"/>
          <w:szCs w:val="20"/>
          <w:color w:val="auto"/>
        </w:rPr>
      </w:pPr>
      <w:r>
        <w:rPr>
          <w:rFonts w:ascii="Arial" w:cs="Arial" w:eastAsia="Arial" w:hAnsi="Arial"/>
          <w:sz w:val="18"/>
          <w:szCs w:val="18"/>
          <w:u w:val="single" w:color="auto"/>
          <w:color w:val="auto"/>
        </w:rPr>
        <w:t>FOR THE PERIODS ENDED MAY 29, 2021 AND MAY 30, 2020 – UNAUDITED</w:t>
      </w:r>
    </w:p>
    <w:p>
      <w:pPr>
        <w:spacing w:after="0" w:line="9" w:lineRule="exact"/>
        <w:rPr>
          <w:sz w:val="20"/>
          <w:szCs w:val="20"/>
          <w:color w:val="auto"/>
        </w:rPr>
      </w:pPr>
    </w:p>
    <w:p>
      <w:pPr>
        <w:ind w:left="5340"/>
        <w:spacing w:after="0"/>
        <w:rPr>
          <w:sz w:val="20"/>
          <w:szCs w:val="20"/>
          <w:color w:val="auto"/>
        </w:rPr>
      </w:pPr>
      <w:r>
        <w:rPr>
          <w:rFonts w:ascii="Arial" w:cs="Arial" w:eastAsia="Arial" w:hAnsi="Arial"/>
          <w:sz w:val="18"/>
          <w:szCs w:val="18"/>
          <w:color w:val="auto"/>
        </w:rPr>
        <w:t>(In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80" w:type="dxa"/>
            <w:vAlign w:val="bottom"/>
            <w:gridSpan w:val="6"/>
          </w:tcPr>
          <w:p>
            <w:pPr>
              <w:jc w:val="right"/>
              <w:ind w:right="960"/>
              <w:spacing w:after="0"/>
              <w:rPr>
                <w:sz w:val="20"/>
                <w:szCs w:val="20"/>
                <w:color w:val="auto"/>
              </w:rPr>
            </w:pPr>
            <w:r>
              <w:rPr>
                <w:rFonts w:ascii="Arial" w:cs="Arial" w:eastAsia="Arial" w:hAnsi="Arial"/>
                <w:sz w:val="18"/>
                <w:szCs w:val="18"/>
                <w:b w:val="1"/>
                <w:bCs w:val="1"/>
                <w:color w:val="auto"/>
              </w:rPr>
              <w:t>Six Months Ended</w:t>
            </w:r>
          </w:p>
        </w:tc>
      </w:tr>
      <w:tr>
        <w:trPr>
          <w:trHeight w:val="210"/>
        </w:trPr>
        <w:tc>
          <w:tcPr>
            <w:tcW w:w="80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gridSpan w:val="2"/>
          </w:tcPr>
          <w:p>
            <w:pPr>
              <w:jc w:val="right"/>
              <w:ind w:right="360"/>
              <w:spacing w:after="0"/>
              <w:rPr>
                <w:sz w:val="20"/>
                <w:szCs w:val="20"/>
                <w:color w:val="auto"/>
              </w:rPr>
            </w:pPr>
            <w:r>
              <w:rPr>
                <w:rFonts w:ascii="Arial" w:cs="Arial" w:eastAsia="Arial" w:hAnsi="Arial"/>
                <w:sz w:val="18"/>
                <w:szCs w:val="18"/>
                <w:b w:val="1"/>
                <w:bCs w:val="1"/>
                <w:color w:val="auto"/>
                <w:w w:val="96"/>
              </w:rPr>
              <w:t>May 29, 2021</w:t>
            </w:r>
          </w:p>
        </w:tc>
        <w:tc>
          <w:tcPr>
            <w:tcW w:w="8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6"/>
              </w:rPr>
              <w:t>May 30, 2020</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Net income (loss)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9,985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(19,142)</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(loss) to net cash provided by (used in) operating activities: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Depreciation and amortization</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6,893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7,239</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Gain on lease modification</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(152)</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Asset impairment charges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12,184</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Goodwill impairment charge</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1,971</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Inventory valuation charges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1,100</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2,936</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Bad debt valuation charges (recoveries)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1,074</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Deferred income taxes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1,201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(521)</w:t>
            </w:r>
          </w:p>
        </w:tc>
      </w:tr>
      <w:tr>
        <w:trPr>
          <w:trHeight w:val="216"/>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 net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255</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673</w:t>
            </w:r>
          </w:p>
        </w:tc>
      </w:tr>
      <w:tr>
        <w:trPr>
          <w:trHeight w:val="216"/>
        </w:trPr>
        <w:tc>
          <w:tcPr>
            <w:tcW w:w="8000" w:type="dxa"/>
            <w:vAlign w:val="bottom"/>
          </w:tcPr>
          <w:p>
            <w:pPr>
              <w:ind w:left="340"/>
              <w:spacing w:after="0"/>
              <w:rPr>
                <w:sz w:val="20"/>
                <w:szCs w:val="20"/>
                <w:color w:val="auto"/>
              </w:rPr>
            </w:pPr>
            <w:r>
              <w:rPr>
                <w:rFonts w:ascii="Arial" w:cs="Arial" w:eastAsia="Arial" w:hAnsi="Arial"/>
                <w:sz w:val="18"/>
                <w:szCs w:val="18"/>
                <w:color w:val="auto"/>
              </w:rPr>
              <w:t>Changes in operating assets and liabilities: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Accounts receivable</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(3,399)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2,483</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Inventories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(13,515)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883</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Other current assets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(9,091)</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Right of use assets under operating leases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12,558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14,810</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Customer deposits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8,149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(2,150)</w:t>
            </w:r>
          </w:p>
        </w:tc>
      </w:tr>
      <w:tr>
        <w:trPr>
          <w:trHeight w:val="216"/>
        </w:trPr>
        <w:tc>
          <w:tcPr>
            <w:tcW w:w="8000" w:type="dxa"/>
            <w:vAlign w:val="bottom"/>
          </w:tcPr>
          <w:p>
            <w:pPr>
              <w:ind w:left="500"/>
              <w:spacing w:after="0"/>
              <w:rPr>
                <w:sz w:val="20"/>
                <w:szCs w:val="20"/>
                <w:color w:val="auto"/>
              </w:rPr>
            </w:pPr>
            <w:r>
              <w:rPr>
                <w:rFonts w:ascii="Arial" w:cs="Arial" w:eastAsia="Arial" w:hAnsi="Arial"/>
                <w:sz w:val="18"/>
                <w:szCs w:val="18"/>
                <w:color w:val="auto"/>
              </w:rPr>
              <w:t>Accounts payable and other liabilities</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2,775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(2,670)</w:t>
            </w:r>
          </w:p>
        </w:tc>
      </w:tr>
      <w:tr>
        <w:trPr>
          <w:trHeight w:val="216"/>
        </w:trPr>
        <w:tc>
          <w:tcPr>
            <w:tcW w:w="8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Obligations under operating leases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(13,934)</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(16,274)</w:t>
            </w:r>
          </w:p>
        </w:tc>
      </w:tr>
      <w:tr>
        <w:trPr>
          <w:trHeight w:val="20"/>
        </w:trPr>
        <w:tc>
          <w:tcPr>
            <w:tcW w:w="80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ind w:left="34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1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12,050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(5,747)</w:t>
            </w:r>
          </w:p>
        </w:tc>
      </w:tr>
      <w:tr>
        <w:trPr>
          <w:trHeight w:val="210"/>
        </w:trPr>
        <w:tc>
          <w:tcPr>
            <w:tcW w:w="80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Purchases of property and equipment</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(3,483)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(1,791)</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Proceeds from sales of property and equipment</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96</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2,345</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Purchases of investments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(241)</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(335)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(211)</w:t>
            </w:r>
          </w:p>
        </w:tc>
      </w:tr>
      <w:tr>
        <w:trPr>
          <w:trHeight w:val="20"/>
        </w:trPr>
        <w:tc>
          <w:tcPr>
            <w:tcW w:w="80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Net cash provided by (used in) investing activities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(3,722)</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w:t>
            </w:r>
          </w:p>
        </w:tc>
      </w:tr>
      <w:tr>
        <w:trPr>
          <w:trHeight w:val="209"/>
        </w:trPr>
        <w:tc>
          <w:tcPr>
            <w:tcW w:w="80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Cash dividends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(4,954)</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(1,258)</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exercise of stock options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 issuance of common stock</w:t>
            </w:r>
          </w:p>
        </w:tc>
        <w:tc>
          <w:tcPr>
            <w:tcW w:w="16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172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157</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Repurchases of common stock</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(2,925)</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(1,241)</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Taxes paid related to net share settlement of equity awards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(219)</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(215)</w:t>
            </w:r>
          </w:p>
        </w:tc>
      </w:tr>
      <w:tr>
        <w:trPr>
          <w:trHeight w:val="216"/>
        </w:trPr>
        <w:tc>
          <w:tcPr>
            <w:tcW w:w="8000" w:type="dxa"/>
            <w:vAlign w:val="bottom"/>
            <w:shd w:val="clear" w:color="auto" w:fill="CCEEFF"/>
          </w:tcPr>
          <w:p>
            <w:pPr>
              <w:spacing w:after="0"/>
              <w:rPr>
                <w:sz w:val="20"/>
                <w:szCs w:val="20"/>
                <w:color w:val="auto"/>
              </w:rPr>
            </w:pPr>
            <w:r>
              <w:rPr>
                <w:rFonts w:ascii="Arial" w:cs="Arial" w:eastAsia="Arial" w:hAnsi="Arial"/>
                <w:sz w:val="18"/>
                <w:szCs w:val="18"/>
                <w:color w:val="auto"/>
              </w:rPr>
              <w:t>Repayments of finance lease obligations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(467)</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(50)</w:t>
            </w:r>
          </w:p>
        </w:tc>
      </w:tr>
      <w:tr>
        <w:trPr>
          <w:trHeight w:val="20"/>
        </w:trPr>
        <w:tc>
          <w:tcPr>
            <w:tcW w:w="80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ind w:left="340"/>
              <w:spacing w:after="0"/>
              <w:rPr>
                <w:sz w:val="20"/>
                <w:szCs w:val="20"/>
                <w:color w:val="auto"/>
              </w:rPr>
            </w:pPr>
            <w:r>
              <w:rPr>
                <w:rFonts w:ascii="Arial" w:cs="Arial" w:eastAsia="Arial" w:hAnsi="Arial"/>
                <w:sz w:val="18"/>
                <w:szCs w:val="18"/>
                <w:b w:val="1"/>
                <w:bCs w:val="1"/>
                <w:color w:val="auto"/>
              </w:rPr>
              <w:t>Net cash used in financing activities</w:t>
            </w:r>
          </w:p>
        </w:tc>
        <w:tc>
          <w:tcPr>
            <w:tcW w:w="160" w:type="dxa"/>
            <w:vAlign w:val="bottom"/>
          </w:tcPr>
          <w:p>
            <w:pPr>
              <w:spacing w:after="0"/>
              <w:rPr>
                <w:sz w:val="18"/>
                <w:szCs w:val="18"/>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(8,351)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(2,607)</w:t>
            </w:r>
          </w:p>
        </w:tc>
      </w:tr>
      <w:tr>
        <w:trPr>
          <w:trHeight w:val="20"/>
        </w:trPr>
        <w:tc>
          <w:tcPr>
            <w:tcW w:w="80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 in cash and cash equivalents</w:t>
            </w:r>
          </w:p>
        </w:tc>
        <w:tc>
          <w:tcPr>
            <w:tcW w:w="16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(8,252)</w:t>
            </w:r>
          </w:p>
        </w:tc>
      </w:tr>
      <w:tr>
        <w:trPr>
          <w:trHeight w:val="216"/>
        </w:trPr>
        <w:tc>
          <w:tcPr>
            <w:tcW w:w="8000" w:type="dxa"/>
            <w:vAlign w:val="bottom"/>
          </w:tcPr>
          <w:p>
            <w:pPr>
              <w:spacing w:after="0"/>
              <w:rPr>
                <w:sz w:val="20"/>
                <w:szCs w:val="20"/>
                <w:color w:val="auto"/>
              </w:rPr>
            </w:pPr>
            <w:r>
              <w:rPr>
                <w:rFonts w:ascii="Arial" w:cs="Arial" w:eastAsia="Arial" w:hAnsi="Arial"/>
                <w:sz w:val="18"/>
                <w:szCs w:val="18"/>
                <w:b w:val="1"/>
                <w:bCs w:val="1"/>
                <w:color w:val="auto"/>
              </w:rPr>
              <w:t>Cash and cash equivalents - beginning of period</w:t>
            </w: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45,799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19,687</w:t>
            </w:r>
          </w:p>
        </w:tc>
        <w:tc>
          <w:tcPr>
            <w:tcW w:w="100" w:type="dxa"/>
            <w:vAlign w:val="bottom"/>
          </w:tcPr>
          <w:p>
            <w:pPr>
              <w:spacing w:after="0"/>
              <w:rPr>
                <w:sz w:val="18"/>
                <w:szCs w:val="18"/>
                <w:color w:val="auto"/>
              </w:rPr>
            </w:pPr>
          </w:p>
        </w:tc>
      </w:tr>
      <w:tr>
        <w:trPr>
          <w:trHeight w:val="249"/>
        </w:trPr>
        <w:tc>
          <w:tcPr>
            <w:tcW w:w="8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 end of period</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45,776</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11,435</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to condensed consolidated financial statements are an integral part of the condensed consolidated financial statements.</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7" w:right="339" w:bottom="1440" w:gutter="0" w:footer="0" w:header="0"/>
        </w:sectPr>
      </w:pPr>
    </w:p>
    <w:bookmarkStart w:id="6" w:name="page7"/>
    <w:bookmarkEnd w:id="6"/>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References to “ASC” included hereinafter refer to the Accounting Standards Codification established by the Financial Accounting Standards Board (“FASB”) as the source of authoritative GAAP.</w:t>
      </w:r>
    </w:p>
    <w:p>
      <w:pPr>
        <w:spacing w:after="0" w:line="170"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nor any other of our counterparties represent VIEs.</w:t>
      </w:r>
    </w:p>
    <w:p>
      <w:pPr>
        <w:spacing w:after="0" w:line="15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Revenue from the sale of furniture and accessories is reported in the accompanying condensed consolidated statements of operations net of estimates for returns and allowances.</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Revenues from logistical services are generated by our wholly-owned subsidiary, Zenith Freight Lines, LLC (“Zenith”). Sales of logistical services from Zenith to our wholesale segment have been eliminated in consolidation, and Zenith’s operating costs and expenses associated with sales to external customers are reported as cost of logistical services in our condensed consolidated statements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Effective as of the beginning of fiscal 2021, we have adopted Accounting Standards Update No. 2016-13, Financial Instruments – Credit Losses (Topic 326): Measurement of Credit Losses on Financial Instruments (“ASU 2016-13”). The guidance in ASU 2016-13 replaces the incurred loss impairment methodology under previous GAAP. The new impairment model requires immediate recognition of estimated credit losses expected to occur for most financial assets and certain other instruments. We assessed the guidance under ASU 2016-13 as applied to our trade receivables and contract assets, and determined that there was no material impact to our financial condition or results of operations as a result of the adoption.</w:t>
      </w:r>
    </w:p>
    <w:p>
      <w:pPr>
        <w:spacing w:after="0" w:line="176"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Effective as of the beginning of fiscal 2021, we have adopted Accounting Standards Update No. 2018-15 – Intangibles - Goodwill and Other - Internal-Use Software (Subtopic 350-40): Customer's Accounting for Implementation Costs Incurred in a Cloud Computing Arrangement That Is a Service Contract (“ASU 2018-15”). ASU 2018-15 was issued to help entities evaluate the accounting for fees paid by a customer in a cloud computing arrangement (hosting arrangement) by providing guidance for determining when the arrangement includes a software license. The amendments in ASU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 for the service element of a hosting arrangement that is a service contract is not affected by the amendments in ASU 2018-15. We adopted ASU 2018-15 on a prospective basis and the adoption did not have a material impact upon our financial condition or results of operations.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COVID-19 Pandemic Upon our Financial Condition and Results of Operations</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On March 11, 2020, the World Health Organization declared the coronavirus (“COVID-19”) outbreak to be a global pandemic. In response to this declaration and the rapid spread of COVID-19 within the United States, federal, state and local governments throughout the country imposed varying degrees of restrictions on social and commercial activity to promote social distancing in an effort to slow the spread of the illness. These measures had a significant adverse impact upon many sectors of the economy, including non-essential retail commerce, beginning in our second fiscal quarter of 2020.</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 w:name="page8"/>
    <w:bookmarkEnd w:id="7"/>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response to the restrictive measures imposed by governmental authorities and for the protection of our employees and customers, we temporarily closed our dedicated stores, our manufacturing locations and many of our warehouses for much of the second fiscal quarter of 2020. This extended period of suspended operations had a material adverse impact upon our results of operations during the second fiscal quarter of 2020 and resulted in a significant net loss for the three and six months ended May 30, 2020. In addition to operating losses resulting from severely reduced sales volumes, we also recorded charges for goodwill impairment (Note 6) as well as for the impairment of certain other long-lived assets (Note 10). However, since restarting our manufacturing operations and reopening stores, we have seen a significant improvement in business conditions which allowed us to return to overall profitability for the third and fourth fiscal quarters of 2020 continuing through the first half of fiscal 2021. Tempering these improvements are the continuing logistical challenges faced by the entire home furnishings industry resulting from COVID-related labor shortages and supply chain disruptions creating significant delays in order fulfillment and increasing backlogs.</w:t>
      </w:r>
    </w:p>
    <w:p>
      <w:pPr>
        <w:spacing w:after="0" w:line="18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Whereas the progress in mass vaccination programs in the U.S. has prompted state and local governments to substantially lift most remaining restrictions on commercial retail activity, it is nevertheless possible that a resurgence in COVID-19 cases due to new variants of the coronavirus entering the U.S. could prompt a return to tighter restrictions in certain areas of the country. Furthermore, pandemic-related labor shortages and supply chain disruptions remain unresolved and order cancellations could result if the present delays in order fulfillment continue for an extended period of time. Therefore, uncertainty remains regarding the ongoing impact of the COVID-19 outbreak upon our financial condition and future results of operations, as well as upon the significant estimates and assumptions we utilize in reporting certain assets and liabilities.</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Interim Financial Presentation</w:t>
      </w:r>
    </w:p>
    <w:p>
      <w:pPr>
        <w:spacing w:after="0" w:line="229"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All intercompany accounts and transactions have been eliminated in the condensed consolidated financial statements. The results of operations for the three and six months ended May 29, 2021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28, 2020.</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effective tax rates for the three and six months ended May 29, 2021 of 25.8% and 27.3%, respectively, differ from the federal statutory rate of 21% primarily due to the effects of state income taxes and various permanent differences, including tax benefits (deficiencies) of $18 and ($117) during the three and six months ended May 29, 2021, respectively, arising from stock-based compensation.</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March 27, 2020 the Coronavirus Aid, Relief, and Economic Security Act (the “CARES Act”) was signed into law. A major provision of the CARES Act allowed net operating losses from the 2018, 2019 and 2020 tax years to be carried back up to five years. As a result, our effective tax rates for the three and six months ended May 30, 2020 were (36.4%) and (36.5%), respectively, which differ from the federal statutory rate of 21% primarily due to the effects of carrying back our net operating loss from fiscal 2020 to tax years in which the federal statutory rate was 35%, and to the effects of state income taxes and various permanent differences.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 w:name="page9"/>
    <w:bookmarkEnd w:id="8"/>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Financial Instruments and Fair Value Measurements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financial instruments include cash and cash equivalents, short-term investments in certificates of deposit (CDs), accounts receivable, and accounts payable. Because of their short maturities, the carrying amounts of cash and cash equivalents, short-term investments in CDs, accounts receivable, and accounts payable approximate fair value.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short-term investments of $17,715 at May 29, 2021 and November 28, 2020 consisted of CDs. At May 29, 2021, the CDs had original terms averaging eight months, bearing interest at rates ranging from 0.01% to 0.85%. At May 29, 2021, the weighted average remaining time to maturity of the CDs was approximately four months and the weighted average yield of the CDs was approximately 0.07%. Each CD is placed with a federally insured financial institution and all deposits are within federal deposit insurance limits. Due to the nature of these investments and their relatively short maturities, the carrying amount of the short-term investments at May 29, 2021 and November 28, 2020 approximates their fair value.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Measurement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The Company accounts for items measured at fair value in accordance with 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1 Inputs</w:t>
      </w:r>
      <w:r>
        <w:rPr>
          <w:rFonts w:ascii="Arial" w:cs="Arial" w:eastAsia="Arial" w:hAnsi="Arial"/>
          <w:sz w:val="18"/>
          <w:szCs w:val="18"/>
          <w:color w:val="auto"/>
        </w:rPr>
        <w:t>– Quoted prices for identical instruments in active markets.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Level 2 Inputs</w:t>
      </w:r>
      <w:r>
        <w:rPr>
          <w:rFonts w:ascii="Arial" w:cs="Arial" w:eastAsia="Arial" w:hAnsi="Arial"/>
          <w:sz w:val="18"/>
          <w:szCs w:val="18"/>
          <w:color w:val="auto"/>
        </w:rPr>
        <w:t>– Quoted prices for similar instruments in active markets; quoted prices for identical or similar instruments in markets that are not active;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model-derived valuations whose inputs are observable or whose significant value drivers are observable.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Level 3 Inputs</w:t>
      </w:r>
      <w:r>
        <w:rPr>
          <w:rFonts w:ascii="Arial" w:cs="Arial" w:eastAsia="Arial" w:hAnsi="Arial"/>
          <w:sz w:val="18"/>
          <w:szCs w:val="18"/>
          <w:color w:val="auto"/>
        </w:rPr>
        <w:t>– Instruments with primarily unobservable value drivers.</w:t>
      </w:r>
    </w:p>
    <w:p>
      <w:pPr>
        <w:spacing w:after="0" w:line="225"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We believe that the carrying amounts of our current assets and current liabilities approximate fair value due to the short-term nature of these items. Our primary non-recurring fair value estimates typically involve business acquisitions or the impairment of long-lived assets which involve a combination of Level 2 and Level 3 inputs.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 w:name="page10"/>
    <w:bookmarkEnd w:id="9"/>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60" w:type="dxa"/>
            <w:vAlign w:val="bottom"/>
            <w:gridSpan w:val="2"/>
          </w:tcPr>
          <w:p>
            <w:pPr>
              <w:spacing w:after="0"/>
              <w:rPr>
                <w:sz w:val="20"/>
                <w:szCs w:val="20"/>
                <w:color w:val="auto"/>
              </w:rPr>
            </w:pPr>
            <w:r>
              <w:rPr>
                <w:rFonts w:ascii="Arial" w:cs="Arial" w:eastAsia="Arial" w:hAnsi="Arial"/>
                <w:sz w:val="18"/>
                <w:szCs w:val="18"/>
                <w:b w:val="1"/>
                <w:bCs w:val="1"/>
                <w:color w:val="auto"/>
              </w:rPr>
              <w:t>4. Accounts Receivable</w:t>
            </w:r>
          </w:p>
        </w:tc>
        <w:tc>
          <w:tcPr>
            <w:tcW w:w="2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860" w:type="dxa"/>
            <w:vAlign w:val="bottom"/>
            <w:gridSpan w:val="2"/>
          </w:tcPr>
          <w:p>
            <w:pPr>
              <w:spacing w:after="0"/>
              <w:rPr>
                <w:sz w:val="20"/>
                <w:szCs w:val="20"/>
                <w:color w:val="auto"/>
              </w:rPr>
            </w:pPr>
            <w:r>
              <w:rPr>
                <w:rFonts w:ascii="Arial" w:cs="Arial" w:eastAsia="Arial" w:hAnsi="Arial"/>
                <w:sz w:val="18"/>
                <w:szCs w:val="18"/>
                <w:color w:val="auto"/>
              </w:rPr>
              <w:t>Accounts receivable consists of the following:</w:t>
            </w:r>
          </w:p>
        </w:tc>
        <w:tc>
          <w:tcPr>
            <w:tcW w:w="2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660" w:type="dxa"/>
            <w:vAlign w:val="bottom"/>
          </w:tcPr>
          <w:p>
            <w:pPr>
              <w:spacing w:after="0"/>
              <w:rPr>
                <w:sz w:val="24"/>
                <w:szCs w:val="24"/>
                <w:color w:val="auto"/>
              </w:rPr>
            </w:pPr>
          </w:p>
        </w:tc>
        <w:tc>
          <w:tcPr>
            <w:tcW w:w="6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gridSpan w:val="2"/>
          </w:tcPr>
          <w:p>
            <w:pPr>
              <w:jc w:val="right"/>
              <w:ind w:right="660"/>
              <w:spacing w:after="0"/>
              <w:rPr>
                <w:sz w:val="20"/>
                <w:szCs w:val="20"/>
                <w:color w:val="auto"/>
              </w:rPr>
            </w:pPr>
            <w:r>
              <w:rPr>
                <w:rFonts w:ascii="Arial" w:cs="Arial" w:eastAsia="Arial" w:hAnsi="Arial"/>
                <w:sz w:val="18"/>
                <w:szCs w:val="18"/>
                <w:color w:val="auto"/>
              </w:rPr>
              <w:t>May 29,</w:t>
            </w:r>
          </w:p>
        </w:tc>
        <w:tc>
          <w:tcPr>
            <w:tcW w:w="16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November 28,</w:t>
            </w:r>
          </w:p>
        </w:tc>
      </w:tr>
      <w:tr>
        <w:trPr>
          <w:trHeight w:val="230"/>
        </w:trPr>
        <w:tc>
          <w:tcPr>
            <w:tcW w:w="66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2021</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r>
      <w:tr>
        <w:trPr>
          <w:trHeight w:val="209"/>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Gross accounts receivable</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44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27,050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23,551</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Allowance for doubtful accounts</w:t>
            </w:r>
          </w:p>
        </w:tc>
        <w:tc>
          <w:tcPr>
            <w:tcW w:w="28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(1,168)</w:t>
            </w:r>
          </w:p>
        </w:tc>
        <w:tc>
          <w:tcPr>
            <w:tcW w:w="16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8"/>
                <w:szCs w:val="18"/>
                <w:color w:val="auto"/>
              </w:rPr>
              <w:t>(1,211)</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9"/>
        </w:trPr>
        <w:tc>
          <w:tcPr>
            <w:tcW w:w="660" w:type="dxa"/>
            <w:vAlign w:val="bottom"/>
          </w:tcPr>
          <w:p>
            <w:pPr>
              <w:spacing w:after="0"/>
              <w:rPr>
                <w:sz w:val="19"/>
                <w:szCs w:val="19"/>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Accounts receivable, net</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25,882</w:t>
            </w:r>
          </w:p>
        </w:tc>
        <w:tc>
          <w:tcPr>
            <w:tcW w:w="180" w:type="dxa"/>
            <w:vAlign w:val="bottom"/>
            <w:tcBorders>
              <w:right w:val="single" w:sz="8" w:color="CCEEFF"/>
            </w:tcBorders>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22,340</w:t>
            </w:r>
          </w:p>
        </w:tc>
      </w:tr>
      <w:tr>
        <w:trPr>
          <w:trHeight w:val="20"/>
        </w:trPr>
        <w:tc>
          <w:tcPr>
            <w:tcW w:w="660" w:type="dxa"/>
            <w:vAlign w:val="bottom"/>
          </w:tcPr>
          <w:p>
            <w:pPr>
              <w:spacing w:after="0" w:line="20" w:lineRule="exact"/>
              <w:rPr>
                <w:sz w:val="1"/>
                <w:szCs w:val="1"/>
                <w:color w:val="auto"/>
              </w:rPr>
            </w:pPr>
          </w:p>
        </w:tc>
        <w:tc>
          <w:tcPr>
            <w:tcW w:w="62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We maintain an allowance for doubtful accounts for estimated losses resulting from the inability of our customers to make required payments. The allowance for doubtful accounts is based on a review of specifically identified accounts in addition to an overall aging analysis which is applied to accounts pooled on the basis of similar risk characteristics. Judgments are made with respect to the collectibility of accounts receivable within each pool based on historical experience, current payment practices and current economic trends based on our expectations over the expected life of the receivables, which is generally ninety days or less. Actual credit losses could differ from those estimates.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20" w:type="dxa"/>
            <w:vAlign w:val="bottom"/>
            <w:gridSpan w:val="2"/>
          </w:tcPr>
          <w:p>
            <w:pPr>
              <w:spacing w:after="0"/>
              <w:rPr>
                <w:sz w:val="20"/>
                <w:szCs w:val="20"/>
                <w:color w:val="auto"/>
              </w:rPr>
            </w:pPr>
            <w:r>
              <w:rPr>
                <w:rFonts w:ascii="Arial" w:cs="Arial" w:eastAsia="Arial" w:hAnsi="Arial"/>
                <w:sz w:val="18"/>
                <w:szCs w:val="18"/>
                <w:color w:val="auto"/>
                <w:w w:val="99"/>
              </w:rPr>
              <w:t>Activity in the allowance for doubtful accounts for the six months ended May 29, 2021 was as follows:</w:t>
            </w:r>
          </w:p>
        </w:tc>
        <w:tc>
          <w:tcPr>
            <w:tcW w:w="6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6"/>
        </w:trPr>
        <w:tc>
          <w:tcPr>
            <w:tcW w:w="660" w:type="dxa"/>
            <w:vAlign w:val="bottom"/>
          </w:tcPr>
          <w:p>
            <w:pPr>
              <w:spacing w:after="0"/>
              <w:rPr>
                <w:sz w:val="18"/>
                <w:szCs w:val="18"/>
                <w:color w:val="auto"/>
              </w:rPr>
            </w:pPr>
          </w:p>
        </w:tc>
        <w:tc>
          <w:tcPr>
            <w:tcW w:w="73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736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28, 2020</w:t>
            </w:r>
          </w:p>
        </w:tc>
        <w:tc>
          <w:tcPr>
            <w:tcW w:w="62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1,211</w:t>
            </w:r>
          </w:p>
        </w:tc>
      </w:tr>
      <w:tr>
        <w:trPr>
          <w:trHeight w:val="216"/>
        </w:trPr>
        <w:tc>
          <w:tcPr>
            <w:tcW w:w="660" w:type="dxa"/>
            <w:vAlign w:val="bottom"/>
          </w:tcPr>
          <w:p>
            <w:pPr>
              <w:spacing w:after="0"/>
              <w:rPr>
                <w:sz w:val="18"/>
                <w:szCs w:val="18"/>
                <w:color w:val="auto"/>
              </w:rPr>
            </w:pPr>
          </w:p>
        </w:tc>
        <w:tc>
          <w:tcPr>
            <w:tcW w:w="7360" w:type="dxa"/>
            <w:vAlign w:val="bottom"/>
          </w:tcPr>
          <w:p>
            <w:pPr>
              <w:spacing w:after="0"/>
              <w:rPr>
                <w:sz w:val="20"/>
                <w:szCs w:val="20"/>
                <w:color w:val="auto"/>
              </w:rPr>
            </w:pPr>
            <w:r>
              <w:rPr>
                <w:rFonts w:ascii="Arial" w:cs="Arial" w:eastAsia="Arial" w:hAnsi="Arial"/>
                <w:sz w:val="18"/>
                <w:szCs w:val="18"/>
                <w:color w:val="auto"/>
              </w:rPr>
              <w:t>Reductions to allowance</w:t>
            </w:r>
          </w:p>
        </w:tc>
        <w:tc>
          <w:tcPr>
            <w:tcW w:w="62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(43)</w:t>
            </w:r>
          </w:p>
        </w:tc>
      </w:tr>
      <w:tr>
        <w:trPr>
          <w:trHeight w:val="249"/>
        </w:trPr>
        <w:tc>
          <w:tcPr>
            <w:tcW w:w="660" w:type="dxa"/>
            <w:vAlign w:val="bottom"/>
          </w:tcPr>
          <w:p>
            <w:pPr>
              <w:spacing w:after="0"/>
              <w:rPr>
                <w:sz w:val="21"/>
                <w:szCs w:val="21"/>
                <w:color w:val="auto"/>
              </w:rPr>
            </w:pPr>
          </w:p>
        </w:tc>
        <w:tc>
          <w:tcPr>
            <w:tcW w:w="7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May 29, 2021</w:t>
            </w:r>
          </w:p>
        </w:tc>
        <w:tc>
          <w:tcPr>
            <w:tcW w:w="620" w:type="dxa"/>
            <w:vAlign w:val="bottom"/>
            <w:tcBorders>
              <w:top w:val="single" w:sz="8" w:color="auto"/>
              <w:bottom w:val="single" w:sz="8" w:color="auto"/>
            </w:tcBorders>
            <w:shd w:val="clear" w:color="auto" w:fill="CCEEFF"/>
          </w:tcPr>
          <w:p>
            <w:pPr>
              <w:jc w:val="right"/>
              <w:ind w:right="43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1,168</w:t>
            </w: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Arial" w:cs="Arial" w:eastAsia="Arial" w:hAnsi="Arial"/>
          <w:sz w:val="18"/>
          <w:szCs w:val="18"/>
          <w:i w:val="1"/>
          <w:iCs w:val="1"/>
          <w:color w:val="auto"/>
        </w:rPr>
        <w:t>Fair</w:t>
      </w:r>
      <w:r>
        <w:rPr>
          <w:rFonts w:ascii="Arial" w:cs="Arial" w:eastAsia="Arial" w:hAnsi="Arial"/>
          <w:sz w:val="18"/>
          <w:szCs w:val="18"/>
          <w:color w:val="auto"/>
        </w:rPr>
        <w:t xml:space="preserve"> </w:t>
      </w:r>
      <w:r>
        <w:rPr>
          <w:rFonts w:ascii="Arial" w:cs="Arial" w:eastAsia="Arial" w:hAnsi="Arial"/>
          <w:sz w:val="18"/>
          <w:szCs w:val="18"/>
          <w:i w:val="1"/>
          <w:iCs w:val="1"/>
          <w:color w:val="auto"/>
        </w:rPr>
        <w:t>Value Measurements and Disclosures</w:t>
      </w:r>
      <w:r>
        <w:rPr>
          <w:rFonts w:ascii="Arial" w:cs="Arial" w:eastAsia="Arial" w:hAnsi="Arial"/>
          <w:sz w:val="18"/>
          <w:szCs w:val="18"/>
          <w:color w:val="auto"/>
        </w:rPr>
        <w:t>. See Note 3.</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0" w:name="page11"/>
    <w:bookmarkEnd w:id="10"/>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Inventories</w:t>
      </w:r>
    </w:p>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Domestic furniture inventories are valued at the lower of cost, which is determined using the last-in, first-out (LIFO) method, or market. Imported inventories and those applicable to our Lane Venture and Bassett Outdoor lines are valued at the lower of cost, which is determined using the first-in, first-out (FIFO) method, or net realizable value.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60" w:type="dxa"/>
            <w:vAlign w:val="bottom"/>
            <w:gridSpan w:val="2"/>
          </w:tcPr>
          <w:p>
            <w:pPr>
              <w:spacing w:after="0"/>
              <w:rPr>
                <w:sz w:val="20"/>
                <w:szCs w:val="20"/>
                <w:color w:val="auto"/>
              </w:rPr>
            </w:pPr>
            <w:r>
              <w:rPr>
                <w:rFonts w:ascii="Arial" w:cs="Arial" w:eastAsia="Arial" w:hAnsi="Arial"/>
                <w:sz w:val="18"/>
                <w:szCs w:val="18"/>
                <w:color w:val="auto"/>
              </w:rPr>
              <w:t>Inventories were comprised of the following:</w:t>
            </w:r>
          </w:p>
        </w:tc>
        <w:tc>
          <w:tcPr>
            <w:tcW w:w="2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8"/>
        </w:trPr>
        <w:tc>
          <w:tcPr>
            <w:tcW w:w="660" w:type="dxa"/>
            <w:vAlign w:val="bottom"/>
          </w:tcPr>
          <w:p>
            <w:pPr>
              <w:spacing w:after="0"/>
              <w:rPr>
                <w:sz w:val="24"/>
                <w:szCs w:val="24"/>
                <w:color w:val="auto"/>
              </w:rPr>
            </w:pPr>
          </w:p>
        </w:tc>
        <w:tc>
          <w:tcPr>
            <w:tcW w:w="6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gridSpan w:val="2"/>
          </w:tcPr>
          <w:p>
            <w:pPr>
              <w:jc w:val="right"/>
              <w:ind w:right="660"/>
              <w:spacing w:after="0"/>
              <w:rPr>
                <w:sz w:val="20"/>
                <w:szCs w:val="20"/>
                <w:color w:val="auto"/>
              </w:rPr>
            </w:pPr>
            <w:r>
              <w:rPr>
                <w:rFonts w:ascii="Arial" w:cs="Arial" w:eastAsia="Arial" w:hAnsi="Arial"/>
                <w:sz w:val="18"/>
                <w:szCs w:val="18"/>
                <w:color w:val="auto"/>
              </w:rPr>
              <w:t>May 29,</w:t>
            </w:r>
          </w:p>
        </w:tc>
        <w:tc>
          <w:tcPr>
            <w:tcW w:w="16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November 28,</w:t>
            </w:r>
          </w:p>
        </w:tc>
      </w:tr>
      <w:tr>
        <w:trPr>
          <w:trHeight w:val="230"/>
        </w:trPr>
        <w:tc>
          <w:tcPr>
            <w:tcW w:w="66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2021</w:t>
            </w:r>
          </w:p>
        </w:tc>
        <w:tc>
          <w:tcPr>
            <w:tcW w:w="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20"/>
                <w:szCs w:val="20"/>
                <w:color w:val="auto"/>
              </w:rPr>
            </w:pPr>
          </w:p>
        </w:tc>
      </w:tr>
      <w:tr>
        <w:trPr>
          <w:trHeight w:val="209"/>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Wholesale finished goods</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30,979</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25,001</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Work in process</w:t>
            </w:r>
          </w:p>
        </w:tc>
        <w:tc>
          <w:tcPr>
            <w:tcW w:w="2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678</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516</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Raw materials and supplies</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19,474</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14,836</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Retail merchandise</w:t>
            </w:r>
          </w:p>
        </w:tc>
        <w:tc>
          <w:tcPr>
            <w:tcW w:w="2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29,866</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27,946</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Total inventories on first-in, first-out method</w:t>
            </w:r>
          </w:p>
        </w:tc>
        <w:tc>
          <w:tcPr>
            <w:tcW w:w="2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80,997</w:t>
            </w:r>
          </w:p>
        </w:tc>
        <w:tc>
          <w:tcPr>
            <w:tcW w:w="18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68,299</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LIFO adjustment</w:t>
            </w:r>
          </w:p>
        </w:tc>
        <w:tc>
          <w:tcPr>
            <w:tcW w:w="280" w:type="dxa"/>
            <w:vAlign w:val="bottom"/>
          </w:tcPr>
          <w:p>
            <w:pPr>
              <w:spacing w:after="0"/>
              <w:rPr>
                <w:sz w:val="18"/>
                <w:szCs w:val="18"/>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(9,422)</w:t>
            </w:r>
          </w:p>
        </w:tc>
        <w:tc>
          <w:tcPr>
            <w:tcW w:w="16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8"/>
                <w:szCs w:val="18"/>
                <w:color w:val="auto"/>
              </w:rPr>
              <w:t>(8,891)</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Reserve for excess and obsolete inventory</w:t>
            </w:r>
          </w:p>
        </w:tc>
        <w:tc>
          <w:tcPr>
            <w:tcW w:w="280" w:type="dxa"/>
            <w:vAlign w:val="bottom"/>
            <w:shd w:val="clear" w:color="auto" w:fill="CCEEFF"/>
          </w:tcPr>
          <w:p>
            <w:pPr>
              <w:spacing w:after="0"/>
              <w:rPr>
                <w:sz w:val="18"/>
                <w:szCs w:val="18"/>
                <w:color w:val="auto"/>
              </w:rPr>
            </w:pPr>
          </w:p>
        </w:tc>
        <w:tc>
          <w:tcPr>
            <w:tcW w:w="14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(4,274)</w:t>
            </w:r>
          </w:p>
        </w:tc>
        <w:tc>
          <w:tcPr>
            <w:tcW w:w="16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(4,522)</w:t>
            </w:r>
          </w:p>
        </w:tc>
      </w:tr>
      <w:tr>
        <w:trPr>
          <w:trHeight w:val="20"/>
        </w:trPr>
        <w:tc>
          <w:tcPr>
            <w:tcW w:w="660" w:type="dxa"/>
            <w:vAlign w:val="bottom"/>
          </w:tcPr>
          <w:p>
            <w:pPr>
              <w:spacing w:after="0" w:line="20" w:lineRule="exact"/>
              <w:rPr>
                <w:sz w:val="1"/>
                <w:szCs w:val="1"/>
                <w:color w:val="auto"/>
              </w:rPr>
            </w:pPr>
          </w:p>
        </w:tc>
        <w:tc>
          <w:tcPr>
            <w:tcW w:w="620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67,301</w:t>
            </w:r>
          </w:p>
        </w:tc>
        <w:tc>
          <w:tcPr>
            <w:tcW w:w="1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54,886</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Activity in the reserves for excess quantities and obsolete inventory by segment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20" w:type="dxa"/>
            <w:vAlign w:val="bottom"/>
            <w:gridSpan w:val="2"/>
          </w:tcPr>
          <w:p>
            <w:pPr>
              <w:jc w:val="right"/>
              <w:ind w:right="600"/>
              <w:spacing w:after="0"/>
              <w:rPr>
                <w:sz w:val="20"/>
                <w:szCs w:val="20"/>
                <w:color w:val="auto"/>
              </w:rPr>
            </w:pPr>
            <w:r>
              <w:rPr>
                <w:rFonts w:ascii="Arial" w:cs="Arial" w:eastAsia="Arial" w:hAnsi="Arial"/>
                <w:sz w:val="18"/>
                <w:szCs w:val="18"/>
                <w:color w:val="auto"/>
              </w:rPr>
              <w:t>Wholesale</w:t>
            </w: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5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20" w:type="dxa"/>
            <w:vAlign w:val="bottom"/>
            <w:gridSpan w:val="2"/>
          </w:tcPr>
          <w:p>
            <w:pPr>
              <w:jc w:val="right"/>
              <w:ind w:right="680"/>
              <w:spacing w:after="0"/>
              <w:rPr>
                <w:sz w:val="20"/>
                <w:szCs w:val="20"/>
                <w:color w:val="auto"/>
              </w:rPr>
            </w:pPr>
            <w:r>
              <w:rPr>
                <w:rFonts w:ascii="Arial" w:cs="Arial" w:eastAsia="Arial" w:hAnsi="Arial"/>
                <w:sz w:val="18"/>
                <w:szCs w:val="18"/>
                <w:color w:val="auto"/>
              </w:rPr>
              <w:t>Segment</w:t>
            </w:r>
          </w:p>
        </w:tc>
        <w:tc>
          <w:tcPr>
            <w:tcW w:w="140" w:type="dxa"/>
            <w:vAlign w:val="bottom"/>
          </w:tcPr>
          <w:p>
            <w:pPr>
              <w:spacing w:after="0"/>
              <w:rPr>
                <w:sz w:val="20"/>
                <w:szCs w:val="20"/>
                <w:color w:val="auto"/>
              </w:rPr>
            </w:pPr>
          </w:p>
        </w:tc>
        <w:tc>
          <w:tcPr>
            <w:tcW w:w="1560" w:type="dxa"/>
            <w:vAlign w:val="bottom"/>
            <w:gridSpan w:val="2"/>
          </w:tcPr>
          <w:p>
            <w:pPr>
              <w:jc w:val="right"/>
              <w:ind w:right="400"/>
              <w:spacing w:after="0"/>
              <w:rPr>
                <w:sz w:val="20"/>
                <w:szCs w:val="20"/>
                <w:color w:val="auto"/>
              </w:rPr>
            </w:pPr>
            <w:r>
              <w:rPr>
                <w:rFonts w:ascii="Arial" w:cs="Arial" w:eastAsia="Arial" w:hAnsi="Arial"/>
                <w:sz w:val="18"/>
                <w:szCs w:val="18"/>
                <w:color w:val="auto"/>
                <w:w w:val="92"/>
              </w:rPr>
              <w:t>Retail Segment</w:t>
            </w:r>
          </w:p>
        </w:tc>
        <w:tc>
          <w:tcPr>
            <w:tcW w:w="32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Total</w:t>
            </w:r>
          </w:p>
        </w:tc>
      </w:tr>
      <w:tr>
        <w:trPr>
          <w:trHeight w:val="210"/>
        </w:trPr>
        <w:tc>
          <w:tcPr>
            <w:tcW w:w="5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Balance at November 28, 2020</w:t>
            </w: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3,421</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1,101</w:t>
            </w:r>
          </w:p>
        </w:tc>
        <w:tc>
          <w:tcPr>
            <w:tcW w:w="320" w:type="dxa"/>
            <w:vAlign w:val="bottom"/>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4,522</w:t>
            </w:r>
          </w:p>
        </w:tc>
      </w:tr>
      <w:tr>
        <w:trPr>
          <w:trHeight w:val="216"/>
        </w:trPr>
        <w:tc>
          <w:tcPr>
            <w:tcW w:w="5080" w:type="dxa"/>
            <w:vAlign w:val="bottom"/>
          </w:tcPr>
          <w:p>
            <w:pPr>
              <w:spacing w:after="0"/>
              <w:rPr>
                <w:sz w:val="20"/>
                <w:szCs w:val="20"/>
                <w:color w:val="auto"/>
              </w:rPr>
            </w:pPr>
            <w:r>
              <w:rPr>
                <w:rFonts w:ascii="Arial" w:cs="Arial" w:eastAsia="Arial" w:hAnsi="Arial"/>
                <w:sz w:val="18"/>
                <w:szCs w:val="18"/>
                <w:color w:val="auto"/>
              </w:rPr>
              <w:t>Additions charged to expense</w:t>
            </w:r>
          </w:p>
        </w:tc>
        <w:tc>
          <w:tcPr>
            <w:tcW w:w="220" w:type="dxa"/>
            <w:vAlign w:val="bottom"/>
          </w:tcPr>
          <w:p>
            <w:pPr>
              <w:spacing w:after="0"/>
              <w:rPr>
                <w:sz w:val="18"/>
                <w:szCs w:val="18"/>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579</w:t>
            </w:r>
          </w:p>
        </w:tc>
        <w:tc>
          <w:tcPr>
            <w:tcW w:w="140" w:type="dxa"/>
            <w:vAlign w:val="bottom"/>
          </w:tcPr>
          <w:p>
            <w:pPr>
              <w:spacing w:after="0"/>
              <w:rPr>
                <w:sz w:val="18"/>
                <w:szCs w:val="18"/>
                <w:color w:val="auto"/>
              </w:rPr>
            </w:pPr>
          </w:p>
        </w:tc>
        <w:tc>
          <w:tcPr>
            <w:tcW w:w="1560" w:type="dxa"/>
            <w:vAlign w:val="bottom"/>
            <w:gridSpan w:val="2"/>
          </w:tcPr>
          <w:p>
            <w:pPr>
              <w:jc w:val="right"/>
              <w:ind w:right="200"/>
              <w:spacing w:after="0"/>
              <w:rPr>
                <w:sz w:val="20"/>
                <w:szCs w:val="20"/>
                <w:color w:val="auto"/>
              </w:rPr>
            </w:pPr>
            <w:r>
              <w:rPr>
                <w:rFonts w:ascii="Arial" w:cs="Arial" w:eastAsia="Arial" w:hAnsi="Arial"/>
                <w:sz w:val="18"/>
                <w:szCs w:val="18"/>
                <w:color w:val="auto"/>
              </w:rPr>
              <w:t>521</w:t>
            </w:r>
          </w:p>
        </w:tc>
        <w:tc>
          <w:tcPr>
            <w:tcW w:w="320" w:type="dxa"/>
            <w:vAlign w:val="bottom"/>
          </w:tcPr>
          <w:p>
            <w:pPr>
              <w:spacing w:after="0"/>
              <w:rPr>
                <w:sz w:val="18"/>
                <w:szCs w:val="18"/>
                <w:color w:val="auto"/>
              </w:rPr>
            </w:pPr>
          </w:p>
        </w:tc>
        <w:tc>
          <w:tcPr>
            <w:tcW w:w="1260" w:type="dxa"/>
            <w:vAlign w:val="bottom"/>
            <w:gridSpan w:val="2"/>
          </w:tcPr>
          <w:p>
            <w:pPr>
              <w:jc w:val="right"/>
              <w:ind w:right="80"/>
              <w:spacing w:after="0"/>
              <w:rPr>
                <w:sz w:val="20"/>
                <w:szCs w:val="20"/>
                <w:color w:val="auto"/>
              </w:rPr>
            </w:pPr>
            <w:r>
              <w:rPr>
                <w:rFonts w:ascii="Arial" w:cs="Arial" w:eastAsia="Arial" w:hAnsi="Arial"/>
                <w:sz w:val="18"/>
                <w:szCs w:val="18"/>
                <w:color w:val="auto"/>
              </w:rPr>
              <w:t>1,100</w:t>
            </w:r>
          </w:p>
        </w:tc>
      </w:tr>
      <w:tr>
        <w:trPr>
          <w:trHeight w:val="216"/>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2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(845)</w:t>
            </w:r>
          </w:p>
        </w:tc>
        <w:tc>
          <w:tcPr>
            <w:tcW w:w="14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(503)</w:t>
            </w: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(1,348)</w:t>
            </w:r>
          </w:p>
        </w:tc>
      </w:tr>
      <w:tr>
        <w:trPr>
          <w:trHeight w:val="20"/>
        </w:trPr>
        <w:tc>
          <w:tcPr>
            <w:tcW w:w="50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r>
      <w:tr>
        <w:trPr>
          <w:trHeight w:val="210"/>
        </w:trPr>
        <w:tc>
          <w:tcPr>
            <w:tcW w:w="5080" w:type="dxa"/>
            <w:vAlign w:val="bottom"/>
          </w:tcPr>
          <w:p>
            <w:pPr>
              <w:spacing w:after="0"/>
              <w:rPr>
                <w:sz w:val="20"/>
                <w:szCs w:val="20"/>
                <w:color w:val="auto"/>
              </w:rPr>
            </w:pPr>
            <w:r>
              <w:rPr>
                <w:rFonts w:ascii="Arial" w:cs="Arial" w:eastAsia="Arial" w:hAnsi="Arial"/>
                <w:sz w:val="18"/>
                <w:szCs w:val="18"/>
                <w:color w:val="auto"/>
              </w:rPr>
              <w:t>Balance at May 29, 2021</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3,155</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60" w:type="dxa"/>
            <w:vAlign w:val="bottom"/>
            <w:gridSpan w:val="2"/>
          </w:tcPr>
          <w:p>
            <w:pPr>
              <w:jc w:val="right"/>
              <w:ind w:right="200"/>
              <w:spacing w:after="0"/>
              <w:rPr>
                <w:sz w:val="20"/>
                <w:szCs w:val="20"/>
                <w:color w:val="auto"/>
              </w:rPr>
            </w:pPr>
            <w:r>
              <w:rPr>
                <w:rFonts w:ascii="Arial" w:cs="Arial" w:eastAsia="Arial" w:hAnsi="Arial"/>
                <w:sz w:val="18"/>
                <w:szCs w:val="18"/>
                <w:color w:val="auto"/>
              </w:rPr>
              <w:t>1,119</w:t>
            </w:r>
          </w:p>
        </w:tc>
        <w:tc>
          <w:tcPr>
            <w:tcW w:w="320" w:type="dxa"/>
            <w:vAlign w:val="bottom"/>
          </w:tcPr>
          <w:p>
            <w:pPr>
              <w:jc w:val="right"/>
              <w:ind w:right="167"/>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80"/>
              <w:spacing w:after="0"/>
              <w:rPr>
                <w:sz w:val="20"/>
                <w:szCs w:val="20"/>
                <w:color w:val="auto"/>
              </w:rPr>
            </w:pPr>
            <w:r>
              <w:rPr>
                <w:rFonts w:ascii="Arial" w:cs="Arial" w:eastAsia="Arial" w:hAnsi="Arial"/>
                <w:sz w:val="18"/>
                <w:szCs w:val="18"/>
                <w:color w:val="auto"/>
              </w:rPr>
              <w:t>4,274</w:t>
            </w:r>
          </w:p>
        </w:tc>
      </w:tr>
      <w:tr>
        <w:trPr>
          <w:trHeight w:val="20"/>
        </w:trPr>
        <w:tc>
          <w:tcPr>
            <w:tcW w:w="50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estimates and assumptions have been reasonably accurate in the past. We have not made any significant changes to our methodology for determining inventory reserves in 2021 and do not anticipate that our methodology is likely to change in the future.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1" w:name="page12"/>
    <w:bookmarkEnd w:id="11"/>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60" w:type="dxa"/>
            <w:vAlign w:val="bottom"/>
          </w:tcPr>
          <w:p>
            <w:pPr>
              <w:spacing w:after="0"/>
              <w:rPr>
                <w:sz w:val="20"/>
                <w:szCs w:val="20"/>
                <w:color w:val="auto"/>
              </w:rPr>
            </w:pPr>
            <w:r>
              <w:rPr>
                <w:rFonts w:ascii="Arial" w:cs="Arial" w:eastAsia="Arial" w:hAnsi="Arial"/>
                <w:sz w:val="18"/>
                <w:szCs w:val="18"/>
                <w:b w:val="1"/>
                <w:bCs w:val="1"/>
                <w:color w:val="auto"/>
              </w:rPr>
              <w:t>6. Goodwill and Other Intangible Assets</w:t>
            </w: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460" w:type="dxa"/>
            <w:vAlign w:val="bottom"/>
          </w:tcPr>
          <w:p>
            <w:pPr>
              <w:spacing w:after="0"/>
              <w:rPr>
                <w:sz w:val="20"/>
                <w:szCs w:val="20"/>
                <w:color w:val="auto"/>
              </w:rPr>
            </w:pPr>
            <w:r>
              <w:rPr>
                <w:rFonts w:ascii="Arial" w:cs="Arial" w:eastAsia="Arial" w:hAnsi="Arial"/>
                <w:sz w:val="18"/>
                <w:szCs w:val="18"/>
                <w:color w:val="auto"/>
              </w:rPr>
              <w:t>Goodwill and other intangible assets consisted of the following:</w:t>
            </w: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5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2"/>
          </w:tcPr>
          <w:p>
            <w:pPr>
              <w:jc w:val="right"/>
              <w:ind w:right="360"/>
              <w:spacing w:after="0"/>
              <w:rPr>
                <w:sz w:val="20"/>
                <w:szCs w:val="20"/>
                <w:color w:val="auto"/>
              </w:rPr>
            </w:pPr>
            <w:r>
              <w:rPr>
                <w:rFonts w:ascii="Arial" w:cs="Arial" w:eastAsia="Arial" w:hAnsi="Arial"/>
                <w:sz w:val="18"/>
                <w:szCs w:val="18"/>
                <w:b w:val="1"/>
                <w:bCs w:val="1"/>
                <w:color w:val="auto"/>
                <w:w w:val="96"/>
              </w:rPr>
              <w:t>May 29, 2021</w:t>
            </w: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91"/>
        </w:trPr>
        <w:tc>
          <w:tcPr>
            <w:tcW w:w="54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4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8"/>
              </w:rPr>
              <w:t>Gross</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Carrying</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5"/>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Intangible</w:t>
            </w:r>
          </w:p>
        </w:tc>
      </w:tr>
      <w:tr>
        <w:trPr>
          <w:trHeight w:val="234"/>
        </w:trPr>
        <w:tc>
          <w:tcPr>
            <w:tcW w:w="5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Amount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3"/>
              </w:rPr>
              <w:t>Assets, Net</w:t>
            </w:r>
          </w:p>
        </w:tc>
      </w:tr>
      <w:tr>
        <w:trPr>
          <w:trHeight w:val="210"/>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8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Customer relationships</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3,550</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(1,476)</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2,074</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Technology - customized applications</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(755)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w:t>
            </w:r>
          </w:p>
        </w:tc>
      </w:tr>
      <w:tr>
        <w:trPr>
          <w:trHeight w:val="210"/>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intangible assets subject to amortization</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4,384</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(2,231)</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2,153</w:t>
            </w:r>
          </w:p>
        </w:tc>
      </w:tr>
      <w:tr>
        <w:trPr>
          <w:trHeight w:val="197"/>
        </w:trPr>
        <w:tc>
          <w:tcPr>
            <w:tcW w:w="5460" w:type="dxa"/>
            <w:vAlign w:val="bottom"/>
            <w:tcBorders>
              <w:top w:val="single" w:sz="8" w:color="CCEEFF"/>
            </w:tcBorders>
          </w:tcPr>
          <w:p>
            <w:pPr>
              <w:spacing w:after="0"/>
              <w:rPr>
                <w:sz w:val="17"/>
                <w:szCs w:val="17"/>
                <w:color w:val="auto"/>
              </w:rPr>
            </w:pPr>
          </w:p>
        </w:tc>
        <w:tc>
          <w:tcPr>
            <w:tcW w:w="86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Trade names</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Goodwill</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12,146</w:t>
            </w:r>
          </w:p>
        </w:tc>
      </w:tr>
      <w:tr>
        <w:trPr>
          <w:trHeight w:val="209"/>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8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23,637</w:t>
            </w:r>
          </w:p>
        </w:tc>
      </w:tr>
      <w:tr>
        <w:trPr>
          <w:trHeight w:val="439"/>
        </w:trPr>
        <w:tc>
          <w:tcPr>
            <w:tcW w:w="5460" w:type="dxa"/>
            <w:vAlign w:val="bottom"/>
            <w:tcBorders>
              <w:top w:val="single" w:sz="8" w:color="CCEEFF"/>
            </w:tcBorders>
          </w:tcPr>
          <w:p>
            <w:pPr>
              <w:spacing w:after="0"/>
              <w:rPr>
                <w:sz w:val="24"/>
                <w:szCs w:val="24"/>
                <w:color w:val="auto"/>
              </w:rPr>
            </w:pPr>
          </w:p>
        </w:tc>
        <w:tc>
          <w:tcPr>
            <w:tcW w:w="860" w:type="dxa"/>
            <w:vAlign w:val="bottom"/>
            <w:tcBorders>
              <w:top w:val="single" w:sz="8" w:color="CCEEFF"/>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24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720" w:type="dxa"/>
            <w:vAlign w:val="bottom"/>
            <w:tcBorders>
              <w:top w:val="single" w:sz="8" w:color="CCEEFF"/>
              <w:bottom w:val="single" w:sz="8" w:color="auto"/>
            </w:tcBorders>
            <w:gridSpan w:val="4"/>
          </w:tcPr>
          <w:p>
            <w:pPr>
              <w:jc w:val="right"/>
              <w:ind w:right="140"/>
              <w:spacing w:after="0"/>
              <w:rPr>
                <w:sz w:val="20"/>
                <w:szCs w:val="20"/>
                <w:color w:val="auto"/>
              </w:rPr>
            </w:pPr>
            <w:r>
              <w:rPr>
                <w:rFonts w:ascii="Arial" w:cs="Arial" w:eastAsia="Arial" w:hAnsi="Arial"/>
                <w:sz w:val="18"/>
                <w:szCs w:val="18"/>
                <w:b w:val="1"/>
                <w:bCs w:val="1"/>
                <w:color w:val="auto"/>
                <w:w w:val="95"/>
              </w:rPr>
              <w:t>November 28, 2020</w:t>
            </w:r>
          </w:p>
        </w:tc>
        <w:tc>
          <w:tcPr>
            <w:tcW w:w="80" w:type="dxa"/>
            <w:vAlign w:val="bottom"/>
            <w:tcBorders>
              <w:top w:val="single" w:sz="8" w:color="CCEEFF"/>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2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191"/>
        </w:trPr>
        <w:tc>
          <w:tcPr>
            <w:tcW w:w="54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340" w:type="dxa"/>
            <w:vAlign w:val="bottom"/>
            <w:gridSpan w:val="2"/>
          </w:tcPr>
          <w:p>
            <w:pPr>
              <w:jc w:val="center"/>
              <w:ind w:right="320"/>
              <w:spacing w:after="0" w:line="191" w:lineRule="exact"/>
              <w:rPr>
                <w:sz w:val="20"/>
                <w:szCs w:val="20"/>
                <w:color w:val="auto"/>
              </w:rPr>
            </w:pPr>
            <w:r>
              <w:rPr>
                <w:rFonts w:ascii="Arial" w:cs="Arial" w:eastAsia="Arial" w:hAnsi="Arial"/>
                <w:sz w:val="18"/>
                <w:szCs w:val="18"/>
                <w:b w:val="1"/>
                <w:bCs w:val="1"/>
                <w:color w:val="auto"/>
                <w:w w:val="88"/>
              </w:rPr>
              <w:t>Gross</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Carrying</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5"/>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Intangible</w:t>
            </w:r>
          </w:p>
        </w:tc>
      </w:tr>
      <w:tr>
        <w:trPr>
          <w:trHeight w:val="234"/>
        </w:trPr>
        <w:tc>
          <w:tcPr>
            <w:tcW w:w="5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Amount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3"/>
              </w:rPr>
              <w:t>Assets, Net</w:t>
            </w:r>
          </w:p>
        </w:tc>
      </w:tr>
      <w:tr>
        <w:trPr>
          <w:trHeight w:val="210"/>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subject to amortization</w:t>
            </w:r>
          </w:p>
        </w:tc>
        <w:tc>
          <w:tcPr>
            <w:tcW w:w="8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Customer relationships</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3,550</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(1,346)</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2,204</w:t>
            </w:r>
          </w:p>
        </w:tc>
      </w:tr>
      <w:tr>
        <w:trPr>
          <w:trHeight w:val="216"/>
        </w:trPr>
        <w:tc>
          <w:tcPr>
            <w:tcW w:w="54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Technology - customized applications</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(695)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w:t>
            </w:r>
          </w:p>
        </w:tc>
      </w:tr>
      <w:tr>
        <w:trPr>
          <w:trHeight w:val="210"/>
        </w:trPr>
        <w:tc>
          <w:tcPr>
            <w:tcW w:w="5460" w:type="dxa"/>
            <w:vAlign w:val="bottom"/>
            <w:tcBorders>
              <w:top w:val="single" w:sz="8" w:color="CCEEFF"/>
            </w:tcBorders>
          </w:tcPr>
          <w:p>
            <w:pPr>
              <w:spacing w:after="0"/>
              <w:rPr>
                <w:sz w:val="18"/>
                <w:szCs w:val="18"/>
                <w:color w:val="auto"/>
              </w:rPr>
            </w:pPr>
          </w:p>
        </w:tc>
        <w:tc>
          <w:tcPr>
            <w:tcW w:w="86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54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intangible assets subject to amortization</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4,384</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(2,041)</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2,343</w:t>
            </w:r>
          </w:p>
        </w:tc>
      </w:tr>
      <w:tr>
        <w:trPr>
          <w:trHeight w:val="197"/>
        </w:trPr>
        <w:tc>
          <w:tcPr>
            <w:tcW w:w="5460" w:type="dxa"/>
            <w:vAlign w:val="bottom"/>
            <w:tcBorders>
              <w:top w:val="single" w:sz="8" w:color="CCEEFF"/>
            </w:tcBorders>
          </w:tcPr>
          <w:p>
            <w:pPr>
              <w:spacing w:after="0"/>
              <w:rPr>
                <w:sz w:val="17"/>
                <w:szCs w:val="17"/>
                <w:color w:val="auto"/>
              </w:rPr>
            </w:pPr>
          </w:p>
        </w:tc>
        <w:tc>
          <w:tcPr>
            <w:tcW w:w="86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Intangibles not subject to amortization:</w:t>
            </w: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Trade names</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9,338</w:t>
            </w:r>
          </w:p>
        </w:tc>
      </w:tr>
      <w:tr>
        <w:trPr>
          <w:trHeight w:val="216"/>
        </w:trPr>
        <w:tc>
          <w:tcPr>
            <w:tcW w:w="5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Goodwill</w:t>
            </w:r>
          </w:p>
        </w:tc>
        <w:tc>
          <w:tcPr>
            <w:tcW w:w="8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3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12,146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gridSpan w:val="2"/>
          </w:tcPr>
          <w:p>
            <w:pPr>
              <w:spacing w:after="0"/>
              <w:rPr>
                <w:sz w:val="18"/>
                <w:szCs w:val="18"/>
                <w:color w:val="auto"/>
              </w:rPr>
            </w:pPr>
          </w:p>
        </w:tc>
        <w:tc>
          <w:tcPr>
            <w:tcW w:w="1360" w:type="dxa"/>
            <w:vAlign w:val="bottom"/>
            <w:gridSpan w:val="2"/>
          </w:tcPr>
          <w:p>
            <w:pPr>
              <w:spacing w:after="0"/>
              <w:rPr>
                <w:sz w:val="18"/>
                <w:szCs w:val="18"/>
                <w:color w:val="auto"/>
              </w:rPr>
            </w:pPr>
          </w:p>
        </w:tc>
      </w:tr>
      <w:tr>
        <w:trPr>
          <w:trHeight w:val="256"/>
        </w:trPr>
        <w:tc>
          <w:tcPr>
            <w:tcW w:w="5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goodwill and other intangible assets</w:t>
            </w:r>
          </w:p>
        </w:tc>
        <w:tc>
          <w:tcPr>
            <w:tcW w:w="8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23,827</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carrying amounts of goodwill by reportable segment at both May 29, 2021 and November 28, 2020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500"/>
              <w:spacing w:after="0"/>
              <w:rPr>
                <w:sz w:val="20"/>
                <w:szCs w:val="20"/>
                <w:color w:val="auto"/>
              </w:rPr>
            </w:pPr>
            <w:r>
              <w:rPr>
                <w:rFonts w:ascii="Arial" w:cs="Arial" w:eastAsia="Arial" w:hAnsi="Arial"/>
                <w:sz w:val="18"/>
                <w:szCs w:val="18"/>
                <w:color w:val="auto"/>
                <w:w w:val="96"/>
              </w:rPr>
              <w:t>Original</w:t>
            </w:r>
          </w:p>
        </w:tc>
        <w:tc>
          <w:tcPr>
            <w:tcW w:w="18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2"/>
              </w:rPr>
              <w:t>Accumulated</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8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480"/>
              <w:spacing w:after="0"/>
              <w:rPr>
                <w:sz w:val="20"/>
                <w:szCs w:val="20"/>
                <w:color w:val="auto"/>
              </w:rPr>
            </w:pPr>
            <w:r>
              <w:rPr>
                <w:rFonts w:ascii="Arial" w:cs="Arial" w:eastAsia="Arial" w:hAnsi="Arial"/>
                <w:sz w:val="18"/>
                <w:szCs w:val="18"/>
                <w:color w:val="auto"/>
                <w:w w:val="89"/>
              </w:rPr>
              <w:t>Recorded</w:t>
            </w:r>
          </w:p>
        </w:tc>
        <w:tc>
          <w:tcPr>
            <w:tcW w:w="180" w:type="dxa"/>
            <w:vAlign w:val="bottom"/>
          </w:tcPr>
          <w:p>
            <w:pPr>
              <w:spacing w:after="0"/>
              <w:rPr>
                <w:sz w:val="18"/>
                <w:szCs w:val="18"/>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8"/>
                <w:szCs w:val="18"/>
                <w:color w:val="auto"/>
                <w:w w:val="93"/>
              </w:rPr>
              <w:t>Impairment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8"/>
                <w:szCs w:val="18"/>
                <w:color w:val="auto"/>
                <w:w w:val="91"/>
              </w:rPr>
              <w:t>Carrying</w:t>
            </w:r>
          </w:p>
        </w:tc>
      </w:tr>
      <w:tr>
        <w:trPr>
          <w:trHeight w:val="230"/>
        </w:trPr>
        <w:tc>
          <w:tcPr>
            <w:tcW w:w="384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gridSpan w:val="2"/>
          </w:tcPr>
          <w:p>
            <w:pPr>
              <w:jc w:val="center"/>
              <w:ind w:right="480"/>
              <w:spacing w:after="0"/>
              <w:rPr>
                <w:sz w:val="20"/>
                <w:szCs w:val="20"/>
                <w:color w:val="auto"/>
              </w:rPr>
            </w:pPr>
            <w:r>
              <w:rPr>
                <w:rFonts w:ascii="Arial" w:cs="Arial" w:eastAsia="Arial" w:hAnsi="Arial"/>
                <w:sz w:val="18"/>
                <w:szCs w:val="18"/>
                <w:color w:val="auto"/>
                <w:w w:val="91"/>
              </w:rPr>
              <w:t>Value</w:t>
            </w:r>
          </w:p>
        </w:tc>
        <w:tc>
          <w:tcPr>
            <w:tcW w:w="18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Arial" w:cs="Arial" w:eastAsia="Arial" w:hAnsi="Arial"/>
                <w:sz w:val="18"/>
                <w:szCs w:val="18"/>
                <w:color w:val="auto"/>
                <w:w w:val="87"/>
              </w:rPr>
              <w:t>Losses</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8"/>
                <w:szCs w:val="18"/>
                <w:color w:val="auto"/>
                <w:w w:val="93"/>
              </w:rPr>
              <w:t>Amount</w:t>
            </w:r>
          </w:p>
        </w:tc>
      </w:tr>
      <w:tr>
        <w:trPr>
          <w:trHeight w:val="210"/>
        </w:trPr>
        <w:tc>
          <w:tcPr>
            <w:tcW w:w="38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2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9,188</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(1,971)</w:t>
            </w: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7,217</w:t>
            </w: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Retail</w:t>
            </w:r>
          </w:p>
        </w:tc>
        <w:tc>
          <w:tcPr>
            <w:tcW w:w="2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240"/>
              <w:spacing w:after="0"/>
              <w:rPr>
                <w:sz w:val="20"/>
                <w:szCs w:val="20"/>
                <w:color w:val="auto"/>
              </w:rPr>
            </w:pPr>
            <w:r>
              <w:rPr>
                <w:rFonts w:ascii="Arial" w:cs="Arial" w:eastAsia="Arial" w:hAnsi="Arial"/>
                <w:sz w:val="18"/>
                <w:szCs w:val="18"/>
                <w:color w:val="auto"/>
              </w:rPr>
              <w:t>1,926</w:t>
            </w:r>
          </w:p>
        </w:tc>
        <w:tc>
          <w:tcPr>
            <w:tcW w:w="18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8"/>
                <w:szCs w:val="18"/>
                <w:color w:val="auto"/>
              </w:rPr>
              <w:t>(1,926)</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24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4,929</w:t>
            </w:r>
          </w:p>
        </w:tc>
        <w:tc>
          <w:tcPr>
            <w:tcW w:w="18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4,929</w:t>
            </w:r>
          </w:p>
        </w:tc>
      </w:tr>
      <w:tr>
        <w:trPr>
          <w:trHeight w:val="209"/>
        </w:trPr>
        <w:tc>
          <w:tcPr>
            <w:tcW w:w="3840" w:type="dxa"/>
            <w:vAlign w:val="bottom"/>
            <w:tcBorders>
              <w:top w:val="single" w:sz="8" w:color="CCEEFF"/>
            </w:tcBorders>
          </w:tcPr>
          <w:p>
            <w:pPr>
              <w:spacing w:after="0"/>
              <w:rPr>
                <w:sz w:val="18"/>
                <w:szCs w:val="18"/>
                <w:color w:val="auto"/>
              </w:rPr>
            </w:pPr>
          </w:p>
        </w:tc>
        <w:tc>
          <w:tcPr>
            <w:tcW w:w="24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36"/>
        </w:trPr>
        <w:tc>
          <w:tcPr>
            <w:tcW w:w="3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goodwill</w:t>
            </w:r>
          </w:p>
        </w:tc>
        <w:tc>
          <w:tcPr>
            <w:tcW w:w="2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16,043</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(3,897)</w:t>
            </w: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12,146</w:t>
            </w:r>
          </w:p>
        </w:tc>
      </w:tr>
      <w:tr>
        <w:trPr>
          <w:trHeight w:val="20"/>
        </w:trPr>
        <w:tc>
          <w:tcPr>
            <w:tcW w:w="3840" w:type="dxa"/>
            <w:vAlign w:val="bottom"/>
            <w:tcBorders>
              <w:top w:val="single" w:sz="8" w:color="CCEEFF"/>
            </w:tcBorders>
            <w:shd w:val="clear" w:color="auto" w:fill="CCEEFF"/>
          </w:tcPr>
          <w:p>
            <w:pPr>
              <w:spacing w:after="0" w:line="20" w:lineRule="exact"/>
              <w:rPr>
                <w:sz w:val="1"/>
                <w:szCs w:val="1"/>
                <w:color w:val="auto"/>
              </w:rPr>
            </w:pPr>
          </w:p>
        </w:tc>
        <w:tc>
          <w:tcPr>
            <w:tcW w:w="24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Due to the impact of the COVID-19 pandemic, we performed an interim impairment assessment of our remaining goodwill as of May 30, 2020, the end of our second quarter of fiscal 2020. As a result of this test, we concluded that the carrying value of our wood reporting unit exceeded its fair value by an amount in excess of the goodwill previously allocated to the reporting unit. Therefore, we recognized a goodwill impairment charge of $1,971 for the three and six months ended May 30, 2020. Our annual goodwill impairment test, conducted as of the beginning of our fourth quarter of fiscal 2020, resulted in no additional impairment.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2" w:name="page13"/>
    <w:bookmarkEnd w:id="12"/>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Amortization expense associated with intangible assets during the three and six months ended May 29, 2021 and May 30, 2020 was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20" w:type="dxa"/>
            <w:vAlign w:val="bottom"/>
          </w:tcPr>
          <w:p>
            <w:pPr>
              <w:spacing w:after="0"/>
              <w:rPr>
                <w:sz w:val="20"/>
                <w:szCs w:val="20"/>
                <w:color w:val="auto"/>
              </w:rPr>
            </w:pPr>
          </w:p>
        </w:tc>
        <w:tc>
          <w:tcPr>
            <w:tcW w:w="48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gridSpan w:val="3"/>
          </w:tcPr>
          <w:p>
            <w:pPr>
              <w:jc w:val="right"/>
              <w:ind w:right="158"/>
              <w:spacing w:after="0"/>
              <w:rPr>
                <w:sz w:val="20"/>
                <w:szCs w:val="20"/>
                <w:color w:val="auto"/>
              </w:rPr>
            </w:pPr>
            <w:r>
              <w:rPr>
                <w:rFonts w:ascii="Arial" w:cs="Arial" w:eastAsia="Arial" w:hAnsi="Arial"/>
                <w:sz w:val="18"/>
                <w:szCs w:val="18"/>
                <w:b w:val="1"/>
                <w:bCs w:val="1"/>
                <w:color w:val="auto"/>
              </w:rPr>
              <w:t>Quarter Ended</w:t>
            </w:r>
          </w:p>
        </w:tc>
        <w:tc>
          <w:tcPr>
            <w:tcW w:w="4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gridSpan w:val="3"/>
          </w:tcPr>
          <w:p>
            <w:pPr>
              <w:jc w:val="right"/>
              <w:ind w:right="38"/>
              <w:spacing w:after="0"/>
              <w:rPr>
                <w:sz w:val="20"/>
                <w:szCs w:val="20"/>
                <w:color w:val="auto"/>
              </w:rPr>
            </w:pPr>
            <w:r>
              <w:rPr>
                <w:rFonts w:ascii="Arial" w:cs="Arial" w:eastAsia="Arial" w:hAnsi="Arial"/>
                <w:sz w:val="18"/>
                <w:szCs w:val="18"/>
                <w:b w:val="1"/>
                <w:bCs w:val="1"/>
                <w:color w:val="auto"/>
              </w:rPr>
              <w:t>Six Months Ended</w:t>
            </w:r>
          </w:p>
        </w:tc>
        <w:tc>
          <w:tcPr>
            <w:tcW w:w="4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425"/>
        </w:trPr>
        <w:tc>
          <w:tcPr>
            <w:tcW w:w="1120" w:type="dxa"/>
            <w:vAlign w:val="bottom"/>
          </w:tcPr>
          <w:p>
            <w:pPr>
              <w:spacing w:after="0"/>
              <w:rPr>
                <w:sz w:val="24"/>
                <w:szCs w:val="24"/>
                <w:color w:val="auto"/>
              </w:rPr>
            </w:pPr>
          </w:p>
        </w:tc>
        <w:tc>
          <w:tcPr>
            <w:tcW w:w="4860" w:type="dxa"/>
            <w:vAlign w:val="bottom"/>
          </w:tcPr>
          <w:p>
            <w:pPr>
              <w:spacing w:after="0"/>
              <w:rPr>
                <w:sz w:val="24"/>
                <w:szCs w:val="24"/>
                <w:color w:val="auto"/>
              </w:rPr>
            </w:pPr>
          </w:p>
        </w:tc>
        <w:tc>
          <w:tcPr>
            <w:tcW w:w="1120" w:type="dxa"/>
            <w:vAlign w:val="bottom"/>
            <w:tcBorders>
              <w:bottom w:val="single" w:sz="8" w:color="auto"/>
            </w:tcBorders>
            <w:gridSpan w:val="2"/>
          </w:tcPr>
          <w:p>
            <w:pPr>
              <w:ind w:left="40"/>
              <w:spacing w:after="0"/>
              <w:rPr>
                <w:sz w:val="20"/>
                <w:szCs w:val="20"/>
                <w:color w:val="auto"/>
              </w:rPr>
            </w:pPr>
            <w:r>
              <w:rPr>
                <w:rFonts w:ascii="Arial" w:cs="Arial" w:eastAsia="Arial" w:hAnsi="Arial"/>
                <w:sz w:val="18"/>
                <w:szCs w:val="18"/>
                <w:b w:val="1"/>
                <w:bCs w:val="1"/>
                <w:color w:val="auto"/>
                <w:w w:val="96"/>
              </w:rPr>
              <w:t>May 29, 2021</w:t>
            </w:r>
          </w:p>
        </w:tc>
        <w:tc>
          <w:tcPr>
            <w:tcW w:w="260" w:type="dxa"/>
            <w:vAlign w:val="bottom"/>
          </w:tcPr>
          <w:p>
            <w:pPr>
              <w:spacing w:after="0"/>
              <w:rPr>
                <w:sz w:val="24"/>
                <w:szCs w:val="24"/>
                <w:color w:val="auto"/>
              </w:rPr>
            </w:pPr>
          </w:p>
        </w:tc>
        <w:tc>
          <w:tcPr>
            <w:tcW w:w="11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6"/>
              </w:rPr>
              <w:t>May 30, 2020</w:t>
            </w:r>
          </w:p>
        </w:tc>
        <w:tc>
          <w:tcPr>
            <w:tcW w:w="200" w:type="dxa"/>
            <w:vAlign w:val="bottom"/>
          </w:tcPr>
          <w:p>
            <w:pPr>
              <w:spacing w:after="0"/>
              <w:rPr>
                <w:sz w:val="24"/>
                <w:szCs w:val="24"/>
                <w:color w:val="auto"/>
              </w:rPr>
            </w:pPr>
          </w:p>
        </w:tc>
        <w:tc>
          <w:tcPr>
            <w:tcW w:w="1100" w:type="dxa"/>
            <w:vAlign w:val="bottom"/>
            <w:tcBorders>
              <w:bottom w:val="single" w:sz="8" w:color="auto"/>
            </w:tcBorders>
            <w:gridSpan w:val="2"/>
          </w:tcPr>
          <w:p>
            <w:pPr>
              <w:ind w:left="40"/>
              <w:spacing w:after="0"/>
              <w:rPr>
                <w:sz w:val="20"/>
                <w:szCs w:val="20"/>
                <w:color w:val="auto"/>
              </w:rPr>
            </w:pPr>
            <w:r>
              <w:rPr>
                <w:rFonts w:ascii="Arial" w:cs="Arial" w:eastAsia="Arial" w:hAnsi="Arial"/>
                <w:sz w:val="18"/>
                <w:szCs w:val="18"/>
                <w:b w:val="1"/>
                <w:bCs w:val="1"/>
                <w:color w:val="auto"/>
                <w:w w:val="94"/>
              </w:rPr>
              <w:t>May 29, 2021</w:t>
            </w:r>
          </w:p>
        </w:tc>
        <w:tc>
          <w:tcPr>
            <w:tcW w:w="240" w:type="dxa"/>
            <w:vAlign w:val="bottom"/>
          </w:tcPr>
          <w:p>
            <w:pPr>
              <w:spacing w:after="0"/>
              <w:rPr>
                <w:sz w:val="24"/>
                <w:szCs w:val="24"/>
                <w:color w:val="auto"/>
              </w:rPr>
            </w:pPr>
          </w:p>
        </w:tc>
        <w:tc>
          <w:tcPr>
            <w:tcW w:w="11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4"/>
              </w:rPr>
              <w:t>May 30, 2020</w:t>
            </w:r>
          </w:p>
        </w:tc>
        <w:tc>
          <w:tcPr>
            <w:tcW w:w="100" w:type="dxa"/>
            <w:vAlign w:val="bottom"/>
          </w:tcPr>
          <w:p>
            <w:pPr>
              <w:spacing w:after="0"/>
              <w:rPr>
                <w:sz w:val="24"/>
                <w:szCs w:val="24"/>
                <w:color w:val="auto"/>
              </w:rPr>
            </w:pPr>
          </w:p>
        </w:tc>
      </w:tr>
      <w:tr>
        <w:trPr>
          <w:trHeight w:val="230"/>
        </w:trPr>
        <w:tc>
          <w:tcPr>
            <w:tcW w:w="5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Intangible asset amortization expense</w:t>
            </w:r>
          </w:p>
        </w:tc>
        <w:tc>
          <w:tcPr>
            <w:tcW w:w="380" w:type="dxa"/>
            <w:vAlign w:val="bottom"/>
            <w:shd w:val="clear" w:color="auto" w:fill="CCEEFF"/>
          </w:tcPr>
          <w:p>
            <w:pPr>
              <w:jc w:val="right"/>
              <w:ind w:right="218"/>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95</w:t>
            </w:r>
          </w:p>
        </w:tc>
        <w:tc>
          <w:tcPr>
            <w:tcW w:w="700" w:type="dxa"/>
            <w:vAlign w:val="bottom"/>
            <w:shd w:val="clear" w:color="auto" w:fill="CCEEFF"/>
          </w:tcPr>
          <w:p>
            <w:pPr>
              <w:jc w:val="right"/>
              <w:ind w:right="538"/>
              <w:spacing w:after="0"/>
              <w:rPr>
                <w:sz w:val="20"/>
                <w:szCs w:val="20"/>
                <w:color w:val="auto"/>
              </w:rPr>
            </w:pPr>
            <w:r>
              <w:rPr>
                <w:rFonts w:ascii="Arial" w:cs="Arial" w:eastAsia="Arial" w:hAnsi="Arial"/>
                <w:sz w:val="15"/>
                <w:szCs w:val="15"/>
                <w:color w:val="auto"/>
                <w:w w:val="71"/>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5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189</w:t>
            </w:r>
          </w:p>
        </w:tc>
        <w:tc>
          <w:tcPr>
            <w:tcW w:w="700" w:type="dxa"/>
            <w:vAlign w:val="bottom"/>
            <w:tcBorders>
              <w:left w:val="single" w:sz="8" w:color="CCEEFF"/>
            </w:tcBorders>
            <w:shd w:val="clear" w:color="auto" w:fill="CCEEFF"/>
          </w:tcPr>
          <w:p>
            <w:pPr>
              <w:jc w:val="right"/>
              <w:ind w:right="538"/>
              <w:spacing w:after="0"/>
              <w:rPr>
                <w:sz w:val="20"/>
                <w:szCs w:val="20"/>
                <w:color w:val="auto"/>
              </w:rPr>
            </w:pPr>
            <w:r>
              <w:rPr>
                <w:rFonts w:ascii="Arial" w:cs="Arial" w:eastAsia="Arial" w:hAnsi="Arial"/>
                <w:sz w:val="15"/>
                <w:szCs w:val="15"/>
                <w:color w:val="auto"/>
                <w:w w:val="71"/>
              </w:rPr>
              <w:t>$</w:t>
            </w: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189</w:t>
            </w:r>
          </w:p>
        </w:tc>
      </w:tr>
      <w:tr>
        <w:trPr>
          <w:trHeight w:val="20"/>
        </w:trPr>
        <w:tc>
          <w:tcPr>
            <w:tcW w:w="1120" w:type="dxa"/>
            <w:vAlign w:val="bottom"/>
            <w:tcBorders>
              <w:top w:val="single" w:sz="8" w:color="CCEEFF"/>
            </w:tcBorders>
            <w:shd w:val="clear" w:color="auto" w:fill="CCEEFF"/>
          </w:tcPr>
          <w:p>
            <w:pPr>
              <w:spacing w:after="0" w:line="20" w:lineRule="exact"/>
              <w:rPr>
                <w:sz w:val="1"/>
                <w:szCs w:val="1"/>
                <w:color w:val="auto"/>
              </w:rPr>
            </w:pPr>
          </w:p>
        </w:tc>
        <w:tc>
          <w:tcPr>
            <w:tcW w:w="486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right w:val="single" w:sz="8" w:color="auto"/>
            </w:tcBorders>
            <w:shd w:val="clear" w:color="auto" w:fill="CCEEFF"/>
          </w:tcPr>
          <w:p>
            <w:pPr>
              <w:spacing w:after="0" w:line="20" w:lineRule="exact"/>
              <w:rPr>
                <w:sz w:val="1"/>
                <w:szCs w:val="1"/>
                <w:color w:val="auto"/>
              </w:rPr>
            </w:pPr>
          </w:p>
        </w:tc>
        <w:tc>
          <w:tcPr>
            <w:tcW w:w="700" w:type="dxa"/>
            <w:vAlign w:val="bottom"/>
            <w:tcBorders>
              <w:top w:val="single" w:sz="8" w:color="auto"/>
              <w:left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413"/>
        </w:trPr>
        <w:tc>
          <w:tcPr>
            <w:tcW w:w="7360" w:type="dxa"/>
            <w:vAlign w:val="bottom"/>
            <w:gridSpan w:val="5"/>
          </w:tcPr>
          <w:p>
            <w:pPr>
              <w:spacing w:after="0"/>
              <w:rPr>
                <w:sz w:val="20"/>
                <w:szCs w:val="20"/>
                <w:color w:val="auto"/>
              </w:rPr>
            </w:pPr>
            <w:r>
              <w:rPr>
                <w:rFonts w:ascii="Arial" w:cs="Arial" w:eastAsia="Arial" w:hAnsi="Arial"/>
                <w:sz w:val="18"/>
                <w:szCs w:val="18"/>
                <w:color w:val="auto"/>
                <w:w w:val="92"/>
              </w:rPr>
              <w:t>Estimated future amortization expense for intangible assets that exist at May 29, 2021 is as follows:</w:t>
            </w: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spacing w:after="0"/>
              <w:rPr>
                <w:sz w:val="18"/>
                <w:szCs w:val="18"/>
                <w:color w:val="auto"/>
              </w:rPr>
            </w:pP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fiscal 2021</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189</w:t>
            </w:r>
          </w:p>
        </w:tc>
        <w:tc>
          <w:tcPr>
            <w:tcW w:w="700" w:type="dxa"/>
            <w:vAlign w:val="bottom"/>
            <w:tcBorders>
              <w:left w:val="single" w:sz="8" w:color="CCEEFF"/>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Arial" w:cs="Arial" w:eastAsia="Arial" w:hAnsi="Arial"/>
                <w:sz w:val="18"/>
                <w:szCs w:val="18"/>
                <w:color w:val="auto"/>
              </w:rPr>
              <w:t>Fiscal 2022</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279</w:t>
            </w: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Fiscal 2023</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259</w:t>
            </w:r>
          </w:p>
        </w:tc>
        <w:tc>
          <w:tcPr>
            <w:tcW w:w="700" w:type="dxa"/>
            <w:vAlign w:val="bottom"/>
            <w:tcBorders>
              <w:left w:val="single" w:sz="8" w:color="CCEEFF"/>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Arial" w:cs="Arial" w:eastAsia="Arial" w:hAnsi="Arial"/>
                <w:sz w:val="18"/>
                <w:szCs w:val="18"/>
                <w:color w:val="auto"/>
              </w:rPr>
              <w:t>Fiscal 2024</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259</w:t>
            </w: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Fiscal 2025</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259</w:t>
            </w:r>
          </w:p>
        </w:tc>
        <w:tc>
          <w:tcPr>
            <w:tcW w:w="700" w:type="dxa"/>
            <w:vAlign w:val="bottom"/>
            <w:tcBorders>
              <w:left w:val="single" w:sz="8" w:color="CCEEFF"/>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Arial" w:cs="Arial" w:eastAsia="Arial" w:hAnsi="Arial"/>
                <w:sz w:val="18"/>
                <w:szCs w:val="18"/>
                <w:color w:val="auto"/>
              </w:rPr>
              <w:t>Fiscal 2026</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259</w:t>
            </w: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4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38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700" w:type="dxa"/>
            <w:vAlign w:val="bottom"/>
            <w:tcBorders>
              <w:bottom w:val="single" w:sz="8" w:color="CCEEFF"/>
            </w:tcBorders>
            <w:shd w:val="clear" w:color="auto" w:fill="CCEEFF"/>
          </w:tcPr>
          <w:p>
            <w:pPr>
              <w:spacing w:after="0"/>
              <w:rPr>
                <w:sz w:val="18"/>
                <w:szCs w:val="18"/>
                <w:color w:val="auto"/>
              </w:rPr>
            </w:pPr>
          </w:p>
        </w:tc>
        <w:tc>
          <w:tcPr>
            <w:tcW w:w="440" w:type="dxa"/>
            <w:vAlign w:val="bottom"/>
            <w:tcBorders>
              <w:bottom w:val="single" w:sz="8" w:color="CCEEFF"/>
              <w:right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649</w:t>
            </w:r>
          </w:p>
        </w:tc>
        <w:tc>
          <w:tcPr>
            <w:tcW w:w="700" w:type="dxa"/>
            <w:vAlign w:val="bottom"/>
            <w:tcBorders>
              <w:left w:val="single" w:sz="8" w:color="CCEEFF"/>
            </w:tcBorders>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0"/>
        </w:trPr>
        <w:tc>
          <w:tcPr>
            <w:tcW w:w="1120" w:type="dxa"/>
            <w:vAlign w:val="bottom"/>
          </w:tcPr>
          <w:p>
            <w:pPr>
              <w:spacing w:after="0"/>
              <w:rPr>
                <w:sz w:val="18"/>
                <w:szCs w:val="18"/>
                <w:color w:val="auto"/>
              </w:rPr>
            </w:pPr>
          </w:p>
        </w:tc>
        <w:tc>
          <w:tcPr>
            <w:tcW w:w="4860" w:type="dxa"/>
            <w:vAlign w:val="bottom"/>
          </w:tcPr>
          <w:p>
            <w:pPr>
              <w:ind w:left="20"/>
              <w:spacing w:after="0"/>
              <w:rPr>
                <w:sz w:val="20"/>
                <w:szCs w:val="20"/>
                <w:color w:val="auto"/>
              </w:rPr>
            </w:pPr>
            <w:r>
              <w:rPr>
                <w:rFonts w:ascii="Arial" w:cs="Arial" w:eastAsia="Arial" w:hAnsi="Arial"/>
                <w:sz w:val="18"/>
                <w:szCs w:val="18"/>
                <w:color w:val="auto"/>
              </w:rPr>
              <w:t>Total</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30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2,153</w:t>
            </w: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
        </w:trPr>
        <w:tc>
          <w:tcPr>
            <w:tcW w:w="1120" w:type="dxa"/>
            <w:vAlign w:val="bottom"/>
          </w:tcPr>
          <w:p>
            <w:pPr>
              <w:spacing w:after="0" w:line="20" w:lineRule="exact"/>
              <w:rPr>
                <w:sz w:val="1"/>
                <w:szCs w:val="1"/>
                <w:color w:val="auto"/>
              </w:rPr>
            </w:pPr>
          </w:p>
        </w:tc>
        <w:tc>
          <w:tcPr>
            <w:tcW w:w="48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Bank Credit Facility</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bank credit facility provides for a line of credit of up to $25,000. At May 29, 2021, we had $3,181 outstanding under standby letters of credit against our line, leaving availability under our credit line of $21,819. In addition, we have outstanding standby letters of credit with another bank totaling $325. The line bears interest at the rate of LIBOR plus 1.9%, with a fee of 0.25% charged for the unused portion of the line and is secured by a general lien on our accounts receivable and inventory. We were in compliance with all covenants under the agreement as of May 29, 2021 and expect to remain in compliance through the end of fiscal 2021. The credit facility matures on January 31, 2022.</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Post Employment Benefit Obligations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Defined Benefit Plans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an unfunded Supplemental Retirement Income Plan (the “Supplemental Plan”) that covers one current and certain former executives. The liability for the Supplemental Plan was $8,485 and $8,565 as of May 29, 2021 and November 28, 2020, respectively.</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$1,520 and $1,506 as of May 29, 2021 and November 28, 2020, respectively.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3" w:name="page14"/>
    <w:bookmarkEnd w:id="13"/>
    <w:p>
      <w:pPr>
        <w:jc w:val="center"/>
        <w:ind w:right="-13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3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3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3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3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The combined pension liability for the Supplemental Plan and LTC Awards is recorded as follows in the condensed consolidated balance sheets:</w:t>
      </w:r>
    </w:p>
    <w:p>
      <w:pPr>
        <w:spacing w:after="0" w:line="233"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Pr>
          <w:p>
            <w:pPr>
              <w:jc w:val="right"/>
              <w:ind w:right="450"/>
              <w:spacing w:after="0"/>
              <w:rPr>
                <w:sz w:val="20"/>
                <w:szCs w:val="20"/>
                <w:color w:val="auto"/>
              </w:rPr>
            </w:pPr>
            <w:r>
              <w:rPr>
                <w:rFonts w:ascii="Arial" w:cs="Arial" w:eastAsia="Arial" w:hAnsi="Arial"/>
                <w:sz w:val="18"/>
                <w:szCs w:val="18"/>
                <w:b w:val="1"/>
                <w:bCs w:val="1"/>
                <w:color w:val="auto"/>
              </w:rPr>
              <w:t>May 29,</w:t>
            </w:r>
          </w:p>
        </w:tc>
        <w:tc>
          <w:tcPr>
            <w:tcW w:w="24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Arial" w:cs="Arial" w:eastAsia="Arial" w:hAnsi="Arial"/>
                <w:sz w:val="18"/>
                <w:szCs w:val="18"/>
                <w:b w:val="1"/>
                <w:bCs w:val="1"/>
                <w:color w:val="auto"/>
              </w:rPr>
              <w:t>November 28,</w:t>
            </w:r>
          </w:p>
        </w:tc>
      </w:tr>
      <w:tr>
        <w:trPr>
          <w:trHeight w:val="234"/>
        </w:trPr>
        <w:tc>
          <w:tcPr>
            <w:tcW w:w="56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r>
      <w:tr>
        <w:trPr>
          <w:trHeight w:val="209"/>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613</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9,392</w:t>
            </w:r>
          </w:p>
        </w:tc>
        <w:tc>
          <w:tcPr>
            <w:tcW w:w="24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9,458</w:t>
            </w:r>
          </w:p>
        </w:tc>
        <w:tc>
          <w:tcPr>
            <w:tcW w:w="8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Total pension liability</w:t>
            </w: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10,005</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10,071</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Components of net periodic pension costs for our defined benefit plans for the three and six months ended May 29, 2021 and May 30, 2020 are as follows:</w:t>
      </w:r>
    </w:p>
    <w:p>
      <w:pPr>
        <w:sectPr>
          <w:pgSz w:w="11900" w:h="16838" w:orient="portrait"/>
          <w:cols w:equalWidth="0" w:num="1">
            <w:col w:w="11240"/>
          </w:cols>
          <w:pgMar w:left="320" w:top="584" w:right="339" w:bottom="1440" w:gutter="0" w:footer="0" w:header="0"/>
        </w:sectPr>
      </w:pPr>
    </w:p>
    <w:p>
      <w:pPr>
        <w:spacing w:after="0" w:line="244" w:lineRule="exact"/>
        <w:rPr>
          <w:sz w:val="20"/>
          <w:szCs w:val="20"/>
          <w:color w:val="auto"/>
        </w:rPr>
      </w:pPr>
    </w:p>
    <w:p>
      <w:pPr>
        <w:jc w:val="center"/>
        <w:ind w:left="5320"/>
        <w:spacing w:after="0"/>
        <w:rPr>
          <w:sz w:val="20"/>
          <w:szCs w:val="20"/>
          <w:color w:val="auto"/>
        </w:rPr>
      </w:pPr>
      <w:r>
        <w:rPr>
          <w:rFonts w:ascii="Arial" w:cs="Arial" w:eastAsia="Arial" w:hAnsi="Arial"/>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3314065</wp:posOffset>
            </wp:positionH>
            <wp:positionV relativeFrom="paragraph">
              <wp:posOffset>17145</wp:posOffset>
            </wp:positionV>
            <wp:extent cx="168846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688465" cy="8890"/>
                    </a:xfrm>
                    <a:prstGeom prst="rect">
                      <a:avLst/>
                    </a:prstGeom>
                    <a:noFill/>
                  </pic:spPr>
                </pic:pic>
              </a:graphicData>
            </a:graphic>
          </wp:anchor>
        </w:drawing>
      </w:r>
    </w:p>
    <w:p>
      <w:pPr>
        <w:spacing w:after="0" w:line="16" w:lineRule="exact"/>
        <w:rPr>
          <w:sz w:val="20"/>
          <w:szCs w:val="20"/>
          <w:color w:val="auto"/>
        </w:rPr>
      </w:pPr>
    </w:p>
    <w:p>
      <w:pPr>
        <w:ind w:left="5320"/>
        <w:spacing w:after="0"/>
        <w:tabs>
          <w:tab w:leader="none" w:pos="67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jc w:val="center"/>
        <w:ind w:right="660"/>
        <w:spacing w:after="0"/>
        <w:rPr>
          <w:sz w:val="20"/>
          <w:szCs w:val="20"/>
          <w:color w:val="auto"/>
        </w:rPr>
      </w:pPr>
      <w:r>
        <w:rPr>
          <w:rFonts w:ascii="Arial" w:cs="Arial" w:eastAsia="Arial" w:hAnsi="Arial"/>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17145</wp:posOffset>
            </wp:positionV>
            <wp:extent cx="16459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645920" cy="8890"/>
                    </a:xfrm>
                    <a:prstGeom prst="rect">
                      <a:avLst/>
                    </a:prstGeom>
                    <a:noFill/>
                  </pic:spPr>
                </pic:pic>
              </a:graphicData>
            </a:graphic>
          </wp:anchor>
        </w:drawing>
      </w:r>
    </w:p>
    <w:p>
      <w:pPr>
        <w:spacing w:after="0" w:line="16" w:lineRule="exact"/>
        <w:rPr>
          <w:sz w:val="20"/>
          <w:szCs w:val="20"/>
          <w:color w:val="auto"/>
        </w:rPr>
      </w:pPr>
    </w:p>
    <w:p>
      <w:pPr>
        <w:jc w:val="center"/>
        <w:ind w:right="660"/>
        <w:spacing w:after="0"/>
        <w:tabs>
          <w:tab w:leader="none" w:pos="3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7" w:lineRule="exact"/>
        <w:rPr>
          <w:sz w:val="20"/>
          <w:szCs w:val="20"/>
          <w:color w:val="auto"/>
        </w:rPr>
      </w:pPr>
    </w:p>
    <w:p>
      <w:pPr>
        <w:sectPr>
          <w:pgSz w:w="11900" w:h="16838" w:orient="portrait"/>
          <w:cols w:equalWidth="0" w:num="2">
            <w:col w:w="7780" w:space="380"/>
            <w:col w:w="3080"/>
          </w:cols>
          <w:pgMar w:left="320" w:top="584" w:right="339" w:bottom="1440" w:gutter="0" w:footer="0" w:header="0"/>
          <w:type w:val="continuous"/>
        </w:sectPr>
      </w:pPr>
    </w:p>
    <w:tbl>
      <w:tblPr>
        <w:tblLayout w:type="fixed"/>
        <w:tblInd w:w="660" w:type="dxa"/>
        <w:tblCellMar>
          <w:top w:w="0" w:type="dxa"/>
          <w:left w:w="0" w:type="dxa"/>
          <w:bottom w:w="0" w:type="dxa"/>
          <w:right w:w="0" w:type="dxa"/>
        </w:tblCellMar>
      </w:tblPr>
      <w:tr>
        <w:trPr>
          <w:trHeight w:val="209"/>
        </w:trPr>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520" w:type="dxa"/>
            <w:vAlign w:val="bottom"/>
            <w:tcBorders>
              <w:top w:val="single" w:sz="8" w:color="auto"/>
            </w:tcBorders>
            <w:shd w:val="clear" w:color="auto" w:fill="CCEEFF"/>
          </w:tcPr>
          <w:p>
            <w:pPr>
              <w:jc w:val="right"/>
              <w:ind w:right="36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31</w:t>
            </w:r>
          </w:p>
        </w:tc>
        <w:tc>
          <w:tcPr>
            <w:tcW w:w="620" w:type="dxa"/>
            <w:vAlign w:val="bottom"/>
            <w:tcBorders>
              <w:top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8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60</w:t>
            </w:r>
          </w:p>
        </w:tc>
        <w:tc>
          <w:tcPr>
            <w:tcW w:w="600" w:type="dxa"/>
            <w:vAlign w:val="bottom"/>
            <w:tcBorders>
              <w:top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00" w:type="dxa"/>
            <w:vAlign w:val="bottom"/>
            <w:shd w:val="clear" w:color="auto" w:fill="CCEEFF"/>
          </w:tcPr>
          <w:p>
            <w:pPr>
              <w:spacing w:after="0"/>
              <w:rPr>
                <w:sz w:val="18"/>
                <w:szCs w:val="18"/>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Interest cost</w:t>
            </w:r>
          </w:p>
        </w:tc>
        <w:tc>
          <w:tcPr>
            <w:tcW w:w="52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48</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67</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98</w:t>
            </w:r>
          </w:p>
        </w:tc>
        <w:tc>
          <w:tcPr>
            <w:tcW w:w="6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134</w:t>
            </w:r>
          </w:p>
        </w:tc>
      </w:tr>
      <w:tr>
        <w:trPr>
          <w:trHeight w:val="216"/>
        </w:trPr>
        <w:tc>
          <w:tcPr>
            <w:tcW w:w="45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prior service costs</w:t>
            </w:r>
          </w:p>
        </w:tc>
        <w:tc>
          <w:tcPr>
            <w:tcW w:w="52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31</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63</w:t>
            </w:r>
          </w:p>
        </w:tc>
        <w:tc>
          <w:tcPr>
            <w:tcW w:w="6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w:t>
            </w: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Amortization of loss</w:t>
            </w:r>
          </w:p>
        </w:tc>
        <w:tc>
          <w:tcPr>
            <w:tcW w:w="520" w:type="dxa"/>
            <w:vAlign w:val="bottom"/>
          </w:tcPr>
          <w:p>
            <w:pPr>
              <w:spacing w:after="0"/>
              <w:rPr>
                <w:sz w:val="18"/>
                <w:szCs w:val="18"/>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15</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30</w:t>
            </w:r>
          </w:p>
        </w:tc>
        <w:tc>
          <w:tcPr>
            <w:tcW w:w="60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r>
      <w:tr>
        <w:trPr>
          <w:trHeight w:val="209"/>
        </w:trPr>
        <w:tc>
          <w:tcPr>
            <w:tcW w:w="456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Net periodic pension cost</w:t>
            </w:r>
          </w:p>
        </w:tc>
        <w:tc>
          <w:tcPr>
            <w:tcW w:w="520" w:type="dxa"/>
            <w:vAlign w:val="bottom"/>
          </w:tcPr>
          <w:p>
            <w:pPr>
              <w:jc w:val="right"/>
              <w:ind w:right="36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125</w:t>
            </w:r>
          </w:p>
        </w:tc>
        <w:tc>
          <w:tcPr>
            <w:tcW w:w="62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143</w:t>
            </w:r>
          </w:p>
        </w:tc>
        <w:tc>
          <w:tcPr>
            <w:tcW w:w="700" w:type="dxa"/>
            <w:vAlign w:val="bottom"/>
            <w:gridSpan w:val="2"/>
          </w:tcPr>
          <w:p>
            <w:pPr>
              <w:jc w:val="right"/>
              <w:ind w:right="330"/>
              <w:spacing w:after="0"/>
              <w:rPr>
                <w:sz w:val="20"/>
                <w:szCs w:val="20"/>
                <w:color w:val="auto"/>
              </w:rPr>
            </w:pPr>
            <w:r>
              <w:rPr>
                <w:rFonts w:ascii="Arial" w:cs="Arial" w:eastAsia="Arial" w:hAnsi="Arial"/>
                <w:sz w:val="18"/>
                <w:szCs w:val="18"/>
                <w:color w:val="auto"/>
              </w:rPr>
              <w:t>$</w:t>
            </w: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251</w:t>
            </w:r>
          </w:p>
        </w:tc>
        <w:tc>
          <w:tcPr>
            <w:tcW w:w="60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288</w:t>
            </w:r>
          </w:p>
        </w:tc>
      </w:tr>
      <w:tr>
        <w:trPr>
          <w:trHeight w:val="20"/>
        </w:trPr>
        <w:tc>
          <w:tcPr>
            <w:tcW w:w="45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components of net periodic pension cost other than the service cost component are included in other loss, net in our condensed consolidated statements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Deferred Compensation Plans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$1,658 and $1,677 as of May 29, 2021 and November 28, 2020, respectively.</w:t>
      </w:r>
    </w:p>
    <w:p>
      <w:pPr>
        <w:spacing w:after="0" w:line="18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also have an unfunded, nonqualified deferred compensation plan maintained for the benefit of certain highly compensated or management level employees which was established under the Management Savings Plan. Our liability under this plan, including both accrued Company contributions and participant salary deferrals, was $1,644 and $1,250 as of May 29, 2021 and November 28, 2020, respectively.</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May 29,</w:t>
            </w: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80"/>
              <w:spacing w:after="0"/>
              <w:rPr>
                <w:sz w:val="20"/>
                <w:szCs w:val="20"/>
                <w:color w:val="auto"/>
              </w:rPr>
            </w:pPr>
            <w:r>
              <w:rPr>
                <w:rFonts w:ascii="Arial" w:cs="Arial" w:eastAsia="Arial" w:hAnsi="Arial"/>
                <w:sz w:val="18"/>
                <w:szCs w:val="18"/>
                <w:b w:val="1"/>
                <w:bCs w:val="1"/>
                <w:color w:val="auto"/>
              </w:rPr>
              <w:t>November 28,</w:t>
            </w:r>
          </w:p>
        </w:tc>
        <w:tc>
          <w:tcPr>
            <w:tcW w:w="1600" w:type="dxa"/>
            <w:vAlign w:val="bottom"/>
          </w:tcPr>
          <w:p>
            <w:pPr>
              <w:spacing w:after="0"/>
              <w:rPr>
                <w:sz w:val="18"/>
                <w:szCs w:val="18"/>
                <w:color w:val="auto"/>
              </w:rPr>
            </w:pPr>
          </w:p>
        </w:tc>
      </w:tr>
      <w:tr>
        <w:trPr>
          <w:trHeight w:val="234"/>
        </w:trPr>
        <w:tc>
          <w:tcPr>
            <w:tcW w:w="66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112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rPr>
              <w:t>2021</w:t>
            </w:r>
          </w:p>
        </w:tc>
        <w:tc>
          <w:tcPr>
            <w:tcW w:w="5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c>
          <w:tcPr>
            <w:tcW w:w="160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3120" w:type="dxa"/>
            <w:vAlign w:val="bottom"/>
            <w:gridSpan w:val="2"/>
            <w:shd w:val="clear" w:color="auto" w:fill="CCEEFF"/>
          </w:tcPr>
          <w:p>
            <w:pPr>
              <w:jc w:val="right"/>
              <w:ind w:right="93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296</w:t>
            </w:r>
          </w:p>
        </w:tc>
        <w:tc>
          <w:tcPr>
            <w:tcW w:w="16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Post employment benefit obligations</w:t>
            </w:r>
          </w:p>
        </w:tc>
        <w:tc>
          <w:tcPr>
            <w:tcW w:w="20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8"/>
              </w:rPr>
              <w:t>3,006</w:t>
            </w:r>
          </w:p>
        </w:tc>
        <w:tc>
          <w:tcPr>
            <w:tcW w:w="24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2,631</w:t>
            </w:r>
          </w:p>
        </w:tc>
        <w:tc>
          <w:tcPr>
            <w:tcW w:w="1600" w:type="dxa"/>
            <w:vAlign w:val="bottom"/>
          </w:tcPr>
          <w:p>
            <w:pPr>
              <w:spacing w:after="0"/>
              <w:rPr>
                <w:sz w:val="18"/>
                <w:szCs w:val="18"/>
                <w:color w:val="auto"/>
              </w:rPr>
            </w:pPr>
          </w:p>
        </w:tc>
      </w:tr>
      <w:tr>
        <w:trPr>
          <w:trHeight w:val="210"/>
        </w:trPr>
        <w:tc>
          <w:tcPr>
            <w:tcW w:w="660" w:type="dxa"/>
            <w:vAlign w:val="bottom"/>
          </w:tcPr>
          <w:p>
            <w:pPr>
              <w:spacing w:after="0"/>
              <w:rPr>
                <w:sz w:val="18"/>
                <w:szCs w:val="18"/>
                <w:color w:val="auto"/>
              </w:rPr>
            </w:pPr>
          </w:p>
        </w:tc>
        <w:tc>
          <w:tcPr>
            <w:tcW w:w="366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Total deferred compensation liability</w:t>
            </w:r>
          </w:p>
        </w:tc>
        <w:tc>
          <w:tcPr>
            <w:tcW w:w="2000" w:type="dxa"/>
            <w:vAlign w:val="bottom"/>
          </w:tcPr>
          <w:p>
            <w:pPr>
              <w:spacing w:after="0"/>
              <w:rPr>
                <w:sz w:val="18"/>
                <w:szCs w:val="18"/>
                <w:color w:val="auto"/>
              </w:rPr>
            </w:pPr>
          </w:p>
        </w:tc>
        <w:tc>
          <w:tcPr>
            <w:tcW w:w="1120" w:type="dxa"/>
            <w:vAlign w:val="bottom"/>
            <w:tcBorders>
              <w:bottom w:val="single" w:sz="8" w:color="auto"/>
            </w:tcBorders>
          </w:tcPr>
          <w:p>
            <w:pPr>
              <w:jc w:val="right"/>
              <w:ind w:right="930"/>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3,302</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2,927</w:t>
            </w:r>
          </w:p>
        </w:tc>
        <w:tc>
          <w:tcPr>
            <w:tcW w:w="8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0"/>
        </w:trPr>
        <w:tc>
          <w:tcPr>
            <w:tcW w:w="66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413"/>
        </w:trPr>
        <w:tc>
          <w:tcPr>
            <w:tcW w:w="66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3120" w:type="dxa"/>
            <w:vAlign w:val="bottom"/>
            <w:gridSpan w:val="2"/>
          </w:tcPr>
          <w:p>
            <w:pPr>
              <w:jc w:val="right"/>
              <w:ind w:right="1430"/>
              <w:spacing w:after="0"/>
              <w:rPr>
                <w:sz w:val="20"/>
                <w:szCs w:val="20"/>
                <w:color w:val="auto"/>
              </w:rPr>
            </w:pPr>
            <w:r>
              <w:rPr>
                <w:rFonts w:ascii="Arial" w:cs="Arial" w:eastAsia="Arial" w:hAnsi="Arial"/>
                <w:sz w:val="18"/>
                <w:szCs w:val="18"/>
                <w:color w:val="auto"/>
              </w:rPr>
              <w:t>14 of 39</w:t>
            </w: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115"/>
        </w:trPr>
        <w:tc>
          <w:tcPr>
            <w:tcW w:w="660" w:type="dxa"/>
            <w:vAlign w:val="bottom"/>
            <w:tcBorders>
              <w:bottom w:val="single" w:sz="8" w:color="auto"/>
            </w:tcBorders>
          </w:tcPr>
          <w:p>
            <w:pPr>
              <w:spacing w:after="0"/>
              <w:rPr>
                <w:sz w:val="10"/>
                <w:szCs w:val="10"/>
                <w:color w:val="auto"/>
              </w:rPr>
            </w:pPr>
          </w:p>
        </w:tc>
        <w:tc>
          <w:tcPr>
            <w:tcW w:w="3660" w:type="dxa"/>
            <w:vAlign w:val="bottom"/>
            <w:tcBorders>
              <w:bottom w:val="single" w:sz="8" w:color="auto"/>
            </w:tcBorders>
          </w:tcPr>
          <w:p>
            <w:pPr>
              <w:spacing w:after="0"/>
              <w:rPr>
                <w:sz w:val="10"/>
                <w:szCs w:val="10"/>
                <w:color w:val="auto"/>
              </w:rPr>
            </w:pPr>
          </w:p>
        </w:tc>
        <w:tc>
          <w:tcPr>
            <w:tcW w:w="200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type w:val="continuous"/>
        </w:sectPr>
      </w:pPr>
    </w:p>
    <w:bookmarkStart w:id="14" w:name="page15"/>
    <w:bookmarkEnd w:id="14"/>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We recognized expense under our deferred compensation arrangements during the three and six months ended May 29, 2021 and May 30, 2020 as follows:</w:t>
      </w:r>
    </w:p>
    <w:p>
      <w:pPr>
        <w:sectPr>
          <w:pgSz w:w="11900" w:h="16838" w:orient="portrait"/>
          <w:cols w:equalWidth="0" w:num="1">
            <w:col w:w="11240"/>
          </w:cols>
          <w:pgMar w:left="320" w:top="584" w:right="339" w:bottom="1440" w:gutter="0" w:footer="0" w:header="0"/>
        </w:sectPr>
      </w:pPr>
    </w:p>
    <w:p>
      <w:pPr>
        <w:spacing w:after="0" w:line="244" w:lineRule="exact"/>
        <w:rPr>
          <w:sz w:val="20"/>
          <w:szCs w:val="20"/>
          <w:color w:val="auto"/>
        </w:rPr>
      </w:pPr>
    </w:p>
    <w:p>
      <w:pPr>
        <w:jc w:val="center"/>
        <w:ind w:left="5320"/>
        <w:spacing w:after="0"/>
        <w:rPr>
          <w:sz w:val="20"/>
          <w:szCs w:val="20"/>
          <w:color w:val="auto"/>
        </w:rPr>
      </w:pPr>
      <w:r>
        <w:rPr>
          <w:rFonts w:ascii="Arial" w:cs="Arial" w:eastAsia="Arial" w:hAnsi="Arial"/>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3314065</wp:posOffset>
            </wp:positionH>
            <wp:positionV relativeFrom="paragraph">
              <wp:posOffset>17145</wp:posOffset>
            </wp:positionV>
            <wp:extent cx="168846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688465" cy="8255"/>
                    </a:xfrm>
                    <a:prstGeom prst="rect">
                      <a:avLst/>
                    </a:prstGeom>
                    <a:noFill/>
                  </pic:spPr>
                </pic:pic>
              </a:graphicData>
            </a:graphic>
          </wp:anchor>
        </w:drawing>
      </w:r>
    </w:p>
    <w:p>
      <w:pPr>
        <w:spacing w:after="0" w:line="7" w:lineRule="exact"/>
        <w:rPr>
          <w:sz w:val="20"/>
          <w:szCs w:val="20"/>
          <w:color w:val="auto"/>
        </w:rPr>
      </w:pPr>
    </w:p>
    <w:p>
      <w:pPr>
        <w:ind w:left="5320"/>
        <w:spacing w:after="0"/>
        <w:tabs>
          <w:tab w:leader="none" w:pos="67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3314065</wp:posOffset>
            </wp:positionH>
            <wp:positionV relativeFrom="paragraph">
              <wp:posOffset>14605</wp:posOffset>
            </wp:positionV>
            <wp:extent cx="168846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68846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jc w:val="center"/>
        <w:ind w:right="660"/>
        <w:spacing w:after="0"/>
        <w:rPr>
          <w:sz w:val="20"/>
          <w:szCs w:val="20"/>
          <w:color w:val="auto"/>
        </w:rPr>
      </w:pPr>
      <w:r>
        <w:rPr>
          <w:rFonts w:ascii="Arial" w:cs="Arial" w:eastAsia="Arial" w:hAnsi="Arial"/>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17145</wp:posOffset>
            </wp:positionV>
            <wp:extent cx="16459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7" w:lineRule="exact"/>
        <w:rPr>
          <w:sz w:val="20"/>
          <w:szCs w:val="20"/>
          <w:color w:val="auto"/>
        </w:rPr>
      </w:pPr>
    </w:p>
    <w:p>
      <w:pPr>
        <w:jc w:val="center"/>
        <w:ind w:right="660"/>
        <w:spacing w:after="0"/>
        <w:tabs>
          <w:tab w:leader="none" w:pos="3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14605</wp:posOffset>
            </wp:positionV>
            <wp:extent cx="16459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3" w:lineRule="exact"/>
        <w:rPr>
          <w:sz w:val="20"/>
          <w:szCs w:val="20"/>
          <w:color w:val="auto"/>
        </w:rPr>
      </w:pPr>
    </w:p>
    <w:p>
      <w:pPr>
        <w:sectPr>
          <w:pgSz w:w="11900" w:h="16838" w:orient="portrait"/>
          <w:cols w:equalWidth="0" w:num="2">
            <w:col w:w="7780" w:space="380"/>
            <w:col w:w="3080"/>
          </w:cols>
          <w:pgMar w:left="320" w:top="584" w:right="339" w:bottom="1440" w:gutter="0" w:footer="0" w:header="0"/>
          <w:type w:val="continuous"/>
        </w:sectPr>
      </w:pPr>
    </w:p>
    <w:p>
      <w:pPr>
        <w:ind w:left="660"/>
        <w:spacing w:after="0"/>
        <w:tabs>
          <w:tab w:leader="none" w:pos="5200" w:val="left"/>
          <w:tab w:leader="none" w:pos="6160" w:val="left"/>
          <w:tab w:leader="none" w:pos="6640" w:val="left"/>
          <w:tab w:leader="none" w:pos="7580" w:val="left"/>
          <w:tab w:leader="none" w:pos="8040" w:val="left"/>
          <w:tab w:leader="none" w:pos="8980" w:val="left"/>
          <w:tab w:leader="none" w:pos="9440" w:val="left"/>
          <w:tab w:leader="none" w:pos="10360" w:val="left"/>
        </w:tabs>
        <w:rPr>
          <w:sz w:val="20"/>
          <w:szCs w:val="20"/>
          <w:color w:val="auto"/>
        </w:rPr>
      </w:pPr>
      <w:r>
        <w:rPr>
          <w:rFonts w:ascii="Arial" w:cs="Arial" w:eastAsia="Arial" w:hAnsi="Arial"/>
          <w:sz w:val="18"/>
          <w:szCs w:val="18"/>
          <w:color w:val="auto"/>
        </w:rPr>
        <w:t>Deferred compensation expense</w:t>
      </w:r>
      <w:r>
        <w:rPr>
          <w:sz w:val="20"/>
          <w:szCs w:val="20"/>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202</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198</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355</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25"/>
          <w:szCs w:val="25"/>
          <w:color w:val="auto"/>
          <w:vertAlign w:val="superscript"/>
        </w:rPr>
        <w:t>294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-253365</wp:posOffset>
            </wp:positionV>
            <wp:extent cx="641223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12230" cy="163195"/>
                    </a:xfrm>
                    <a:prstGeom prst="rect">
                      <a:avLst/>
                    </a:prstGeom>
                    <a:noFill/>
                  </pic:spPr>
                </pic:pic>
              </a:graphicData>
            </a:graphic>
          </wp:anchor>
        </w:drawing>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 Compensation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2021 Plan</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On March 10, 2021, our shareholders approved the Bassett Furniture Industries, Incorporated 2021 Stock Incentive Plan (the “2021 Plan”). All present and future non-employee directors, key employees and outside consultants for the Company are eligible to receive incentive awards under the 2021 Plan. Our Organization, Compensation and Nominating Committee (the “OCN Committee”) selects eligible key employees and outside consultants to receive awards under the 2021 Plan in its discretion. Our Board of Directors or any committee designated by the Board of Directors selects eligible non-employee directors to receive awards under the 2021 Plan in its discretion. Five hundred thousand (500,000) shares of common stock are reserved for issuance under the 2021 Plan. Participants may receive the following types of incentive awards under the 2021 Plan: stock options, stock appreciation rights, payment shares, restricted stock, restricted stock units and performance shares. Stock options may be incentive stock options or non-qualified stock options. Stock appreciation rights may be granted in tandem with stock options or as a freestanding award. Non-employee directors and outside consultants are eligible to receive restricted stock and restricted stock units only. The full terms of the 2021 Plan have been filed as an exhibit to our Schedule 14A filed with the United States Securities and Exchange Commission on February 8, 2021.</w:t>
      </w:r>
    </w:p>
    <w:p>
      <w:pPr>
        <w:spacing w:after="0" w:line="18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second quarter of fiscal 2021, 7,105 restricted shares with an aggregate fair value of $175 were granted to our non-employee directors under the 2021 Plan. These shares will fully vest on the first anniversary of the grant.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2010 Plan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Bassett Furniture Industries, Incorporated 2010 Stock Incentive Plan, which was approved on April 14, 2010 and amended and restated effective January 13, 2016 (the “2010 Plan”), expired in April of 2020 and no additional grants can be awarded under the plan. During the six months ended May 29, 2021, 31,000 restricted shares previously granted under the 2010 Plan were vested and released, of which 10,850 shares were withheld to cover withholding taxes of $219. At May 29, 2021, there were 3,500 unvested restricted shares outstanding that were granted under the 2010 Plan and will vest during the fourth quarter of fiscal 2022.</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During the three and six months ended May 29, 2021, 5,250 stock options granted under the 2010 Plan were exercised resulting in proceeds to the Company of $42. At May 29, 2021, there were no additional stock options outstanding under the 2010 Plan.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Stock compensation expense for the three and six months ended May 29, 2021 and May 30, 2020 was as follows:</w:t>
      </w:r>
    </w:p>
    <w:p>
      <w:pPr>
        <w:sectPr>
          <w:pgSz w:w="11900" w:h="16838" w:orient="portrait"/>
          <w:cols w:equalWidth="0" w:num="1">
            <w:col w:w="11240"/>
          </w:cols>
          <w:pgMar w:left="320" w:top="584" w:right="339" w:bottom="1440" w:gutter="0" w:footer="0" w:header="0"/>
          <w:type w:val="continuous"/>
        </w:sectPr>
      </w:pPr>
    </w:p>
    <w:p>
      <w:pPr>
        <w:spacing w:after="0" w:line="200" w:lineRule="exact"/>
        <w:rPr>
          <w:sz w:val="20"/>
          <w:szCs w:val="20"/>
          <w:color w:val="auto"/>
        </w:rPr>
      </w:pPr>
    </w:p>
    <w:p>
      <w:pPr>
        <w:spacing w:after="0" w:line="237" w:lineRule="exact"/>
        <w:rPr>
          <w:sz w:val="20"/>
          <w:szCs w:val="20"/>
          <w:color w:val="auto"/>
        </w:rPr>
      </w:pPr>
    </w:p>
    <w:p>
      <w:pPr>
        <w:jc w:val="center"/>
        <w:ind w:left="5320"/>
        <w:spacing w:after="0"/>
        <w:rPr>
          <w:sz w:val="20"/>
          <w:szCs w:val="20"/>
          <w:color w:val="auto"/>
        </w:rPr>
      </w:pPr>
      <w:r>
        <w:rPr>
          <w:rFonts w:ascii="Arial" w:cs="Arial" w:eastAsia="Arial" w:hAnsi="Arial"/>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3314065</wp:posOffset>
            </wp:positionH>
            <wp:positionV relativeFrom="paragraph">
              <wp:posOffset>17145</wp:posOffset>
            </wp:positionV>
            <wp:extent cx="168846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688465" cy="8255"/>
                    </a:xfrm>
                    <a:prstGeom prst="rect">
                      <a:avLst/>
                    </a:prstGeom>
                    <a:noFill/>
                  </pic:spPr>
                </pic:pic>
              </a:graphicData>
            </a:graphic>
          </wp:anchor>
        </w:drawing>
      </w:r>
    </w:p>
    <w:p>
      <w:pPr>
        <w:spacing w:after="0" w:line="7" w:lineRule="exact"/>
        <w:rPr>
          <w:sz w:val="20"/>
          <w:szCs w:val="20"/>
          <w:color w:val="auto"/>
        </w:rPr>
      </w:pPr>
    </w:p>
    <w:p>
      <w:pPr>
        <w:ind w:left="5320"/>
        <w:spacing w:after="0"/>
        <w:tabs>
          <w:tab w:leader="none" w:pos="67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3314065</wp:posOffset>
            </wp:positionH>
            <wp:positionV relativeFrom="paragraph">
              <wp:posOffset>14605</wp:posOffset>
            </wp:positionV>
            <wp:extent cx="168846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68846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7" w:lineRule="exact"/>
        <w:rPr>
          <w:sz w:val="20"/>
          <w:szCs w:val="20"/>
          <w:color w:val="auto"/>
        </w:rPr>
      </w:pPr>
    </w:p>
    <w:p>
      <w:pPr>
        <w:jc w:val="center"/>
        <w:ind w:right="660"/>
        <w:spacing w:after="0"/>
        <w:rPr>
          <w:sz w:val="20"/>
          <w:szCs w:val="20"/>
          <w:color w:val="auto"/>
        </w:rPr>
      </w:pPr>
      <w:r>
        <w:rPr>
          <w:rFonts w:ascii="Arial" w:cs="Arial" w:eastAsia="Arial" w:hAnsi="Arial"/>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17145</wp:posOffset>
            </wp:positionV>
            <wp:extent cx="16459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7" w:lineRule="exact"/>
        <w:rPr>
          <w:sz w:val="20"/>
          <w:szCs w:val="20"/>
          <w:color w:val="auto"/>
        </w:rPr>
      </w:pPr>
    </w:p>
    <w:p>
      <w:pPr>
        <w:jc w:val="center"/>
        <w:ind w:right="660"/>
        <w:spacing w:after="0"/>
        <w:tabs>
          <w:tab w:leader="none" w:pos="34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14605</wp:posOffset>
            </wp:positionV>
            <wp:extent cx="16459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3" w:lineRule="exact"/>
        <w:rPr>
          <w:sz w:val="20"/>
          <w:szCs w:val="20"/>
          <w:color w:val="auto"/>
        </w:rPr>
      </w:pPr>
    </w:p>
    <w:p>
      <w:pPr>
        <w:sectPr>
          <w:pgSz w:w="11900" w:h="16838" w:orient="portrait"/>
          <w:cols w:equalWidth="0" w:num="2">
            <w:col w:w="7780" w:space="380"/>
            <w:col w:w="3080"/>
          </w:cols>
          <w:pgMar w:left="320" w:top="584" w:right="339" w:bottom="1440" w:gutter="0" w:footer="0" w:header="0"/>
          <w:type w:val="continuous"/>
        </w:sectPr>
      </w:pPr>
    </w:p>
    <w:p>
      <w:pPr>
        <w:ind w:left="660"/>
        <w:spacing w:after="0"/>
        <w:tabs>
          <w:tab w:leader="none" w:pos="5200" w:val="left"/>
          <w:tab w:leader="none" w:pos="6240" w:val="left"/>
          <w:tab w:leader="none" w:pos="6640" w:val="left"/>
          <w:tab w:leader="none" w:pos="7580" w:val="left"/>
          <w:tab w:leader="none" w:pos="8040" w:val="left"/>
          <w:tab w:leader="none" w:pos="9060" w:val="left"/>
          <w:tab w:leader="none" w:pos="9440" w:val="left"/>
          <w:tab w:leader="none" w:pos="10360" w:val="left"/>
        </w:tabs>
        <w:rPr>
          <w:sz w:val="20"/>
          <w:szCs w:val="20"/>
          <w:color w:val="auto"/>
        </w:rPr>
      </w:pPr>
      <w:r>
        <w:rPr>
          <w:rFonts w:ascii="Arial" w:cs="Arial" w:eastAsia="Arial" w:hAnsi="Arial"/>
          <w:sz w:val="18"/>
          <w:szCs w:val="18"/>
          <w:color w:val="auto"/>
        </w:rPr>
        <w:t>Stock compensation expense</w:t>
      </w:r>
      <w:r>
        <w:rPr>
          <w:sz w:val="20"/>
          <w:szCs w:val="20"/>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48</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124</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36"/>
          <w:szCs w:val="36"/>
          <w:color w:val="auto"/>
          <w:vertAlign w:val="superscript"/>
        </w:rPr>
        <w:t>62</w:t>
      </w:r>
      <w:r>
        <w:rPr>
          <w:rFonts w:ascii="Arial" w:cs="Arial" w:eastAsia="Arial" w:hAnsi="Arial"/>
          <w:sz w:val="36"/>
          <w:szCs w:val="36"/>
          <w:color w:val="auto"/>
        </w:rPr>
        <w:tab/>
      </w:r>
      <w:r>
        <w:rPr>
          <w:rFonts w:ascii="Arial" w:cs="Arial" w:eastAsia="Arial" w:hAnsi="Arial"/>
          <w:sz w:val="36"/>
          <w:szCs w:val="36"/>
          <w:color w:val="auto"/>
          <w:vertAlign w:val="superscript"/>
        </w:rPr>
        <w:t>$</w:t>
      </w:r>
      <w:r>
        <w:rPr>
          <w:sz w:val="20"/>
          <w:szCs w:val="20"/>
          <w:color w:val="auto"/>
        </w:rPr>
        <w:tab/>
      </w:r>
      <w:r>
        <w:rPr>
          <w:rFonts w:ascii="Arial" w:cs="Arial" w:eastAsia="Arial" w:hAnsi="Arial"/>
          <w:sz w:val="25"/>
          <w:szCs w:val="25"/>
          <w:color w:val="auto"/>
          <w:vertAlign w:val="superscript"/>
        </w:rPr>
        <w:t>215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-253365</wp:posOffset>
            </wp:positionV>
            <wp:extent cx="6412230" cy="1631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412230" cy="163195"/>
                    </a:xfrm>
                    <a:prstGeom prst="rect">
                      <a:avLst/>
                    </a:prstGeom>
                    <a:noFill/>
                  </pic:spPr>
                </pic:pic>
              </a:graphicData>
            </a:graphic>
          </wp:anchor>
        </w:drawing>
      </w:r>
    </w:p>
    <w:p>
      <w:pPr>
        <w:spacing w:after="0" w:line="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type w:val="continuous"/>
        </w:sectPr>
      </w:pPr>
    </w:p>
    <w:bookmarkStart w:id="15" w:name="page16"/>
    <w:bookmarkEnd w:id="15"/>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ind w:right="9120" w:firstLine="8"/>
        <w:spacing w:after="0" w:line="503" w:lineRule="auto"/>
        <w:tabs>
          <w:tab w:leader="none" w:pos="27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Other Operating Losses </w:t>
      </w:r>
      <w:r>
        <w:rPr>
          <w:rFonts w:ascii="Arial" w:cs="Arial" w:eastAsia="Arial" w:hAnsi="Arial"/>
          <w:sz w:val="18"/>
          <w:szCs w:val="18"/>
          <w:b w:val="1"/>
          <w:bCs w:val="1"/>
          <w:u w:val="single" w:color="auto"/>
          <w:color w:val="auto"/>
        </w:rPr>
        <w:t>Fiscal 2020</w:t>
      </w:r>
    </w:p>
    <w:p>
      <w:pPr>
        <w:spacing w:after="0"/>
        <w:rPr>
          <w:sz w:val="20"/>
          <w:szCs w:val="20"/>
          <w:color w:val="auto"/>
        </w:rPr>
      </w:pPr>
      <w:r>
        <w:rPr>
          <w:rFonts w:ascii="Arial" w:cs="Arial" w:eastAsia="Arial" w:hAnsi="Arial"/>
          <w:sz w:val="18"/>
          <w:szCs w:val="18"/>
          <w:b w:val="1"/>
          <w:bCs w:val="1"/>
          <w:i w:val="1"/>
          <w:iCs w:val="1"/>
          <w:color w:val="auto"/>
        </w:rPr>
        <w:t>Asset Impairment Charges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During the three and six months ended May 30, 2020, we recorded $11,114 of non-cash impairment charges on the assets of five underperforming retail stores, including $6,239 for the impairment of operating lease right-of-use assets associated with the leased locations. Our estimates of the fair value of the impaired right-of-use assets included estimates of discounted cash flows based upon current market rents and other inputs which we consider to be Level 3 inputs as specified in the fair value hierarchy in ASC Topic 820, Fair Value Measurement and Disclosure (see Note 3).</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three and six months ended May 30, 2020, we incurred $1,070 of non-cash impairment charges in our wholesale segment, primarily due to the closing of our custom upholstery manufacturing facility in Grand Prairie, Texas, in May 2020.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Litigation Expense</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During the three and six months ended May 30, 2020 we accrued $1,050 relating to estimated costs to resolve certain wage and hour violation claims that had been asserted against the Company.</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Commitments and Contingencies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Lease Guarantees</w:t>
      </w:r>
    </w:p>
    <w:p>
      <w:pPr>
        <w:spacing w:after="0" w:line="229"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We have guaranteed certain lease obligations of licensee operators. Lease guarantees range from one to three years. We were contingently liable under licensee lease obligation guarantees in the amounts of $2,073 and $1,811 at May 29, 2021 and November 28, 2020, respectively.</w:t>
      </w:r>
    </w:p>
    <w:p>
      <w:pPr>
        <w:spacing w:after="0" w:line="14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the event of default by an independent dealer under the guaranteed lease, we believe that the risk of loss is mitigated through a combination of options that include, but are not limited to, arranging for a replacement dealer or liquidating the collateral (primarily inventory). The proceeds of the above options are expected to cover the estimated amount of our future payments under the guarantee obligations, net of recorded reserves. The fair value of lease guarantees (an estimate of the cost to the Company to perform on these guarantees) at May 29, 2021 and November 28, 2020 was not material.</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6" w:name="page17"/>
    <w:bookmarkEnd w:id="16"/>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gridSpan w:val="3"/>
          </w:tcPr>
          <w:p>
            <w:pPr>
              <w:spacing w:after="0"/>
              <w:rPr>
                <w:sz w:val="20"/>
                <w:szCs w:val="20"/>
                <w:color w:val="auto"/>
              </w:rPr>
            </w:pPr>
            <w:r>
              <w:rPr>
                <w:rFonts w:ascii="Arial" w:cs="Arial" w:eastAsia="Arial" w:hAnsi="Arial"/>
                <w:sz w:val="18"/>
                <w:szCs w:val="18"/>
                <w:b w:val="1"/>
                <w:bCs w:val="1"/>
                <w:color w:val="auto"/>
              </w:rPr>
              <w:t>13. Earnings (Loss) Per Share</w:t>
            </w:r>
          </w:p>
        </w:tc>
        <w:tc>
          <w:tcPr>
            <w:tcW w:w="2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980" w:type="dxa"/>
            <w:vAlign w:val="bottom"/>
            <w:gridSpan w:val="3"/>
          </w:tcPr>
          <w:p>
            <w:pPr>
              <w:spacing w:after="0"/>
              <w:rPr>
                <w:sz w:val="20"/>
                <w:szCs w:val="20"/>
                <w:color w:val="auto"/>
              </w:rPr>
            </w:pPr>
            <w:r>
              <w:rPr>
                <w:rFonts w:ascii="Arial" w:cs="Arial" w:eastAsia="Arial" w:hAnsi="Arial"/>
                <w:sz w:val="18"/>
                <w:szCs w:val="18"/>
                <w:color w:val="auto"/>
              </w:rPr>
              <w:t>The following reconciles basic and diluted earnings (loss) per share:</w:t>
            </w: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2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560" w:type="dxa"/>
            <w:vAlign w:val="bottom"/>
          </w:tcPr>
          <w:p>
            <w:pPr>
              <w:jc w:val="right"/>
              <w:ind w:right="50"/>
              <w:spacing w:after="0"/>
              <w:rPr>
                <w:sz w:val="20"/>
                <w:szCs w:val="20"/>
                <w:color w:val="auto"/>
              </w:rPr>
            </w:pPr>
            <w:r>
              <w:rPr>
                <w:rFonts w:ascii="Arial" w:cs="Arial" w:eastAsia="Arial" w:hAnsi="Arial"/>
                <w:sz w:val="18"/>
                <w:szCs w:val="18"/>
                <w:color w:val="auto"/>
                <w:w w:val="94"/>
              </w:rPr>
              <w:t>Weighted Average</w:t>
            </w:r>
          </w:p>
        </w:tc>
        <w:tc>
          <w:tcPr>
            <w:tcW w:w="280" w:type="dxa"/>
            <w:vAlign w:val="bottom"/>
          </w:tcPr>
          <w:p>
            <w:pPr>
              <w:spacing w:after="0"/>
              <w:rPr>
                <w:sz w:val="24"/>
                <w:szCs w:val="24"/>
                <w:color w:val="auto"/>
              </w:rPr>
            </w:pPr>
          </w:p>
        </w:tc>
        <w:tc>
          <w:tcPr>
            <w:tcW w:w="1300" w:type="dxa"/>
            <w:vAlign w:val="bottom"/>
            <w:gridSpan w:val="2"/>
          </w:tcPr>
          <w:p>
            <w:pPr>
              <w:jc w:val="right"/>
              <w:ind w:right="360"/>
              <w:spacing w:after="0"/>
              <w:rPr>
                <w:sz w:val="20"/>
                <w:szCs w:val="20"/>
                <w:color w:val="auto"/>
              </w:rPr>
            </w:pPr>
            <w:r>
              <w:rPr>
                <w:rFonts w:ascii="Arial" w:cs="Arial" w:eastAsia="Arial" w:hAnsi="Arial"/>
                <w:sz w:val="18"/>
                <w:szCs w:val="18"/>
                <w:color w:val="auto"/>
                <w:w w:val="99"/>
              </w:rPr>
              <w:t>Net Income</w:t>
            </w:r>
          </w:p>
        </w:tc>
      </w:tr>
      <w:tr>
        <w:trPr>
          <w:trHeight w:val="230"/>
        </w:trPr>
        <w:tc>
          <w:tcPr>
            <w:tcW w:w="2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tcPr>
          <w:p>
            <w:pPr>
              <w:jc w:val="right"/>
              <w:ind w:right="350"/>
              <w:spacing w:after="0"/>
              <w:rPr>
                <w:sz w:val="20"/>
                <w:szCs w:val="20"/>
                <w:color w:val="auto"/>
              </w:rPr>
            </w:pPr>
            <w:r>
              <w:rPr>
                <w:rFonts w:ascii="Arial" w:cs="Arial" w:eastAsia="Arial" w:hAnsi="Arial"/>
                <w:sz w:val="18"/>
                <w:szCs w:val="18"/>
                <w:color w:val="auto"/>
                <w:w w:val="97"/>
              </w:rPr>
              <w:t>Net Income</w:t>
            </w:r>
          </w:p>
        </w:tc>
        <w:tc>
          <w:tcPr>
            <w:tcW w:w="1560" w:type="dxa"/>
            <w:vAlign w:val="bottom"/>
          </w:tcPr>
          <w:p>
            <w:pPr>
              <w:jc w:val="right"/>
              <w:ind w:right="470"/>
              <w:spacing w:after="0"/>
              <w:rPr>
                <w:sz w:val="20"/>
                <w:szCs w:val="20"/>
                <w:color w:val="auto"/>
              </w:rPr>
            </w:pPr>
            <w:r>
              <w:rPr>
                <w:rFonts w:ascii="Arial" w:cs="Arial" w:eastAsia="Arial" w:hAnsi="Arial"/>
                <w:sz w:val="18"/>
                <w:szCs w:val="18"/>
                <w:color w:val="auto"/>
              </w:rPr>
              <w:t>Shares</w:t>
            </w:r>
          </w:p>
        </w:tc>
        <w:tc>
          <w:tcPr>
            <w:tcW w:w="280" w:type="dxa"/>
            <w:vAlign w:val="bottom"/>
          </w:tcPr>
          <w:p>
            <w:pPr>
              <w:spacing w:after="0"/>
              <w:rPr>
                <w:sz w:val="20"/>
                <w:szCs w:val="20"/>
                <w:color w:val="auto"/>
              </w:rPr>
            </w:pPr>
          </w:p>
        </w:tc>
        <w:tc>
          <w:tcPr>
            <w:tcW w:w="1300" w:type="dxa"/>
            <w:vAlign w:val="bottom"/>
            <w:gridSpan w:val="2"/>
          </w:tcPr>
          <w:p>
            <w:pPr>
              <w:jc w:val="right"/>
              <w:ind w:right="440"/>
              <w:spacing w:after="0"/>
              <w:rPr>
                <w:sz w:val="20"/>
                <w:szCs w:val="20"/>
                <w:color w:val="auto"/>
              </w:rPr>
            </w:pPr>
            <w:r>
              <w:rPr>
                <w:rFonts w:ascii="Arial" w:cs="Arial" w:eastAsia="Arial" w:hAnsi="Arial"/>
                <w:sz w:val="18"/>
                <w:szCs w:val="18"/>
                <w:color w:val="auto"/>
              </w:rPr>
              <w:t>Per Share</w:t>
            </w:r>
          </w:p>
        </w:tc>
      </w:tr>
      <w:tr>
        <w:trPr>
          <w:trHeight w:val="189"/>
        </w:trPr>
        <w:tc>
          <w:tcPr>
            <w:tcW w:w="598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color w:val="auto"/>
              </w:rPr>
              <w:t>For the quarter ended May 29, 2021:</w:t>
            </w:r>
          </w:p>
        </w:tc>
        <w:tc>
          <w:tcPr>
            <w:tcW w:w="200" w:type="dxa"/>
            <w:vAlign w:val="bottom"/>
            <w:tcBorders>
              <w:top w:val="single" w:sz="8" w:color="auto"/>
            </w:tcBorders>
            <w:shd w:val="clear" w:color="auto" w:fill="CCEEFF"/>
          </w:tcPr>
          <w:p>
            <w:pPr>
              <w:spacing w:after="0"/>
              <w:rPr>
                <w:sz w:val="16"/>
                <w:szCs w:val="16"/>
                <w:color w:val="auto"/>
              </w:rPr>
            </w:pPr>
          </w:p>
        </w:tc>
        <w:tc>
          <w:tcPr>
            <w:tcW w:w="1360" w:type="dxa"/>
            <w:vAlign w:val="bottom"/>
            <w:tcBorders>
              <w:top w:val="single" w:sz="8" w:color="auto"/>
            </w:tcBorders>
            <w:shd w:val="clear" w:color="auto" w:fill="CCEEFF"/>
          </w:tcPr>
          <w:p>
            <w:pPr>
              <w:spacing w:after="0"/>
              <w:rPr>
                <w:sz w:val="16"/>
                <w:szCs w:val="16"/>
                <w:color w:val="auto"/>
              </w:rPr>
            </w:pPr>
          </w:p>
        </w:tc>
        <w:tc>
          <w:tcPr>
            <w:tcW w:w="156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2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306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360" w:type="dxa"/>
            <w:vAlign w:val="bottom"/>
            <w:tcBorders>
              <w:top w:val="single" w:sz="8" w:color="CCEEFF"/>
            </w:tcBorders>
          </w:tcPr>
          <w:p>
            <w:pPr>
              <w:spacing w:after="0"/>
              <w:rPr>
                <w:sz w:val="18"/>
                <w:szCs w:val="18"/>
                <w:color w:val="auto"/>
              </w:rPr>
            </w:pPr>
          </w:p>
        </w:tc>
        <w:tc>
          <w:tcPr>
            <w:tcW w:w="1560" w:type="dxa"/>
            <w:vAlign w:val="bottom"/>
            <w:tcBorders>
              <w:top w:val="single" w:sz="8" w:color="CCEEFF"/>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Basic earnings per share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5,974</w:t>
            </w:r>
          </w:p>
        </w:tc>
        <w:tc>
          <w:tcPr>
            <w:tcW w:w="1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9,894,627</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0.60</w:t>
            </w: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Add effect of dilutive securities:</w:t>
            </w: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Options and restricted shares</w:t>
            </w:r>
          </w:p>
        </w:tc>
        <w:tc>
          <w:tcPr>
            <w:tcW w:w="2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5,476</w:t>
            </w:r>
          </w:p>
        </w:tc>
        <w:tc>
          <w:tcPr>
            <w:tcW w:w="2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980" w:type="dxa"/>
            <w:vAlign w:val="bottom"/>
            <w:gridSpan w:val="3"/>
          </w:tcPr>
          <w:p>
            <w:pPr>
              <w:spacing w:after="0"/>
              <w:rPr>
                <w:sz w:val="20"/>
                <w:szCs w:val="20"/>
                <w:color w:val="auto"/>
              </w:rPr>
            </w:pPr>
            <w:r>
              <w:rPr>
                <w:rFonts w:ascii="Arial" w:cs="Arial" w:eastAsia="Arial" w:hAnsi="Arial"/>
                <w:sz w:val="18"/>
                <w:szCs w:val="18"/>
                <w:color w:val="auto"/>
              </w:rPr>
              <w:t>Diluted earnings per share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5,974</w:t>
            </w: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9,900,103</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0.60</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6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0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176"/>
        </w:trPr>
        <w:tc>
          <w:tcPr>
            <w:tcW w:w="5980" w:type="dxa"/>
            <w:vAlign w:val="bottom"/>
            <w:gridSpan w:val="3"/>
          </w:tcPr>
          <w:p>
            <w:pPr>
              <w:spacing w:after="0" w:line="176" w:lineRule="exact"/>
              <w:rPr>
                <w:sz w:val="20"/>
                <w:szCs w:val="20"/>
                <w:color w:val="auto"/>
              </w:rPr>
            </w:pPr>
            <w:r>
              <w:rPr>
                <w:rFonts w:ascii="Arial" w:cs="Arial" w:eastAsia="Arial" w:hAnsi="Arial"/>
                <w:sz w:val="18"/>
                <w:szCs w:val="18"/>
                <w:color w:val="auto"/>
              </w:rPr>
              <w:t>For the quarter ended May 30, 2020:</w:t>
            </w:r>
          </w:p>
        </w:tc>
        <w:tc>
          <w:tcPr>
            <w:tcW w:w="2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2660" w:type="dxa"/>
            <w:vAlign w:val="bottom"/>
            <w:tcBorders>
              <w:top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26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Basic loss per share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(20,352)</w:t>
            </w: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9,956,975</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(2.04)</w:t>
            </w: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Add effect of dilutive securities:</w:t>
            </w: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gridSpan w:val="3"/>
          </w:tcPr>
          <w:p>
            <w:pPr>
              <w:ind w:left="180"/>
              <w:spacing w:after="0"/>
              <w:rPr>
                <w:sz w:val="20"/>
                <w:szCs w:val="20"/>
                <w:color w:val="auto"/>
              </w:rPr>
            </w:pPr>
            <w:r>
              <w:rPr>
                <w:rFonts w:ascii="Arial" w:cs="Arial" w:eastAsia="Arial" w:hAnsi="Arial"/>
                <w:sz w:val="18"/>
                <w:szCs w:val="18"/>
                <w:color w:val="auto"/>
              </w:rPr>
              <w:t>Options and restricted shares*</w:t>
            </w:r>
          </w:p>
        </w:tc>
        <w:tc>
          <w:tcPr>
            <w:tcW w:w="2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50"/>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Diluted loss per share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(20,352)</w:t>
            </w:r>
          </w:p>
        </w:tc>
        <w:tc>
          <w:tcPr>
            <w:tcW w:w="1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9,956,975</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(2.04)</w:t>
            </w:r>
          </w:p>
        </w:tc>
      </w:tr>
      <w:tr>
        <w:trPr>
          <w:trHeight w:val="196"/>
        </w:trPr>
        <w:tc>
          <w:tcPr>
            <w:tcW w:w="26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306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26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75"/>
        </w:trPr>
        <w:tc>
          <w:tcPr>
            <w:tcW w:w="5980" w:type="dxa"/>
            <w:vAlign w:val="bottom"/>
            <w:gridSpan w:val="3"/>
          </w:tcPr>
          <w:p>
            <w:pPr>
              <w:spacing w:after="0" w:line="176" w:lineRule="exact"/>
              <w:rPr>
                <w:sz w:val="20"/>
                <w:szCs w:val="20"/>
                <w:color w:val="auto"/>
              </w:rPr>
            </w:pPr>
            <w:r>
              <w:rPr>
                <w:rFonts w:ascii="Arial" w:cs="Arial" w:eastAsia="Arial" w:hAnsi="Arial"/>
                <w:sz w:val="18"/>
                <w:szCs w:val="18"/>
                <w:color w:val="auto"/>
              </w:rPr>
              <w:t>For the six months ended May 29, 2021:</w:t>
            </w:r>
          </w:p>
        </w:tc>
        <w:tc>
          <w:tcPr>
            <w:tcW w:w="2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
        </w:trPr>
        <w:tc>
          <w:tcPr>
            <w:tcW w:w="266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26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Basic earnings per share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9,985</w:t>
            </w: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9,907,073</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1.01</w:t>
            </w: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Add effect of dilutive securities:</w:t>
            </w:r>
          </w:p>
        </w:tc>
        <w:tc>
          <w:tcPr>
            <w:tcW w:w="2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gridSpan w:val="3"/>
          </w:tcPr>
          <w:p>
            <w:pPr>
              <w:ind w:left="180"/>
              <w:spacing w:after="0"/>
              <w:rPr>
                <w:sz w:val="20"/>
                <w:szCs w:val="20"/>
                <w:color w:val="auto"/>
              </w:rPr>
            </w:pPr>
            <w:r>
              <w:rPr>
                <w:rFonts w:ascii="Arial" w:cs="Arial" w:eastAsia="Arial" w:hAnsi="Arial"/>
                <w:sz w:val="18"/>
                <w:szCs w:val="18"/>
                <w:color w:val="auto"/>
              </w:rPr>
              <w:t>Options and restricted shares</w:t>
            </w:r>
          </w:p>
        </w:tc>
        <w:tc>
          <w:tcPr>
            <w:tcW w:w="2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12,629</w:t>
            </w:r>
          </w:p>
        </w:tc>
        <w:tc>
          <w:tcPr>
            <w:tcW w:w="2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50"/>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9,985</w:t>
            </w:r>
          </w:p>
        </w:tc>
        <w:tc>
          <w:tcPr>
            <w:tcW w:w="1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9,919,702</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1.01</w:t>
            </w:r>
          </w:p>
        </w:tc>
      </w:tr>
      <w:tr>
        <w:trPr>
          <w:trHeight w:val="196"/>
        </w:trPr>
        <w:tc>
          <w:tcPr>
            <w:tcW w:w="266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306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5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598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color w:val="auto"/>
              </w:rPr>
              <w:t>For the six months ended May 30, 2020:</w:t>
            </w:r>
          </w:p>
        </w:tc>
        <w:tc>
          <w:tcPr>
            <w:tcW w:w="2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66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06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360" w:type="dxa"/>
            <w:vAlign w:val="bottom"/>
            <w:tcBorders>
              <w:top w:val="single" w:sz="8" w:color="CCEEFF"/>
            </w:tcBorders>
          </w:tcPr>
          <w:p>
            <w:pPr>
              <w:spacing w:after="0"/>
              <w:rPr>
                <w:sz w:val="18"/>
                <w:szCs w:val="18"/>
                <w:color w:val="auto"/>
              </w:rPr>
            </w:pPr>
          </w:p>
        </w:tc>
        <w:tc>
          <w:tcPr>
            <w:tcW w:w="1560" w:type="dxa"/>
            <w:vAlign w:val="bottom"/>
            <w:tcBorders>
              <w:top w:val="single" w:sz="8" w:color="CCEEFF"/>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20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Basic loss per share</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(19,142)</w:t>
            </w:r>
          </w:p>
        </w:tc>
        <w:tc>
          <w:tcPr>
            <w:tcW w:w="15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9,992,101</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(1.92)</w:t>
            </w: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Add effect of dilutive securities:</w:t>
            </w: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Options and restricted shares *</w:t>
            </w:r>
          </w:p>
        </w:tc>
        <w:tc>
          <w:tcPr>
            <w:tcW w:w="2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980" w:type="dxa"/>
            <w:vAlign w:val="bottom"/>
            <w:gridSpan w:val="3"/>
          </w:tcPr>
          <w:p>
            <w:pPr>
              <w:spacing w:after="0"/>
              <w:rPr>
                <w:sz w:val="20"/>
                <w:szCs w:val="20"/>
                <w:color w:val="auto"/>
              </w:rPr>
            </w:pPr>
            <w:r>
              <w:rPr>
                <w:rFonts w:ascii="Arial" w:cs="Arial" w:eastAsia="Arial" w:hAnsi="Arial"/>
                <w:sz w:val="18"/>
                <w:szCs w:val="18"/>
                <w:color w:val="auto"/>
              </w:rPr>
              <w:t>Diluted loss per share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(19,142)</w:t>
            </w:r>
          </w:p>
        </w:tc>
        <w:tc>
          <w:tcPr>
            <w:tcW w:w="1560" w:type="dxa"/>
            <w:vAlign w:val="bottom"/>
          </w:tcPr>
          <w:p>
            <w:pPr>
              <w:jc w:val="right"/>
              <w:ind w:right="30"/>
              <w:spacing w:after="0"/>
              <w:rPr>
                <w:sz w:val="20"/>
                <w:szCs w:val="20"/>
                <w:color w:val="auto"/>
              </w:rPr>
            </w:pPr>
            <w:r>
              <w:rPr>
                <w:rFonts w:ascii="Arial" w:cs="Arial" w:eastAsia="Arial" w:hAnsi="Arial"/>
                <w:sz w:val="18"/>
                <w:szCs w:val="18"/>
                <w:color w:val="auto"/>
              </w:rPr>
              <w:t>9,992,101</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(1.92)</w:t>
            </w:r>
          </w:p>
        </w:tc>
      </w:tr>
      <w:tr>
        <w:trPr>
          <w:trHeight w:val="20"/>
        </w:trPr>
        <w:tc>
          <w:tcPr>
            <w:tcW w:w="2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 Due to the net loss, potentially dilutive securities would have been anti-dilutive and are therefore excluded.</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For the three and six months ended May 29, 2021 and May 30, 2020, the following potentially dilutive shares were excluded from the computations as their effect was anti-dilutive:</w:t>
      </w:r>
    </w:p>
    <w:p>
      <w:pPr>
        <w:sectPr>
          <w:pgSz w:w="11900" w:h="16838" w:orient="portrait"/>
          <w:cols w:equalWidth="0" w:num="1">
            <w:col w:w="11240"/>
          </w:cols>
          <w:pgMar w:left="320" w:top="584" w:right="339" w:bottom="1440" w:gutter="0" w:footer="0" w:header="0"/>
        </w:sectPr>
      </w:pPr>
    </w:p>
    <w:p>
      <w:pPr>
        <w:spacing w:after="0" w:line="166" w:lineRule="exact"/>
        <w:rPr>
          <w:sz w:val="20"/>
          <w:szCs w:val="20"/>
          <w:color w:val="auto"/>
        </w:rPr>
      </w:pPr>
    </w:p>
    <w:p>
      <w:pPr>
        <w:jc w:val="center"/>
        <w:ind w:left="6020"/>
        <w:spacing w:after="0"/>
        <w:rPr>
          <w:sz w:val="20"/>
          <w:szCs w:val="20"/>
          <w:color w:val="auto"/>
        </w:rPr>
      </w:pPr>
      <w:r>
        <w:rPr>
          <w:rFonts w:ascii="Arial" w:cs="Arial" w:eastAsia="Arial" w:hAnsi="Arial"/>
          <w:sz w:val="18"/>
          <w:szCs w:val="18"/>
          <w:b w:val="1"/>
          <w:bCs w:val="1"/>
          <w:color w:val="auto"/>
        </w:rPr>
        <w:t>Quarter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159448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594485" cy="8890"/>
                    </a:xfrm>
                    <a:prstGeom prst="rect">
                      <a:avLst/>
                    </a:prstGeom>
                    <a:noFill/>
                  </pic:spPr>
                </pic:pic>
              </a:graphicData>
            </a:graphic>
          </wp:anchor>
        </w:drawing>
      </w:r>
    </w:p>
    <w:p>
      <w:pPr>
        <w:spacing w:after="0" w:line="7" w:lineRule="exact"/>
        <w:rPr>
          <w:sz w:val="20"/>
          <w:szCs w:val="20"/>
          <w:color w:val="auto"/>
        </w:rPr>
      </w:pPr>
    </w:p>
    <w:p>
      <w:pPr>
        <w:jc w:val="center"/>
        <w:ind w:left="6020"/>
        <w:spacing w:after="0"/>
        <w:tabs>
          <w:tab w:leader="none" w:pos="320" w:val="left"/>
        </w:tabs>
        <w:rPr>
          <w:sz w:val="20"/>
          <w:szCs w:val="20"/>
          <w:color w:val="auto"/>
        </w:rPr>
      </w:pPr>
      <w:r>
        <w:rPr>
          <w:rFonts w:ascii="Arial" w:cs="Arial" w:eastAsia="Arial" w:hAnsi="Arial"/>
          <w:sz w:val="18"/>
          <w:szCs w:val="18"/>
          <w:b w:val="1"/>
          <w:bCs w:val="1"/>
          <w:color w:val="auto"/>
        </w:rPr>
        <w:t>May 29, 2021</w:t>
      </w:r>
      <w:r>
        <w:rPr>
          <w:sz w:val="20"/>
          <w:szCs w:val="20"/>
          <w:color w:val="auto"/>
        </w:rPr>
        <w:tab/>
      </w:r>
      <w:r>
        <w:rPr>
          <w:rFonts w:ascii="Arial" w:cs="Arial" w:eastAsia="Arial" w:hAnsi="Arial"/>
          <w:sz w:val="16"/>
          <w:szCs w:val="16"/>
          <w:b w:val="1"/>
          <w:bCs w:val="1"/>
          <w:color w:val="auto"/>
        </w:rPr>
        <w:t>May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14605</wp:posOffset>
            </wp:positionV>
            <wp:extent cx="159448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59448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Six Months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17145</wp:posOffset>
            </wp:positionV>
            <wp:extent cx="154305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543050" cy="8890"/>
                    </a:xfrm>
                    <a:prstGeom prst="rect">
                      <a:avLst/>
                    </a:prstGeom>
                    <a:noFill/>
                  </pic:spPr>
                </pic:pic>
              </a:graphicData>
            </a:graphic>
          </wp:anchor>
        </w:drawing>
      </w:r>
    </w:p>
    <w:p>
      <w:pPr>
        <w:spacing w:after="0" w:line="7" w:lineRule="exact"/>
        <w:rPr>
          <w:sz w:val="20"/>
          <w:szCs w:val="20"/>
          <w:color w:val="auto"/>
        </w:rPr>
      </w:pPr>
    </w:p>
    <w:p>
      <w:pPr>
        <w:jc w:val="center"/>
        <w:ind w:right="140"/>
        <w:spacing w:after="0"/>
        <w:tabs>
          <w:tab w:leader="none" w:pos="280" w:val="left"/>
        </w:tabs>
        <w:rPr>
          <w:sz w:val="20"/>
          <w:szCs w:val="20"/>
          <w:color w:val="auto"/>
        </w:rPr>
      </w:pPr>
      <w:r>
        <w:rPr>
          <w:rFonts w:ascii="Arial" w:cs="Arial" w:eastAsia="Arial" w:hAnsi="Arial"/>
          <w:sz w:val="18"/>
          <w:szCs w:val="18"/>
          <w:b w:val="1"/>
          <w:bCs w:val="1"/>
          <w:u w:val="single" w:color="auto"/>
          <w:color w:val="auto"/>
        </w:rPr>
        <w:t>May 29, 2021</w:t>
      </w:r>
      <w:r>
        <w:rPr>
          <w:sz w:val="20"/>
          <w:szCs w:val="20"/>
          <w:color w:val="auto"/>
        </w:rPr>
        <w:tab/>
      </w:r>
      <w:r>
        <w:rPr>
          <w:rFonts w:ascii="Arial" w:cs="Arial" w:eastAsia="Arial" w:hAnsi="Arial"/>
          <w:sz w:val="16"/>
          <w:szCs w:val="16"/>
          <w:b w:val="1"/>
          <w:bCs w:val="1"/>
          <w:u w:val="single" w:color="auto"/>
          <w:color w:val="auto"/>
        </w:rPr>
        <w:t>May 30, 2020</w:t>
      </w:r>
    </w:p>
    <w:p>
      <w:pPr>
        <w:spacing w:after="0" w:line="200" w:lineRule="exact"/>
        <w:rPr>
          <w:sz w:val="20"/>
          <w:szCs w:val="20"/>
          <w:color w:val="auto"/>
        </w:rPr>
      </w:pPr>
    </w:p>
    <w:p>
      <w:pPr>
        <w:sectPr>
          <w:pgSz w:w="11900" w:h="16838" w:orient="portrait"/>
          <w:cols w:equalWidth="0" w:num="2">
            <w:col w:w="8440" w:space="300"/>
            <w:col w:w="2500"/>
          </w:cols>
          <w:pgMar w:left="320" w:top="584" w:right="339" w:bottom="1440" w:gutter="0" w:footer="0" w:header="0"/>
          <w:type w:val="continuous"/>
        </w:sectPr>
      </w:pP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Stock options</w:t>
            </w:r>
          </w:p>
        </w:tc>
        <w:tc>
          <w:tcPr>
            <w:tcW w:w="3640" w:type="dxa"/>
            <w:vAlign w:val="bottom"/>
            <w:gridSpan w:val="2"/>
            <w:shd w:val="clear" w:color="auto" w:fill="CCEEFF"/>
          </w:tcPr>
          <w:p>
            <w:pPr>
              <w:jc w:val="right"/>
              <w:ind w:right="3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5,250</w:t>
            </w:r>
          </w:p>
        </w:tc>
        <w:tc>
          <w:tcPr>
            <w:tcW w:w="152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5,250</w:t>
            </w:r>
          </w:p>
        </w:tc>
      </w:tr>
      <w:tr>
        <w:trPr>
          <w:trHeight w:val="216"/>
        </w:trPr>
        <w:tc>
          <w:tcPr>
            <w:tcW w:w="3920" w:type="dxa"/>
            <w:vAlign w:val="bottom"/>
          </w:tcPr>
          <w:p>
            <w:pPr>
              <w:spacing w:after="0"/>
              <w:rPr>
                <w:sz w:val="20"/>
                <w:szCs w:val="20"/>
                <w:color w:val="auto"/>
              </w:rPr>
            </w:pPr>
            <w:r>
              <w:rPr>
                <w:rFonts w:ascii="Arial" w:cs="Arial" w:eastAsia="Arial" w:hAnsi="Arial"/>
                <w:sz w:val="18"/>
                <w:szCs w:val="18"/>
                <w:color w:val="auto"/>
              </w:rPr>
              <w:t>Unvested shares</w:t>
            </w:r>
          </w:p>
        </w:tc>
        <w:tc>
          <w:tcPr>
            <w:tcW w:w="3640" w:type="dxa"/>
            <w:vAlign w:val="bottom"/>
            <w:gridSpan w:val="2"/>
          </w:tcPr>
          <w:p>
            <w:pPr>
              <w:jc w:val="right"/>
              <w:ind w:right="3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51,653</w:t>
            </w:r>
          </w:p>
        </w:tc>
        <w:tc>
          <w:tcPr>
            <w:tcW w:w="1520" w:type="dxa"/>
            <w:vAlign w:val="bottom"/>
          </w:tcPr>
          <w:p>
            <w:pPr>
              <w:jc w:val="right"/>
              <w:ind w:right="330"/>
              <w:spacing w:after="0"/>
              <w:rPr>
                <w:sz w:val="20"/>
                <w:szCs w:val="20"/>
                <w:color w:val="auto"/>
              </w:rPr>
            </w:pPr>
            <w:r>
              <w:rPr>
                <w:rFonts w:ascii="Arial" w:cs="Arial" w:eastAsia="Arial" w:hAnsi="Arial"/>
                <w:sz w:val="18"/>
                <w:szCs w:val="18"/>
                <w:color w:val="auto"/>
              </w:rPr>
              <w:t>7,105</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88,153</w:t>
            </w:r>
          </w:p>
        </w:tc>
      </w:tr>
      <w:tr>
        <w:trPr>
          <w:trHeight w:val="20"/>
        </w:trPr>
        <w:tc>
          <w:tcPr>
            <w:tcW w:w="39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3920" w:type="dxa"/>
            <w:vAlign w:val="bottom"/>
            <w:shd w:val="clear" w:color="auto" w:fill="CCEEFF"/>
          </w:tcPr>
          <w:p>
            <w:pPr>
              <w:spacing w:after="0"/>
              <w:rPr>
                <w:sz w:val="17"/>
                <w:szCs w:val="17"/>
                <w:color w:val="auto"/>
              </w:rPr>
            </w:pPr>
          </w:p>
        </w:tc>
        <w:tc>
          <w:tcPr>
            <w:tcW w:w="2060" w:type="dxa"/>
            <w:vAlign w:val="bottom"/>
            <w:shd w:val="clear" w:color="auto" w:fill="CCEEFF"/>
          </w:tcPr>
          <w:p>
            <w:pPr>
              <w:spacing w:after="0"/>
              <w:rPr>
                <w:sz w:val="17"/>
                <w:szCs w:val="17"/>
                <w:color w:val="auto"/>
              </w:rPr>
            </w:pPr>
          </w:p>
        </w:tc>
        <w:tc>
          <w:tcPr>
            <w:tcW w:w="158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920" w:type="dxa"/>
            <w:vAlign w:val="bottom"/>
          </w:tcPr>
          <w:p>
            <w:pPr>
              <w:ind w:left="500"/>
              <w:spacing w:after="0"/>
              <w:rPr>
                <w:sz w:val="20"/>
                <w:szCs w:val="20"/>
                <w:color w:val="auto"/>
              </w:rPr>
            </w:pPr>
            <w:r>
              <w:rPr>
                <w:rFonts w:ascii="Arial" w:cs="Arial" w:eastAsia="Arial" w:hAnsi="Arial"/>
                <w:sz w:val="18"/>
                <w:szCs w:val="18"/>
                <w:color w:val="auto"/>
              </w:rPr>
              <w:t>Total anti-dilutive securities</w:t>
            </w:r>
          </w:p>
        </w:tc>
        <w:tc>
          <w:tcPr>
            <w:tcW w:w="2060" w:type="dxa"/>
            <w:vAlign w:val="bottom"/>
          </w:tcPr>
          <w:p>
            <w:pPr>
              <w:spacing w:after="0"/>
              <w:rPr>
                <w:sz w:val="18"/>
                <w:szCs w:val="18"/>
                <w:color w:val="auto"/>
              </w:rPr>
            </w:pPr>
          </w:p>
        </w:tc>
        <w:tc>
          <w:tcPr>
            <w:tcW w:w="1580" w:type="dxa"/>
            <w:vAlign w:val="bottom"/>
          </w:tcPr>
          <w:p>
            <w:pPr>
              <w:jc w:val="right"/>
              <w:ind w:right="3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56,903</w:t>
            </w:r>
          </w:p>
        </w:tc>
        <w:tc>
          <w:tcPr>
            <w:tcW w:w="1520" w:type="dxa"/>
            <w:vAlign w:val="bottom"/>
          </w:tcPr>
          <w:p>
            <w:pPr>
              <w:jc w:val="right"/>
              <w:ind w:right="330"/>
              <w:spacing w:after="0"/>
              <w:rPr>
                <w:sz w:val="20"/>
                <w:szCs w:val="20"/>
                <w:color w:val="auto"/>
              </w:rPr>
            </w:pPr>
            <w:r>
              <w:rPr>
                <w:rFonts w:ascii="Arial" w:cs="Arial" w:eastAsia="Arial" w:hAnsi="Arial"/>
                <w:sz w:val="18"/>
                <w:szCs w:val="18"/>
                <w:color w:val="auto"/>
              </w:rPr>
              <w:t>7,105</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93,403</w:t>
            </w:r>
          </w:p>
        </w:tc>
      </w:tr>
      <w:tr>
        <w:trPr>
          <w:trHeight w:val="20"/>
        </w:trPr>
        <w:tc>
          <w:tcPr>
            <w:tcW w:w="39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3920" w:type="dxa"/>
            <w:vAlign w:val="bottom"/>
          </w:tcPr>
          <w:p>
            <w:pPr>
              <w:spacing w:after="0"/>
              <w:rPr>
                <w:sz w:val="24"/>
                <w:szCs w:val="24"/>
                <w:color w:val="auto"/>
              </w:rPr>
            </w:pPr>
          </w:p>
        </w:tc>
        <w:tc>
          <w:tcPr>
            <w:tcW w:w="3640" w:type="dxa"/>
            <w:vAlign w:val="bottom"/>
            <w:gridSpan w:val="2"/>
          </w:tcPr>
          <w:p>
            <w:pPr>
              <w:jc w:val="right"/>
              <w:ind w:right="1550"/>
              <w:spacing w:after="0"/>
              <w:rPr>
                <w:sz w:val="20"/>
                <w:szCs w:val="20"/>
                <w:color w:val="auto"/>
              </w:rPr>
            </w:pPr>
            <w:r>
              <w:rPr>
                <w:rFonts w:ascii="Arial" w:cs="Arial" w:eastAsia="Arial" w:hAnsi="Arial"/>
                <w:sz w:val="18"/>
                <w:szCs w:val="18"/>
                <w:color w:val="auto"/>
              </w:rPr>
              <w:t>17 of 39</w:t>
            </w: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392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type w:val="continuous"/>
        </w:sectPr>
      </w:pPr>
    </w:p>
    <w:bookmarkStart w:id="17" w:name="page18"/>
    <w:bookmarkEnd w:id="17"/>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We have strategically aligned our business into three reportable segments as defined in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and as described below:</w:t>
      </w:r>
    </w:p>
    <w:p>
      <w:pPr>
        <w:spacing w:after="0" w:line="233" w:lineRule="exact"/>
        <w:rPr>
          <w:sz w:val="20"/>
          <w:szCs w:val="20"/>
          <w:color w:val="auto"/>
        </w:rPr>
      </w:pPr>
    </w:p>
    <w:p>
      <w:pPr>
        <w:jc w:val="both"/>
        <w:ind w:left="660" w:hanging="328"/>
        <w:spacing w:after="0" w:line="274" w:lineRule="auto"/>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b w:val="1"/>
          <w:bCs w:val="1"/>
          <w:color w:val="auto"/>
        </w:rPr>
        <w:t xml:space="preserve">Wholesale. </w:t>
      </w:r>
      <w:r>
        <w:rPr>
          <w:rFonts w:ascii="Arial" w:cs="Arial" w:eastAsia="Arial" w:hAnsi="Arial"/>
          <w:sz w:val="17"/>
          <w:szCs w:val="17"/>
          <w:color w:val="auto"/>
        </w:rPr>
        <w:t>The wholesale home furnishings segment is involved principally in the design, manufacture, sourcing, sale and distribution of</w:t>
      </w:r>
      <w:r>
        <w:rPr>
          <w:rFonts w:ascii="Arial" w:cs="Arial" w:eastAsia="Arial" w:hAnsi="Arial"/>
          <w:sz w:val="17"/>
          <w:szCs w:val="17"/>
          <w:b w:val="1"/>
          <w:bCs w:val="1"/>
          <w:color w:val="auto"/>
        </w:rPr>
        <w:t xml:space="preserve"> </w:t>
      </w:r>
      <w:r>
        <w:rPr>
          <w:rFonts w:ascii="Arial" w:cs="Arial" w:eastAsia="Arial" w:hAnsi="Arial"/>
          <w:sz w:val="17"/>
          <w:szCs w:val="17"/>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income (loss), net, in our condensed consolidated statements of operations.</w:t>
      </w:r>
    </w:p>
    <w:p>
      <w:pPr>
        <w:spacing w:after="0" w:line="173" w:lineRule="exact"/>
        <w:rPr>
          <w:rFonts w:ascii="Arial" w:cs="Arial" w:eastAsia="Arial" w:hAnsi="Arial"/>
          <w:sz w:val="17"/>
          <w:szCs w:val="17"/>
          <w:color w:val="auto"/>
        </w:rPr>
      </w:pPr>
    </w:p>
    <w:p>
      <w:pPr>
        <w:jc w:val="both"/>
        <w:ind w:left="660" w:hanging="328"/>
        <w:spacing w:after="0" w:line="266"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Retail </w:t>
      </w:r>
      <w:r>
        <w:rPr>
          <w:rFonts w:ascii="Arial" w:cs="Arial" w:eastAsia="Arial" w:hAnsi="Arial"/>
          <w:sz w:val="18"/>
          <w:szCs w:val="18"/>
          <w:color w:val="auto"/>
        </w:rPr>
        <w:t>–</w:t>
      </w:r>
      <w:r>
        <w:rPr>
          <w:rFonts w:ascii="Arial" w:cs="Arial" w:eastAsia="Arial" w:hAnsi="Arial"/>
          <w:sz w:val="18"/>
          <w:szCs w:val="18"/>
          <w:b w:val="1"/>
          <w:bCs w:val="1"/>
          <w:color w:val="auto"/>
        </w:rPr>
        <w:t xml:space="preserve"> Company-owned stores. </w:t>
      </w:r>
      <w:r>
        <w:rPr>
          <w:rFonts w:ascii="Arial" w:cs="Arial" w:eastAsia="Arial" w:hAnsi="Arial"/>
          <w:sz w:val="18"/>
          <w:szCs w:val="18"/>
          <w:color w:val="auto"/>
        </w:rPr>
        <w:t>Our retail segment consists of Company-owned stores and includes the revenues, expenses, assets and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liabilities and capital expenditures directly related to these stores and the Company-owned distribution network utilized to deliver products to our retail customers.</w:t>
      </w:r>
    </w:p>
    <w:p>
      <w:pPr>
        <w:spacing w:after="0" w:line="175" w:lineRule="exact"/>
        <w:rPr>
          <w:rFonts w:ascii="Arial" w:cs="Arial" w:eastAsia="Arial" w:hAnsi="Arial"/>
          <w:sz w:val="18"/>
          <w:szCs w:val="18"/>
          <w:color w:val="auto"/>
        </w:rPr>
      </w:pPr>
    </w:p>
    <w:p>
      <w:pPr>
        <w:jc w:val="both"/>
        <w:ind w:left="660" w:hanging="328"/>
        <w:spacing w:after="0" w:line="261"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segment reflects the operations of Zenith. In addition to providing shipping and warehousing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Company, Zenith also provides similar services to other customers, primarily in the furniture industry. Revenue from the performance of these services to other customers and the associated cost is included in logistical services revenue and cost of logistical services, respectively, in our condensed consolidated statements of operations.</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Inter-company net sales elimination represents the elimination of wholesale sales to our Company-owned stores and the elimination of Zenith logistics revenue from our wholesale segment.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operations.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8" w:name="page19"/>
    <w:bookmarkEnd w:id="18"/>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80" w:type="dxa"/>
            <w:vAlign w:val="bottom"/>
          </w:tcPr>
          <w:p>
            <w:pPr>
              <w:spacing w:after="0"/>
              <w:rPr>
                <w:sz w:val="20"/>
                <w:szCs w:val="20"/>
                <w:color w:val="auto"/>
              </w:rPr>
            </w:pPr>
            <w:r>
              <w:rPr>
                <w:rFonts w:ascii="Arial" w:cs="Arial" w:eastAsia="Arial" w:hAnsi="Arial"/>
                <w:sz w:val="18"/>
                <w:szCs w:val="18"/>
                <w:color w:val="auto"/>
              </w:rPr>
              <w:t>The following table presents our segment information:</w:t>
            </w:r>
          </w:p>
        </w:tc>
        <w:tc>
          <w:tcPr>
            <w:tcW w:w="3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9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80" w:type="dxa"/>
            <w:vAlign w:val="bottom"/>
            <w:gridSpan w:val="2"/>
          </w:tcPr>
          <w:p>
            <w:pPr>
              <w:jc w:val="right"/>
              <w:spacing w:after="0"/>
              <w:rPr>
                <w:sz w:val="20"/>
                <w:szCs w:val="20"/>
                <w:color w:val="auto"/>
              </w:rPr>
            </w:pPr>
            <w:r>
              <w:rPr>
                <w:rFonts w:ascii="Arial" w:cs="Arial" w:eastAsia="Arial" w:hAnsi="Arial"/>
                <w:sz w:val="18"/>
                <w:szCs w:val="18"/>
                <w:b w:val="1"/>
                <w:bCs w:val="1"/>
                <w:color w:val="auto"/>
              </w:rPr>
              <w:t>Quarter Ended</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40" w:type="dxa"/>
            <w:vAlign w:val="bottom"/>
            <w:gridSpan w:val="4"/>
          </w:tcPr>
          <w:p>
            <w:pPr>
              <w:jc w:val="right"/>
              <w:ind w:right="620"/>
              <w:spacing w:after="0"/>
              <w:rPr>
                <w:sz w:val="20"/>
                <w:szCs w:val="20"/>
                <w:color w:val="auto"/>
              </w:rPr>
            </w:pPr>
            <w:r>
              <w:rPr>
                <w:rFonts w:ascii="Arial" w:cs="Arial" w:eastAsia="Arial" w:hAnsi="Arial"/>
                <w:sz w:val="18"/>
                <w:szCs w:val="18"/>
                <w:b w:val="1"/>
                <w:bCs w:val="1"/>
                <w:color w:val="auto"/>
              </w:rPr>
              <w:t>Six Months Ended</w:t>
            </w:r>
          </w:p>
        </w:tc>
      </w:tr>
      <w:tr>
        <w:trPr>
          <w:trHeight w:val="209"/>
        </w:trPr>
        <w:tc>
          <w:tcPr>
            <w:tcW w:w="5980" w:type="dxa"/>
            <w:vAlign w:val="bottom"/>
          </w:tcPr>
          <w:p>
            <w:pPr>
              <w:spacing w:after="0"/>
              <w:rPr>
                <w:sz w:val="18"/>
                <w:szCs w:val="18"/>
                <w:color w:val="auto"/>
              </w:rPr>
            </w:pPr>
          </w:p>
        </w:tc>
        <w:tc>
          <w:tcPr>
            <w:tcW w:w="1280" w:type="dxa"/>
            <w:vAlign w:val="bottom"/>
            <w:tcBorders>
              <w:top w:val="single" w:sz="8" w:color="auto"/>
              <w:bottom w:val="single" w:sz="8" w:color="auto"/>
            </w:tcBorders>
            <w:gridSpan w:val="2"/>
          </w:tcPr>
          <w:p>
            <w:pPr>
              <w:jc w:val="right"/>
              <w:ind w:right="110"/>
              <w:spacing w:after="0"/>
              <w:rPr>
                <w:sz w:val="20"/>
                <w:szCs w:val="20"/>
                <w:color w:val="auto"/>
              </w:rPr>
            </w:pPr>
            <w:r>
              <w:rPr>
                <w:rFonts w:ascii="Arial" w:cs="Arial" w:eastAsia="Arial" w:hAnsi="Arial"/>
                <w:sz w:val="18"/>
                <w:szCs w:val="18"/>
                <w:b w:val="1"/>
                <w:bCs w:val="1"/>
                <w:color w:val="auto"/>
                <w:w w:val="96"/>
              </w:rPr>
              <w:t>May 29, 2021</w:t>
            </w:r>
          </w:p>
        </w:tc>
        <w:tc>
          <w:tcPr>
            <w:tcW w:w="1220" w:type="dxa"/>
            <w:vAlign w:val="bottom"/>
            <w:tcBorders>
              <w:top w:val="single" w:sz="8" w:color="auto"/>
              <w:bottom w:val="single" w:sz="8" w:color="auto"/>
            </w:tcBorders>
            <w:gridSpan w:val="2"/>
          </w:tcPr>
          <w:p>
            <w:pPr>
              <w:ind w:left="140"/>
              <w:spacing w:after="0"/>
              <w:rPr>
                <w:sz w:val="20"/>
                <w:szCs w:val="20"/>
                <w:color w:val="auto"/>
              </w:rPr>
            </w:pPr>
            <w:r>
              <w:rPr>
                <w:rFonts w:ascii="Arial" w:cs="Arial" w:eastAsia="Arial" w:hAnsi="Arial"/>
                <w:sz w:val="18"/>
                <w:szCs w:val="18"/>
                <w:b w:val="1"/>
                <w:bCs w:val="1"/>
                <w:color w:val="auto"/>
                <w:w w:val="96"/>
              </w:rPr>
              <w:t>May 30, 2020</w:t>
            </w:r>
          </w:p>
        </w:tc>
        <w:tc>
          <w:tcPr>
            <w:tcW w:w="220" w:type="dxa"/>
            <w:vAlign w:val="bottom"/>
          </w:tcPr>
          <w:p>
            <w:pPr>
              <w:spacing w:after="0"/>
              <w:rPr>
                <w:sz w:val="18"/>
                <w:szCs w:val="18"/>
                <w:color w:val="auto"/>
              </w:rPr>
            </w:pPr>
          </w:p>
        </w:tc>
        <w:tc>
          <w:tcPr>
            <w:tcW w:w="1240" w:type="dxa"/>
            <w:vAlign w:val="bottom"/>
            <w:tcBorders>
              <w:top w:val="single" w:sz="8" w:color="auto"/>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w w:val="94"/>
              </w:rPr>
              <w:t>May 29, 2021</w:t>
            </w: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May 30, 2020</w:t>
            </w:r>
          </w:p>
        </w:tc>
        <w:tc>
          <w:tcPr>
            <w:tcW w:w="100" w:type="dxa"/>
            <w:vAlign w:val="bottom"/>
          </w:tcPr>
          <w:p>
            <w:pPr>
              <w:spacing w:after="0"/>
              <w:rPr>
                <w:sz w:val="18"/>
                <w:szCs w:val="18"/>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Sales Revenue</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Wholesale sales of furniture and accessories</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76,034</w:t>
            </w:r>
          </w:p>
        </w:tc>
        <w:tc>
          <w:tcPr>
            <w:tcW w:w="62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33,128</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146,298</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98,145</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Less: Sales to retail segment</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(28,520)</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(13,299)</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(57,524)</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(45,220)</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ind w:left="180"/>
              <w:spacing w:after="0"/>
              <w:rPr>
                <w:sz w:val="20"/>
                <w:szCs w:val="20"/>
                <w:color w:val="auto"/>
              </w:rPr>
            </w:pPr>
            <w:r>
              <w:rPr>
                <w:rFonts w:ascii="Arial" w:cs="Arial" w:eastAsia="Arial" w:hAnsi="Arial"/>
                <w:sz w:val="18"/>
                <w:szCs w:val="18"/>
                <w:color w:val="auto"/>
              </w:rPr>
              <w:t>Wholesale sales to external customers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47,514</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19,829</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88,774</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52,925</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Retail sales of furniture and accessories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62,483</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33,171</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122,878</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99,017</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5980" w:type="dxa"/>
            <w:vAlign w:val="bottom"/>
          </w:tcPr>
          <w:p>
            <w:pPr>
              <w:spacing w:after="0"/>
              <w:rPr>
                <w:sz w:val="20"/>
                <w:szCs w:val="20"/>
                <w:color w:val="auto"/>
              </w:rPr>
            </w:pPr>
            <w:r>
              <w:rPr>
                <w:rFonts w:ascii="Arial" w:cs="Arial" w:eastAsia="Arial" w:hAnsi="Arial"/>
                <w:sz w:val="18"/>
                <w:szCs w:val="18"/>
                <w:color w:val="auto"/>
              </w:rPr>
              <w:t>Consolidated net sales of furniture and accessories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109,997</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53,000</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211,652</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151,942</w:t>
            </w:r>
          </w:p>
        </w:tc>
      </w:tr>
      <w:tr>
        <w:trPr>
          <w:trHeight w:val="216"/>
        </w:trPr>
        <w:tc>
          <w:tcPr>
            <w:tcW w:w="59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Logistical services revenue</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22,244</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15,259</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42,325</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36,574</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Less: Services to wholesale segment</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(8,182)</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(4,458)</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(16,245)</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(12,595)</w:t>
            </w:r>
          </w:p>
        </w:tc>
      </w:tr>
      <w:tr>
        <w:trPr>
          <w:trHeight w:val="20"/>
        </w:trPr>
        <w:tc>
          <w:tcPr>
            <w:tcW w:w="59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5980" w:type="dxa"/>
            <w:vAlign w:val="bottom"/>
          </w:tcPr>
          <w:p>
            <w:pPr>
              <w:ind w:left="180"/>
              <w:spacing w:after="0"/>
              <w:rPr>
                <w:sz w:val="20"/>
                <w:szCs w:val="20"/>
                <w:color w:val="auto"/>
              </w:rPr>
            </w:pPr>
            <w:r>
              <w:rPr>
                <w:rFonts w:ascii="Arial" w:cs="Arial" w:eastAsia="Arial" w:hAnsi="Arial"/>
                <w:sz w:val="18"/>
                <w:szCs w:val="18"/>
                <w:color w:val="auto"/>
              </w:rPr>
              <w:t>Logistical services to external customers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14,062</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10,801</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26,080</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23,979</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Total sales revenue</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124,059</w:t>
            </w:r>
          </w:p>
        </w:tc>
        <w:tc>
          <w:tcPr>
            <w:tcW w:w="62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63,801</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237,732</w:t>
            </w:r>
          </w:p>
        </w:tc>
        <w:tc>
          <w:tcPr>
            <w:tcW w:w="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175,921</w:t>
            </w:r>
          </w:p>
        </w:tc>
      </w:tr>
      <w:tr>
        <w:trPr>
          <w:trHeight w:val="197"/>
        </w:trPr>
        <w:tc>
          <w:tcPr>
            <w:tcW w:w="59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(Loss) from Operations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Wholesale</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5,359</w:t>
            </w:r>
          </w:p>
        </w:tc>
        <w:tc>
          <w:tcPr>
            <w:tcW w:w="62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(7,381)</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10,156</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(4,668)</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1,652</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(9,170)</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2,746</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(10,419)</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Logistical services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1,294</w:t>
            </w:r>
          </w:p>
        </w:tc>
        <w:tc>
          <w:tcPr>
            <w:tcW w:w="6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(1,842)</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1,753</w:t>
            </w:r>
          </w:p>
        </w:tc>
        <w:tc>
          <w:tcPr>
            <w:tcW w:w="40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(1,007)</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Inter-company elimination</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74</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2,369</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2,280</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Asset impairment charges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(12,184)</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(12,184)</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Goodwill impairment charge</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(1,971)</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(1,971)</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Litigation expense</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(1,050)</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(1,050)</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8,379</w:t>
            </w:r>
          </w:p>
        </w:tc>
        <w:tc>
          <w:tcPr>
            <w:tcW w:w="62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60"/>
              <w:spacing w:after="0" w:line="210" w:lineRule="exact"/>
              <w:rPr>
                <w:sz w:val="20"/>
                <w:szCs w:val="20"/>
                <w:color w:val="auto"/>
              </w:rPr>
            </w:pPr>
            <w:r>
              <w:rPr>
                <w:rFonts w:ascii="Arial" w:cs="Arial" w:eastAsia="Arial" w:hAnsi="Arial"/>
                <w:sz w:val="14"/>
                <w:szCs w:val="14"/>
                <w:color w:val="auto"/>
              </w:rPr>
              <w:t>(31,229</w:t>
            </w:r>
            <w:r>
              <w:rPr>
                <w:rFonts w:ascii="Arial" w:cs="Arial" w:eastAsia="Arial" w:hAnsi="Arial"/>
                <w:sz w:val="24"/>
                <w:szCs w:val="24"/>
                <w:color w:val="auto"/>
                <w:vertAlign w:val="subscript"/>
              </w:rPr>
              <w:t>)</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14,400</w:t>
            </w:r>
          </w:p>
        </w:tc>
        <w:tc>
          <w:tcPr>
            <w:tcW w:w="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(29,019)</w:t>
            </w:r>
          </w:p>
        </w:tc>
      </w:tr>
      <w:tr>
        <w:trPr>
          <w:trHeight w:val="196"/>
        </w:trPr>
        <w:tc>
          <w:tcPr>
            <w:tcW w:w="59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Depreciation and Amortization</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Wholesale</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823</w:t>
            </w:r>
          </w:p>
        </w:tc>
        <w:tc>
          <w:tcPr>
            <w:tcW w:w="62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782</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1,621</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1,591</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1,581</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1,712</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3,097</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3,442</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Logistical services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1,158</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1,122</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2,175</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2,206</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3,562</w:t>
            </w:r>
          </w:p>
        </w:tc>
        <w:tc>
          <w:tcPr>
            <w:tcW w:w="62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3,616</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6,893</w:t>
            </w:r>
          </w:p>
        </w:tc>
        <w:tc>
          <w:tcPr>
            <w:tcW w:w="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7,239</w:t>
            </w:r>
          </w:p>
        </w:tc>
      </w:tr>
      <w:tr>
        <w:trPr>
          <w:trHeight w:val="196"/>
        </w:trPr>
        <w:tc>
          <w:tcPr>
            <w:tcW w:w="59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Capital Expenditures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Wholesale</w:t>
            </w:r>
          </w:p>
        </w:tc>
        <w:tc>
          <w:tcPr>
            <w:tcW w:w="320" w:type="dxa"/>
            <w:vAlign w:val="bottom"/>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1,409</w:t>
            </w:r>
          </w:p>
        </w:tc>
        <w:tc>
          <w:tcPr>
            <w:tcW w:w="620" w:type="dxa"/>
            <w:vAlign w:val="bottom"/>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271</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2,166</w:t>
            </w:r>
          </w:p>
        </w:tc>
        <w:tc>
          <w:tcPr>
            <w:tcW w:w="4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693</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Retail - Company-owned stores</w:t>
            </w:r>
          </w:p>
        </w:tc>
        <w:tc>
          <w:tcPr>
            <w:tcW w:w="32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119</w:t>
            </w:r>
          </w:p>
        </w:tc>
        <w:tc>
          <w:tcPr>
            <w:tcW w:w="6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w:t>
            </w:r>
          </w:p>
        </w:tc>
        <w:tc>
          <w:tcPr>
            <w:tcW w:w="30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137</w:t>
            </w:r>
          </w:p>
        </w:tc>
        <w:tc>
          <w:tcPr>
            <w:tcW w:w="4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Logistical services</w:t>
            </w:r>
          </w:p>
        </w:tc>
        <w:tc>
          <w:tcPr>
            <w:tcW w:w="320" w:type="dxa"/>
            <w:vAlign w:val="bottom"/>
          </w:tcPr>
          <w:p>
            <w:pPr>
              <w:spacing w:after="0"/>
              <w:rPr>
                <w:sz w:val="18"/>
                <w:szCs w:val="18"/>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1,060</w:t>
            </w:r>
          </w:p>
        </w:tc>
        <w:tc>
          <w:tcPr>
            <w:tcW w:w="6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138</w:t>
            </w:r>
          </w:p>
        </w:tc>
        <w:tc>
          <w:tcPr>
            <w:tcW w:w="300" w:type="dxa"/>
            <w:vAlign w:val="bottom"/>
          </w:tcPr>
          <w:p>
            <w:pPr>
              <w:spacing w:after="0"/>
              <w:rPr>
                <w:sz w:val="18"/>
                <w:szCs w:val="18"/>
                <w:color w:val="auto"/>
              </w:rPr>
            </w:pP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1,180</w:t>
            </w:r>
          </w:p>
        </w:tc>
        <w:tc>
          <w:tcPr>
            <w:tcW w:w="4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495</w:t>
            </w:r>
          </w:p>
        </w:tc>
      </w:tr>
      <w:tr>
        <w:trPr>
          <w:trHeight w:val="20"/>
        </w:trPr>
        <w:tc>
          <w:tcPr>
            <w:tcW w:w="59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9"/>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Consolidated</w:t>
            </w:r>
          </w:p>
        </w:tc>
        <w:tc>
          <w:tcPr>
            <w:tcW w:w="320" w:type="dxa"/>
            <w:vAlign w:val="bottom"/>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2,588</w:t>
            </w:r>
          </w:p>
        </w:tc>
        <w:tc>
          <w:tcPr>
            <w:tcW w:w="62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451</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3,483</w:t>
            </w:r>
          </w:p>
        </w:tc>
        <w:tc>
          <w:tcPr>
            <w:tcW w:w="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1,791</w:t>
            </w:r>
          </w:p>
        </w:tc>
      </w:tr>
      <w:tr>
        <w:trPr>
          <w:trHeight w:val="20"/>
        </w:trPr>
        <w:tc>
          <w:tcPr>
            <w:tcW w:w="598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jc w:val="center"/>
              <w:ind w:right="290"/>
              <w:spacing w:after="0"/>
              <w:rPr>
                <w:sz w:val="20"/>
                <w:szCs w:val="20"/>
                <w:color w:val="auto"/>
              </w:rPr>
            </w:pPr>
            <w:r>
              <w:rPr>
                <w:rFonts w:ascii="Arial" w:cs="Arial" w:eastAsia="Arial" w:hAnsi="Arial"/>
                <w:sz w:val="18"/>
                <w:szCs w:val="18"/>
                <w:b w:val="1"/>
                <w:bCs w:val="1"/>
                <w:color w:val="auto"/>
                <w:w w:val="84"/>
              </w:rPr>
              <w:t>As of</w:t>
            </w:r>
          </w:p>
        </w:tc>
        <w:tc>
          <w:tcPr>
            <w:tcW w:w="240" w:type="dxa"/>
            <w:vAlign w:val="bottom"/>
          </w:tcPr>
          <w:p>
            <w:pPr>
              <w:spacing w:after="0"/>
              <w:rPr>
                <w:sz w:val="18"/>
                <w:szCs w:val="18"/>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As of</w:t>
            </w:r>
          </w:p>
        </w:tc>
      </w:tr>
      <w:tr>
        <w:trPr>
          <w:trHeight w:val="216"/>
        </w:trPr>
        <w:tc>
          <w:tcPr>
            <w:tcW w:w="6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jc w:val="center"/>
              <w:ind w:right="290"/>
              <w:spacing w:after="0"/>
              <w:rPr>
                <w:sz w:val="20"/>
                <w:szCs w:val="20"/>
                <w:color w:val="auto"/>
              </w:rPr>
            </w:pPr>
            <w:r>
              <w:rPr>
                <w:rFonts w:ascii="Arial" w:cs="Arial" w:eastAsia="Arial" w:hAnsi="Arial"/>
                <w:sz w:val="18"/>
                <w:szCs w:val="18"/>
                <w:b w:val="1"/>
                <w:bCs w:val="1"/>
                <w:color w:val="auto"/>
                <w:w w:val="95"/>
              </w:rPr>
              <w:t>May 29,</w:t>
            </w:r>
          </w:p>
        </w:tc>
        <w:tc>
          <w:tcPr>
            <w:tcW w:w="240" w:type="dxa"/>
            <w:vAlign w:val="bottom"/>
          </w:tcPr>
          <w:p>
            <w:pPr>
              <w:spacing w:after="0"/>
              <w:rPr>
                <w:sz w:val="18"/>
                <w:szCs w:val="18"/>
                <w:color w:val="auto"/>
              </w:rPr>
            </w:pPr>
          </w:p>
        </w:tc>
        <w:tc>
          <w:tcPr>
            <w:tcW w:w="14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November 28,</w:t>
            </w:r>
          </w:p>
        </w:tc>
      </w:tr>
      <w:tr>
        <w:trPr>
          <w:trHeight w:val="234"/>
        </w:trPr>
        <w:tc>
          <w:tcPr>
            <w:tcW w:w="6780" w:type="dxa"/>
            <w:vAlign w:val="bottom"/>
          </w:tcPr>
          <w:p>
            <w:pPr>
              <w:spacing w:after="0"/>
              <w:rPr>
                <w:sz w:val="20"/>
                <w:szCs w:val="20"/>
                <w:color w:val="auto"/>
              </w:rPr>
            </w:pPr>
            <w:r>
              <w:rPr>
                <w:rFonts w:ascii="Arial" w:cs="Arial" w:eastAsia="Arial" w:hAnsi="Arial"/>
                <w:sz w:val="18"/>
                <w:szCs w:val="18"/>
                <w:b w:val="1"/>
                <w:bCs w:val="1"/>
                <w:color w:val="auto"/>
              </w:rPr>
              <w:t>Identifiable Assets</w:t>
            </w:r>
          </w:p>
        </w:tc>
        <w:tc>
          <w:tcPr>
            <w:tcW w:w="2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center"/>
              <w:ind w:right="310"/>
              <w:spacing w:after="0"/>
              <w:rPr>
                <w:sz w:val="20"/>
                <w:szCs w:val="20"/>
                <w:color w:val="auto"/>
              </w:rPr>
            </w:pPr>
            <w:r>
              <w:rPr>
                <w:rFonts w:ascii="Arial" w:cs="Arial" w:eastAsia="Arial" w:hAnsi="Arial"/>
                <w:sz w:val="18"/>
                <w:szCs w:val="18"/>
                <w:b w:val="1"/>
                <w:bCs w:val="1"/>
                <w:color w:val="auto"/>
                <w:w w:val="89"/>
              </w:rPr>
              <w:t>2021</w:t>
            </w: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9"/>
              </w:rPr>
              <w:t>2020</w:t>
            </w:r>
          </w:p>
        </w:tc>
        <w:tc>
          <w:tcPr>
            <w:tcW w:w="80" w:type="dxa"/>
            <w:vAlign w:val="bottom"/>
          </w:tcPr>
          <w:p>
            <w:pPr>
              <w:spacing w:after="0"/>
              <w:rPr>
                <w:sz w:val="20"/>
                <w:szCs w:val="20"/>
                <w:color w:val="auto"/>
              </w:rPr>
            </w:pPr>
          </w:p>
        </w:tc>
      </w:tr>
      <w:tr>
        <w:trPr>
          <w:trHeight w:val="210"/>
        </w:trPr>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Wholesale</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185,780</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176,243</w:t>
            </w: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20"/>
                <w:szCs w:val="20"/>
                <w:color w:val="auto"/>
              </w:rPr>
            </w:pPr>
            <w:r>
              <w:rPr>
                <w:rFonts w:ascii="Arial" w:cs="Arial" w:eastAsia="Arial" w:hAnsi="Arial"/>
                <w:sz w:val="18"/>
                <w:szCs w:val="18"/>
                <w:color w:val="auto"/>
              </w:rPr>
              <w:t>Retail - Company-owned stores</w:t>
            </w:r>
          </w:p>
        </w:tc>
        <w:tc>
          <w:tcPr>
            <w:tcW w:w="280" w:type="dxa"/>
            <w:vAlign w:val="bottom"/>
          </w:tcPr>
          <w:p>
            <w:pPr>
              <w:spacing w:after="0"/>
              <w:rPr>
                <w:sz w:val="18"/>
                <w:szCs w:val="18"/>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168,697</w:t>
            </w: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169,105</w:t>
            </w:r>
          </w:p>
        </w:tc>
        <w:tc>
          <w:tcPr>
            <w:tcW w:w="80" w:type="dxa"/>
            <w:vAlign w:val="bottom"/>
          </w:tcPr>
          <w:p>
            <w:pPr>
              <w:spacing w:after="0"/>
              <w:rPr>
                <w:sz w:val="18"/>
                <w:szCs w:val="18"/>
                <w:color w:val="auto"/>
              </w:rPr>
            </w:pPr>
          </w:p>
        </w:tc>
      </w:tr>
      <w:tr>
        <w:trPr>
          <w:trHeight w:val="216"/>
        </w:trPr>
        <w:tc>
          <w:tcPr>
            <w:tcW w:w="6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Logistical services</w:t>
            </w:r>
          </w:p>
        </w:tc>
        <w:tc>
          <w:tcPr>
            <w:tcW w:w="2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64,002</w:t>
            </w:r>
          </w:p>
        </w:tc>
        <w:tc>
          <w:tcPr>
            <w:tcW w:w="24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57,201</w:t>
            </w:r>
          </w:p>
        </w:tc>
        <w:tc>
          <w:tcPr>
            <w:tcW w:w="80" w:type="dxa"/>
            <w:vAlign w:val="bottom"/>
            <w:tcBorders>
              <w:bottom w:val="single" w:sz="8" w:color="CCEEFF"/>
            </w:tcBorders>
            <w:shd w:val="clear" w:color="auto" w:fill="CCEEFF"/>
          </w:tcPr>
          <w:p>
            <w:pPr>
              <w:spacing w:after="0"/>
              <w:rPr>
                <w:sz w:val="18"/>
                <w:szCs w:val="18"/>
                <w:color w:val="auto"/>
              </w:rPr>
            </w:pPr>
          </w:p>
        </w:tc>
      </w:tr>
      <w:tr>
        <w:trPr>
          <w:trHeight w:val="210"/>
        </w:trPr>
        <w:tc>
          <w:tcPr>
            <w:tcW w:w="6780" w:type="dxa"/>
            <w:vAlign w:val="bottom"/>
          </w:tcPr>
          <w:p>
            <w:pPr>
              <w:spacing w:after="0"/>
              <w:rPr>
                <w:sz w:val="20"/>
                <w:szCs w:val="20"/>
                <w:color w:val="auto"/>
              </w:rPr>
            </w:pPr>
            <w:r>
              <w:rPr>
                <w:rFonts w:ascii="Arial" w:cs="Arial" w:eastAsia="Arial" w:hAnsi="Arial"/>
                <w:sz w:val="18"/>
                <w:szCs w:val="18"/>
                <w:color w:val="auto"/>
              </w:rPr>
              <w:t>Consolidated</w:t>
            </w:r>
          </w:p>
        </w:tc>
        <w:tc>
          <w:tcPr>
            <w:tcW w:w="28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418,479</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402,549</w:t>
            </w:r>
          </w:p>
        </w:tc>
        <w:tc>
          <w:tcPr>
            <w:tcW w:w="80" w:type="dxa"/>
            <w:vAlign w:val="bottom"/>
          </w:tcPr>
          <w:p>
            <w:pPr>
              <w:spacing w:after="0"/>
              <w:rPr>
                <w:sz w:val="18"/>
                <w:szCs w:val="18"/>
                <w:color w:val="auto"/>
              </w:rPr>
            </w:pPr>
          </w:p>
        </w:tc>
      </w:tr>
      <w:tr>
        <w:trPr>
          <w:trHeight w:val="20"/>
        </w:trPr>
        <w:tc>
          <w:tcPr>
            <w:tcW w:w="67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See Note 15, Revenue Recognition, for disaggregated revenue information regarding sales of furniture and accessories by product type for the wholesale and retail segments.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9" w:name="page20"/>
    <w:bookmarkEnd w:id="19"/>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Revenue Recognition</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recognize revenue when we transfer promised goods or services to our customers in an amount that reflects the consideration we expect to receive in exchange for those goods or services. For our wholesale and retail segments, revenue is recognized when the risks and rewards of ownership and title to the product have transferred to the buyer. At wholesale, transfer occurs and revenue is recognized upon the shipment of goods to independent dealers and licensee-owned BHF stores. At retail, transfer occurs and revenue is recognized upon delivery of goods to the customer. All wholesale and retail revenues are recorded net of estimated returns and allowances based on historical patterns. We typically collect a significant portion of the purchase price from our retail customers as a deposit upon order, with the balance typically collected upon delivery. These customer deposits are carried on our balance sheet as a current liability until delivery is fulfilled and amounted to $47,911 and $39,762 as of May 29, 2021 and November 28, 2020, respectively. Substantially all of the customer deposits held at November 28, 2020 related to performance obligations that were satisfied during the current year-to-date period and have therefore been recognized in revenue for the six months ended May 29, 2021.</w:t>
      </w:r>
    </w:p>
    <w:p>
      <w:pPr>
        <w:spacing w:after="0" w:line="18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our logistical services segment, line-haul freight revenue is recognized as services are performed and are billed to the customer upon the completion of delivery to the destination. Because the customer receives the benefits of these services as the freight is in transit from point of origin to destination, we recognize revenue using a percentage of completion method based on our estimate of the amount of time freight has been in transit as of the reporting date compared with our estimate of the total required time for the deliveries. The balances of assets recognized for shipping revenues earned but not billed were $962 and $783 as of May 29, 2021 and November 28, 2020, respectively. Warehousing services revenue is based upon warehouse space occupied by a customer’s goods and inventory movements in and out of a warehouse and is recognized as such services are provided and billed to the customer concurrently in the same period.</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exclude from revenue all amounts collected from customers for sales tax. We do not disclose amounts allocated to remaining unsatisfied performance obligations as they are expected to be satisfied within one year or less.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Disaggregated revenue information for sales of furniture and accessories by product category for the three and six months ended May 29, 2021 and May 30, 2020, excluding intercompany transactions between our segments, is a follows:</w:t>
      </w:r>
    </w:p>
    <w:p>
      <w:pPr>
        <w:sectPr>
          <w:pgSz w:w="11900" w:h="16838" w:orient="portrait"/>
          <w:cols w:equalWidth="0" w:num="1">
            <w:col w:w="11240"/>
          </w:cols>
          <w:pgMar w:left="320" w:top="58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right="820"/>
        <w:spacing w:after="0" w:line="287" w:lineRule="auto"/>
        <w:rPr>
          <w:sz w:val="20"/>
          <w:szCs w:val="20"/>
          <w:color w:val="auto"/>
        </w:rPr>
      </w:pPr>
      <w:r>
        <w:rPr>
          <w:rFonts w:ascii="Arial" w:cs="Arial" w:eastAsia="Arial" w:hAnsi="Arial"/>
          <w:sz w:val="16"/>
          <w:szCs w:val="16"/>
          <w:color w:val="auto"/>
        </w:rPr>
        <w:t>Bassett Custom Upholstery Bassett Leather Bassett Custom Wood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Bassett Casegoods</w:t>
      </w:r>
    </w:p>
    <w:p>
      <w:pPr>
        <w:spacing w:after="0" w:line="9"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Accessories, mattresses and other (1) Consolidated net sales of furniture and</w:t>
      </w:r>
    </w:p>
    <w:p>
      <w:pPr>
        <w:spacing w:after="0" w:line="1" w:lineRule="exact"/>
        <w:rPr>
          <w:sz w:val="20"/>
          <w:szCs w:val="20"/>
          <w:color w:val="auto"/>
        </w:rPr>
      </w:pPr>
    </w:p>
    <w:p>
      <w:pPr>
        <w:ind w:left="180"/>
        <w:spacing w:after="0"/>
        <w:rPr>
          <w:sz w:val="20"/>
          <w:szCs w:val="20"/>
          <w:color w:val="auto"/>
        </w:rPr>
      </w:pPr>
      <w:r>
        <w:rPr>
          <w:rFonts w:ascii="Arial" w:cs="Arial" w:eastAsia="Arial" w:hAnsi="Arial"/>
          <w:sz w:val="18"/>
          <w:szCs w:val="18"/>
          <w:color w:val="auto"/>
        </w:rPr>
        <w:t>accessories</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Quarter Ended</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4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rPr>
              <w:t>May 29, 2021</w:t>
            </w:r>
          </w:p>
        </w:tc>
        <w:tc>
          <w:tcPr>
            <w:tcW w:w="3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rPr>
              <w:t>May 30, 2020</w:t>
            </w:r>
          </w:p>
        </w:tc>
        <w:tc>
          <w:tcPr>
            <w:tcW w:w="3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r>
      <w:tr>
        <w:trPr>
          <w:trHeight w:val="209"/>
        </w:trPr>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2"/>
              </w:rPr>
              <w:t>Wholesale</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Retail</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2"/>
              </w:rPr>
              <w:t>Wholesale</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Retail</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18"/>
                <w:szCs w:val="18"/>
                <w:color w:val="auto"/>
              </w:rPr>
            </w:pPr>
          </w:p>
        </w:tc>
      </w:tr>
      <w:tr>
        <w:trPr>
          <w:trHeight w:val="195"/>
        </w:trPr>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0"/>
              <w:spacing w:after="0" w:line="195" w:lineRule="exact"/>
              <w:rPr>
                <w:sz w:val="20"/>
                <w:szCs w:val="20"/>
                <w:color w:val="auto"/>
              </w:rPr>
            </w:pPr>
            <w:r>
              <w:rPr>
                <w:rFonts w:ascii="Arial" w:cs="Arial" w:eastAsia="Arial" w:hAnsi="Arial"/>
                <w:sz w:val="18"/>
                <w:szCs w:val="18"/>
                <w:color w:val="auto"/>
              </w:rPr>
              <w:t>25,960</w:t>
            </w:r>
          </w:p>
        </w:tc>
        <w:tc>
          <w:tcPr>
            <w:tcW w:w="340" w:type="dxa"/>
            <w:vAlign w:val="bottom"/>
          </w:tcPr>
          <w:p>
            <w:pPr>
              <w:jc w:val="right"/>
              <w:ind w:right="50"/>
              <w:spacing w:after="0" w:line="195" w:lineRule="exact"/>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line="195" w:lineRule="exact"/>
              <w:rPr>
                <w:sz w:val="20"/>
                <w:szCs w:val="20"/>
                <w:color w:val="auto"/>
              </w:rPr>
            </w:pPr>
            <w:r>
              <w:rPr>
                <w:rFonts w:ascii="Arial" w:cs="Arial" w:eastAsia="Arial" w:hAnsi="Arial"/>
                <w:sz w:val="18"/>
                <w:szCs w:val="18"/>
                <w:color w:val="auto"/>
              </w:rPr>
              <w:t>35,378</w:t>
            </w:r>
          </w:p>
        </w:tc>
        <w:tc>
          <w:tcPr>
            <w:tcW w:w="360" w:type="dxa"/>
            <w:vAlign w:val="bottom"/>
          </w:tcPr>
          <w:p>
            <w:pPr>
              <w:jc w:val="right"/>
              <w:ind w:right="50"/>
              <w:spacing w:after="0" w:line="195" w:lineRule="exact"/>
              <w:rPr>
                <w:sz w:val="20"/>
                <w:szCs w:val="20"/>
                <w:color w:val="auto"/>
              </w:rPr>
            </w:pPr>
            <w:r>
              <w:rPr>
                <w:rFonts w:ascii="Arial" w:cs="Arial" w:eastAsia="Arial" w:hAnsi="Arial"/>
                <w:sz w:val="18"/>
                <w:szCs w:val="18"/>
                <w:color w:val="auto"/>
              </w:rPr>
              <w:t>$</w:t>
            </w:r>
          </w:p>
        </w:tc>
        <w:tc>
          <w:tcPr>
            <w:tcW w:w="900" w:type="dxa"/>
            <w:vAlign w:val="bottom"/>
          </w:tcPr>
          <w:p>
            <w:pPr>
              <w:jc w:val="right"/>
              <w:spacing w:after="0" w:line="195" w:lineRule="exact"/>
              <w:rPr>
                <w:sz w:val="20"/>
                <w:szCs w:val="20"/>
                <w:color w:val="auto"/>
              </w:rPr>
            </w:pPr>
            <w:r>
              <w:rPr>
                <w:rFonts w:ascii="Arial" w:cs="Arial" w:eastAsia="Arial" w:hAnsi="Arial"/>
                <w:sz w:val="18"/>
                <w:szCs w:val="18"/>
                <w:color w:val="auto"/>
              </w:rPr>
              <w:t>61,338</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30"/>
              <w:spacing w:after="0" w:line="195" w:lineRule="exact"/>
              <w:rPr>
                <w:sz w:val="20"/>
                <w:szCs w:val="20"/>
                <w:color w:val="auto"/>
              </w:rPr>
            </w:pPr>
            <w:r>
              <w:rPr>
                <w:rFonts w:ascii="Arial" w:cs="Arial" w:eastAsia="Arial" w:hAnsi="Arial"/>
                <w:sz w:val="18"/>
                <w:szCs w:val="18"/>
                <w:color w:val="auto"/>
              </w:rPr>
              <w:t>11,728</w:t>
            </w:r>
          </w:p>
        </w:tc>
        <w:tc>
          <w:tcPr>
            <w:tcW w:w="320" w:type="dxa"/>
            <w:vAlign w:val="bottom"/>
          </w:tcPr>
          <w:p>
            <w:pPr>
              <w:jc w:val="right"/>
              <w:ind w:right="30"/>
              <w:spacing w:after="0" w:line="195" w:lineRule="exact"/>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line="195" w:lineRule="exact"/>
              <w:rPr>
                <w:sz w:val="20"/>
                <w:szCs w:val="20"/>
                <w:color w:val="auto"/>
              </w:rPr>
            </w:pPr>
            <w:r>
              <w:rPr>
                <w:rFonts w:ascii="Arial" w:cs="Arial" w:eastAsia="Arial" w:hAnsi="Arial"/>
                <w:sz w:val="18"/>
                <w:szCs w:val="18"/>
                <w:color w:val="auto"/>
              </w:rPr>
              <w:t>17,620</w:t>
            </w:r>
          </w:p>
        </w:tc>
        <w:tc>
          <w:tcPr>
            <w:tcW w:w="340" w:type="dxa"/>
            <w:vAlign w:val="bottom"/>
          </w:tcPr>
          <w:p>
            <w:pPr>
              <w:jc w:val="right"/>
              <w:ind w:right="50"/>
              <w:spacing w:after="0" w:line="195" w:lineRule="exact"/>
              <w:rPr>
                <w:sz w:val="20"/>
                <w:szCs w:val="20"/>
                <w:color w:val="auto"/>
              </w:rPr>
            </w:pPr>
            <w:r>
              <w:rPr>
                <w:rFonts w:ascii="Arial" w:cs="Arial" w:eastAsia="Arial" w:hAnsi="Arial"/>
                <w:sz w:val="18"/>
                <w:szCs w:val="18"/>
                <w:color w:val="auto"/>
              </w:rPr>
              <w:t>$</w:t>
            </w:r>
          </w:p>
        </w:tc>
        <w:tc>
          <w:tcPr>
            <w:tcW w:w="880" w:type="dxa"/>
            <w:vAlign w:val="bottom"/>
          </w:tcPr>
          <w:p>
            <w:pPr>
              <w:jc w:val="right"/>
              <w:spacing w:after="0" w:line="195" w:lineRule="exact"/>
              <w:rPr>
                <w:sz w:val="20"/>
                <w:szCs w:val="20"/>
                <w:color w:val="auto"/>
              </w:rPr>
            </w:pPr>
            <w:r>
              <w:rPr>
                <w:rFonts w:ascii="Arial" w:cs="Arial" w:eastAsia="Arial" w:hAnsi="Arial"/>
                <w:sz w:val="18"/>
                <w:szCs w:val="18"/>
                <w:color w:val="auto"/>
              </w:rPr>
              <w:t>29,348</w:t>
            </w:r>
          </w:p>
        </w:tc>
        <w:tc>
          <w:tcPr>
            <w:tcW w:w="20" w:type="dxa"/>
            <w:vAlign w:val="bottom"/>
          </w:tcPr>
          <w:p>
            <w:pPr>
              <w:spacing w:after="0"/>
              <w:rPr>
                <w:sz w:val="16"/>
                <w:szCs w:val="16"/>
                <w:color w:val="auto"/>
              </w:rPr>
            </w:pPr>
          </w:p>
        </w:tc>
      </w:tr>
      <w:tr>
        <w:trPr>
          <w:trHeight w:val="216"/>
        </w:trPr>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10,201</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228</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10,429</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2,881</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681</w:t>
            </w:r>
          </w:p>
        </w:tc>
        <w:tc>
          <w:tcPr>
            <w:tcW w:w="34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3,562</w:t>
            </w:r>
          </w:p>
        </w:tc>
      </w:tr>
      <w:tr>
        <w:trPr>
          <w:trHeight w:val="216"/>
        </w:trPr>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6,839</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7,624</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14,463</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3,053</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3,054</w:t>
            </w:r>
          </w:p>
        </w:tc>
        <w:tc>
          <w:tcPr>
            <w:tcW w:w="34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6,107</w:t>
            </w:r>
          </w:p>
        </w:tc>
      </w:tr>
      <w:tr>
        <w:trPr>
          <w:trHeight w:val="216"/>
        </w:trPr>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4,514</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10,704</w:t>
            </w:r>
          </w:p>
        </w:tc>
        <w:tc>
          <w:tcPr>
            <w:tcW w:w="36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15,218</w:t>
            </w: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2,167</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6,809</w:t>
            </w:r>
          </w:p>
        </w:tc>
        <w:tc>
          <w:tcPr>
            <w:tcW w:w="340" w:type="dxa"/>
            <w:vAlign w:val="bottom"/>
          </w:tcPr>
          <w:p>
            <w:pPr>
              <w:spacing w:after="0"/>
              <w:rPr>
                <w:sz w:val="18"/>
                <w:szCs w:val="18"/>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8,976</w:t>
            </w:r>
          </w:p>
        </w:tc>
      </w:tr>
      <w:tr>
        <w:trPr>
          <w:trHeight w:val="230"/>
        </w:trPr>
        <w:tc>
          <w:tcPr>
            <w:tcW w:w="1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8,549</w:t>
            </w:r>
          </w:p>
        </w:tc>
        <w:tc>
          <w:tcPr>
            <w:tcW w:w="3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8,549</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5,007</w:t>
            </w:r>
          </w:p>
        </w:tc>
        <w:tc>
          <w:tcPr>
            <w:tcW w:w="3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5,007</w:t>
            </w:r>
          </w:p>
        </w:tc>
        <w:tc>
          <w:tcPr>
            <w:tcW w:w="20" w:type="dxa"/>
            <w:vAlign w:val="bottom"/>
          </w:tcPr>
          <w:p>
            <w:pPr>
              <w:spacing w:after="0"/>
              <w:rPr>
                <w:sz w:val="20"/>
                <w:szCs w:val="20"/>
                <w:color w:val="auto"/>
              </w:rPr>
            </w:pPr>
          </w:p>
        </w:tc>
      </w:tr>
      <w:tr>
        <w:trPr>
          <w:trHeight w:val="385"/>
        </w:trPr>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47,514</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62,483</w:t>
            </w:r>
          </w:p>
        </w:tc>
        <w:tc>
          <w:tcPr>
            <w:tcW w:w="3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109,997</w:t>
            </w:r>
          </w:p>
        </w:tc>
        <w:tc>
          <w:tcPr>
            <w:tcW w:w="2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19,829</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33,171</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53,000</w:t>
            </w:r>
          </w:p>
        </w:tc>
      </w:tr>
      <w:tr>
        <w:trPr>
          <w:trHeight w:val="20"/>
        </w:trPr>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-2077085</wp:posOffset>
            </wp:positionH>
            <wp:positionV relativeFrom="paragraph">
              <wp:posOffset>-967740</wp:posOffset>
            </wp:positionV>
            <wp:extent cx="7132320" cy="137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-2077085</wp:posOffset>
            </wp:positionH>
            <wp:positionV relativeFrom="paragraph">
              <wp:posOffset>-693420</wp:posOffset>
            </wp:positionV>
            <wp:extent cx="7132320" cy="137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-2077085</wp:posOffset>
            </wp:positionH>
            <wp:positionV relativeFrom="paragraph">
              <wp:posOffset>-419735</wp:posOffset>
            </wp:positionV>
            <wp:extent cx="7132320" cy="1460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5" w:lineRule="exact"/>
        <w:rPr>
          <w:sz w:val="20"/>
          <w:szCs w:val="20"/>
          <w:color w:val="auto"/>
        </w:rPr>
      </w:pPr>
    </w:p>
    <w:p>
      <w:pPr>
        <w:ind w:left="3220"/>
        <w:spacing w:after="0"/>
        <w:rPr>
          <w:sz w:val="20"/>
          <w:szCs w:val="20"/>
          <w:color w:val="auto"/>
        </w:rPr>
      </w:pPr>
      <w:r>
        <w:rPr>
          <w:rFonts w:ascii="Arial" w:cs="Arial" w:eastAsia="Arial" w:hAnsi="Arial"/>
          <w:sz w:val="18"/>
          <w:szCs w:val="18"/>
          <w:b w:val="1"/>
          <w:bCs w:val="1"/>
          <w:color w:val="auto"/>
        </w:rPr>
        <w:t>Six Months Ended</w:t>
      </w:r>
    </w:p>
    <w:p>
      <w:pPr>
        <w:spacing w:after="0" w:line="27" w:lineRule="exact"/>
        <w:rPr>
          <w:sz w:val="20"/>
          <w:szCs w:val="20"/>
          <w:color w:val="auto"/>
        </w:rPr>
      </w:pPr>
    </w:p>
    <w:p>
      <w:pPr>
        <w:sectPr>
          <w:pgSz w:w="11900" w:h="16838" w:orient="portrait"/>
          <w:cols w:equalWidth="0" w:num="2">
            <w:col w:w="2800" w:space="480"/>
            <w:col w:w="7960"/>
          </w:cols>
          <w:pgMar w:left="320" w:top="584" w:right="339" w:bottom="1440" w:gutter="0" w:footer="0" w:header="0"/>
          <w:type w:val="continuous"/>
        </w:sectPr>
      </w:pPr>
    </w:p>
    <w:tbl>
      <w:tblPr>
        <w:tblLayout w:type="fixed"/>
        <w:tblInd w:w="0" w:type="dxa"/>
        <w:tblCellMar>
          <w:top w:w="0" w:type="dxa"/>
          <w:left w:w="0" w:type="dxa"/>
          <w:bottom w:w="0" w:type="dxa"/>
          <w:right w:w="0" w:type="dxa"/>
        </w:tblCellMar>
      </w:tblPr>
      <w:tr>
        <w:trPr>
          <w:trHeight w:val="210"/>
        </w:trPr>
        <w:tc>
          <w:tcPr>
            <w:tcW w:w="32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rPr>
              <w:t>May 29, 2021</w:t>
            </w:r>
          </w:p>
        </w:tc>
        <w:tc>
          <w:tcPr>
            <w:tcW w:w="3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rPr>
              <w:t>May 30, 2020</w:t>
            </w:r>
          </w:p>
        </w:tc>
        <w:tc>
          <w:tcPr>
            <w:tcW w:w="3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92"/>
              </w:rPr>
              <w:t>Wholesale</w:t>
            </w:r>
          </w:p>
        </w:tc>
        <w:tc>
          <w:tcPr>
            <w:tcW w:w="3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color w:val="auto"/>
              </w:rPr>
              <w:t>Retail</w:t>
            </w: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Total</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2"/>
              </w:rPr>
              <w:t>Wholesale</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Retail</w:t>
            </w:r>
          </w:p>
        </w:tc>
        <w:tc>
          <w:tcPr>
            <w:tcW w:w="3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Upholstery</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50,858</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69,839</w:t>
            </w:r>
          </w:p>
        </w:tc>
        <w:tc>
          <w:tcPr>
            <w:tcW w:w="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120,697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31,905</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54,380</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86,285</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Bassett Leather</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17,756</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480</w:t>
            </w:r>
          </w:p>
        </w:tc>
        <w:tc>
          <w:tcPr>
            <w:tcW w:w="36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18,236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7,047</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1,453</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8,500</w:t>
            </w:r>
          </w:p>
        </w:tc>
        <w:tc>
          <w:tcPr>
            <w:tcW w:w="0" w:type="dxa"/>
            <w:vAlign w:val="bottom"/>
          </w:tcPr>
          <w:p>
            <w:pPr>
              <w:spacing w:after="0"/>
              <w:rPr>
                <w:sz w:val="1"/>
                <w:szCs w:val="1"/>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Bassett Custom Wood</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12,176</w:t>
            </w:r>
          </w:p>
        </w:tc>
        <w:tc>
          <w:tcPr>
            <w:tcW w:w="34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13,082</w:t>
            </w:r>
          </w:p>
        </w:tc>
        <w:tc>
          <w:tcPr>
            <w:tcW w:w="3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25,258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8,254</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8,168</w:t>
            </w:r>
          </w:p>
        </w:tc>
        <w:tc>
          <w:tcPr>
            <w:tcW w:w="3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16,422</w:t>
            </w:r>
          </w:p>
        </w:tc>
        <w:tc>
          <w:tcPr>
            <w:tcW w:w="0" w:type="dxa"/>
            <w:vAlign w:val="bottom"/>
          </w:tcPr>
          <w:p>
            <w:pPr>
              <w:spacing w:after="0"/>
              <w:rPr>
                <w:sz w:val="1"/>
                <w:szCs w:val="1"/>
                <w:color w:val="auto"/>
              </w:rPr>
            </w:pPr>
          </w:p>
        </w:tc>
      </w:tr>
      <w:tr>
        <w:trPr>
          <w:trHeight w:val="216"/>
        </w:trPr>
        <w:tc>
          <w:tcPr>
            <w:tcW w:w="3280" w:type="dxa"/>
            <w:vAlign w:val="bottom"/>
          </w:tcPr>
          <w:p>
            <w:pPr>
              <w:spacing w:after="0"/>
              <w:rPr>
                <w:sz w:val="20"/>
                <w:szCs w:val="20"/>
                <w:color w:val="auto"/>
              </w:rPr>
            </w:pPr>
            <w:r>
              <w:rPr>
                <w:rFonts w:ascii="Arial" w:cs="Arial" w:eastAsia="Arial" w:hAnsi="Arial"/>
                <w:sz w:val="18"/>
                <w:szCs w:val="18"/>
                <w:color w:val="auto"/>
              </w:rPr>
              <w:t>Bassett Casegoods</w:t>
            </w:r>
          </w:p>
        </w:tc>
        <w:tc>
          <w:tcPr>
            <w:tcW w:w="14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7,984</w:t>
            </w:r>
          </w:p>
        </w:tc>
        <w:tc>
          <w:tcPr>
            <w:tcW w:w="340" w:type="dxa"/>
            <w:vAlign w:val="bottom"/>
          </w:tcPr>
          <w:p>
            <w:pPr>
              <w:spacing w:after="0"/>
              <w:rPr>
                <w:sz w:val="18"/>
                <w:szCs w:val="18"/>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21,781</w:t>
            </w:r>
          </w:p>
        </w:tc>
        <w:tc>
          <w:tcPr>
            <w:tcW w:w="360" w:type="dxa"/>
            <w:vAlign w:val="bottom"/>
          </w:tcPr>
          <w:p>
            <w:pPr>
              <w:spacing w:after="0"/>
              <w:rPr>
                <w:sz w:val="18"/>
                <w:szCs w:val="18"/>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29,765</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5,719</w:t>
            </w:r>
          </w:p>
        </w:tc>
        <w:tc>
          <w:tcPr>
            <w:tcW w:w="320" w:type="dxa"/>
            <w:vAlign w:val="bottom"/>
          </w:tcPr>
          <w:p>
            <w:pPr>
              <w:spacing w:after="0"/>
              <w:rPr>
                <w:sz w:val="18"/>
                <w:szCs w:val="18"/>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19,951</w:t>
            </w:r>
          </w:p>
        </w:tc>
        <w:tc>
          <w:tcPr>
            <w:tcW w:w="3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25,670</w:t>
            </w:r>
          </w:p>
        </w:tc>
        <w:tc>
          <w:tcPr>
            <w:tcW w:w="0" w:type="dxa"/>
            <w:vAlign w:val="bottom"/>
          </w:tcPr>
          <w:p>
            <w:pPr>
              <w:spacing w:after="0"/>
              <w:rPr>
                <w:sz w:val="1"/>
                <w:szCs w:val="1"/>
                <w:color w:val="auto"/>
              </w:rPr>
            </w:pPr>
          </w:p>
        </w:tc>
      </w:tr>
      <w:tr>
        <w:trPr>
          <w:trHeight w:val="216"/>
        </w:trPr>
        <w:tc>
          <w:tcPr>
            <w:tcW w:w="3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Accessories, mattresses and other (1)</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17,696</w:t>
            </w:r>
          </w:p>
        </w:tc>
        <w:tc>
          <w:tcPr>
            <w:tcW w:w="3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17,696</w:t>
            </w:r>
          </w:p>
        </w:tc>
        <w:tc>
          <w:tcPr>
            <w:tcW w:w="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15,065</w:t>
            </w:r>
          </w:p>
        </w:tc>
        <w:tc>
          <w:tcPr>
            <w:tcW w:w="3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15,065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280" w:type="dxa"/>
            <w:vAlign w:val="bottom"/>
          </w:tcPr>
          <w:p>
            <w:pPr>
              <w:spacing w:after="0" w:line="195" w:lineRule="exact"/>
              <w:rPr>
                <w:sz w:val="20"/>
                <w:szCs w:val="20"/>
                <w:color w:val="auto"/>
              </w:rPr>
            </w:pPr>
            <w:r>
              <w:rPr>
                <w:rFonts w:ascii="Arial" w:cs="Arial" w:eastAsia="Arial" w:hAnsi="Arial"/>
                <w:sz w:val="18"/>
                <w:szCs w:val="18"/>
                <w:color w:val="auto"/>
              </w:rPr>
              <w:t>Consolidated net sales of furniture and</w:t>
            </w: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vMerge w:val="restart"/>
          </w:tcPr>
          <w:p>
            <w:pPr>
              <w:jc w:val="right"/>
              <w:ind w:right="50"/>
              <w:spacing w:after="0"/>
              <w:rPr>
                <w:sz w:val="20"/>
                <w:szCs w:val="20"/>
                <w:color w:val="auto"/>
              </w:rPr>
            </w:pPr>
            <w:r>
              <w:rPr>
                <w:rFonts w:ascii="Arial" w:cs="Arial" w:eastAsia="Arial" w:hAnsi="Arial"/>
                <w:sz w:val="18"/>
                <w:szCs w:val="18"/>
                <w:color w:val="auto"/>
              </w:rPr>
              <w:t>88,774</w:t>
            </w:r>
          </w:p>
        </w:tc>
        <w:tc>
          <w:tcPr>
            <w:tcW w:w="340" w:type="dxa"/>
            <w:vAlign w:val="bottom"/>
            <w:vMerge w:val="restart"/>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vMerge w:val="restart"/>
          </w:tcPr>
          <w:p>
            <w:pPr>
              <w:jc w:val="right"/>
              <w:ind w:right="30"/>
              <w:spacing w:after="0"/>
              <w:rPr>
                <w:sz w:val="20"/>
                <w:szCs w:val="20"/>
                <w:color w:val="auto"/>
              </w:rPr>
            </w:pPr>
            <w:r>
              <w:rPr>
                <w:rFonts w:ascii="Arial" w:cs="Arial" w:eastAsia="Arial" w:hAnsi="Arial"/>
                <w:sz w:val="18"/>
                <w:szCs w:val="18"/>
                <w:color w:val="auto"/>
              </w:rPr>
              <w:t>122,878</w:t>
            </w:r>
          </w:p>
        </w:tc>
        <w:tc>
          <w:tcPr>
            <w:tcW w:w="360" w:type="dxa"/>
            <w:vAlign w:val="bottom"/>
            <w:vMerge w:val="restart"/>
          </w:tcPr>
          <w:p>
            <w:pPr>
              <w:jc w:val="right"/>
              <w:ind w:right="50"/>
              <w:spacing w:after="0"/>
              <w:rPr>
                <w:sz w:val="20"/>
                <w:szCs w:val="20"/>
                <w:color w:val="auto"/>
              </w:rPr>
            </w:pPr>
            <w:r>
              <w:rPr>
                <w:rFonts w:ascii="Arial" w:cs="Arial" w:eastAsia="Arial" w:hAnsi="Arial"/>
                <w:sz w:val="18"/>
                <w:szCs w:val="18"/>
                <w:color w:val="auto"/>
              </w:rPr>
              <w:t>$</w:t>
            </w:r>
          </w:p>
        </w:tc>
        <w:tc>
          <w:tcPr>
            <w:tcW w:w="9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211,652</w:t>
            </w:r>
          </w:p>
        </w:tc>
        <w:tc>
          <w:tcPr>
            <w:tcW w:w="200" w:type="dxa"/>
            <w:vAlign w:val="bottom"/>
          </w:tcPr>
          <w:p>
            <w:pPr>
              <w:spacing w:after="0"/>
              <w:rPr>
                <w:sz w:val="16"/>
                <w:szCs w:val="16"/>
                <w:color w:val="auto"/>
              </w:rPr>
            </w:pP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vMerge w:val="restart"/>
          </w:tcPr>
          <w:p>
            <w:pPr>
              <w:jc w:val="right"/>
              <w:ind w:right="30"/>
              <w:spacing w:after="0"/>
              <w:rPr>
                <w:sz w:val="20"/>
                <w:szCs w:val="20"/>
                <w:color w:val="auto"/>
              </w:rPr>
            </w:pPr>
            <w:r>
              <w:rPr>
                <w:rFonts w:ascii="Arial" w:cs="Arial" w:eastAsia="Arial" w:hAnsi="Arial"/>
                <w:sz w:val="18"/>
                <w:szCs w:val="18"/>
                <w:color w:val="auto"/>
              </w:rPr>
              <w:t>52,925</w:t>
            </w:r>
          </w:p>
        </w:tc>
        <w:tc>
          <w:tcPr>
            <w:tcW w:w="320" w:type="dxa"/>
            <w:vAlign w:val="bottom"/>
            <w:vMerge w:val="restart"/>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vMerge w:val="restart"/>
          </w:tcPr>
          <w:p>
            <w:pPr>
              <w:jc w:val="right"/>
              <w:ind w:right="30"/>
              <w:spacing w:after="0"/>
              <w:rPr>
                <w:sz w:val="20"/>
                <w:szCs w:val="20"/>
                <w:color w:val="auto"/>
              </w:rPr>
            </w:pPr>
            <w:r>
              <w:rPr>
                <w:rFonts w:ascii="Arial" w:cs="Arial" w:eastAsia="Arial" w:hAnsi="Arial"/>
                <w:sz w:val="18"/>
                <w:szCs w:val="18"/>
                <w:color w:val="auto"/>
              </w:rPr>
              <w:t>99,017</w:t>
            </w:r>
          </w:p>
        </w:tc>
        <w:tc>
          <w:tcPr>
            <w:tcW w:w="340" w:type="dxa"/>
            <w:vAlign w:val="bottom"/>
            <w:vMerge w:val="restart"/>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rPr>
              <w:t>151,942</w:t>
            </w:r>
          </w:p>
        </w:tc>
        <w:tc>
          <w:tcPr>
            <w:tcW w:w="0" w:type="dxa"/>
            <w:vAlign w:val="bottom"/>
          </w:tcPr>
          <w:p>
            <w:pPr>
              <w:spacing w:after="0"/>
              <w:rPr>
                <w:sz w:val="1"/>
                <w:szCs w:val="1"/>
                <w:color w:val="auto"/>
              </w:rPr>
            </w:pPr>
          </w:p>
        </w:tc>
      </w:tr>
      <w:tr>
        <w:trPr>
          <w:trHeight w:val="190"/>
        </w:trPr>
        <w:tc>
          <w:tcPr>
            <w:tcW w:w="3280" w:type="dxa"/>
            <w:vAlign w:val="bottom"/>
          </w:tcPr>
          <w:p>
            <w:pPr>
              <w:ind w:left="180"/>
              <w:spacing w:after="0" w:line="190" w:lineRule="exact"/>
              <w:rPr>
                <w:sz w:val="20"/>
                <w:szCs w:val="20"/>
                <w:color w:val="auto"/>
              </w:rPr>
            </w:pPr>
            <w:r>
              <w:rPr>
                <w:rFonts w:ascii="Arial" w:cs="Arial" w:eastAsia="Arial" w:hAnsi="Arial"/>
                <w:sz w:val="18"/>
                <w:szCs w:val="18"/>
                <w:color w:val="auto"/>
              </w:rPr>
              <w:t>accessories</w:t>
            </w:r>
          </w:p>
        </w:tc>
        <w:tc>
          <w:tcPr>
            <w:tcW w:w="140" w:type="dxa"/>
            <w:vAlign w:val="bottom"/>
            <w:vMerge w:val="continue"/>
          </w:tcPr>
          <w:p>
            <w:pPr>
              <w:spacing w:after="0"/>
              <w:rPr>
                <w:sz w:val="16"/>
                <w:szCs w:val="16"/>
                <w:color w:val="auto"/>
              </w:rPr>
            </w:pPr>
          </w:p>
        </w:tc>
        <w:tc>
          <w:tcPr>
            <w:tcW w:w="1120" w:type="dxa"/>
            <w:vAlign w:val="bottom"/>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1020" w:type="dxa"/>
            <w:vAlign w:val="bottom"/>
            <w:vMerge w:val="continue"/>
          </w:tcPr>
          <w:p>
            <w:pPr>
              <w:spacing w:after="0"/>
              <w:rPr>
                <w:sz w:val="16"/>
                <w:szCs w:val="16"/>
                <w:color w:val="auto"/>
              </w:rPr>
            </w:pPr>
          </w:p>
        </w:tc>
        <w:tc>
          <w:tcPr>
            <w:tcW w:w="360" w:type="dxa"/>
            <w:vAlign w:val="bottom"/>
            <w:vMerge w:val="continue"/>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1080" w:type="dxa"/>
            <w:vAlign w:val="bottom"/>
            <w:vMerge w:val="continue"/>
          </w:tcPr>
          <w:p>
            <w:pPr>
              <w:spacing w:after="0"/>
              <w:rPr>
                <w:sz w:val="16"/>
                <w:szCs w:val="16"/>
                <w:color w:val="auto"/>
              </w:rPr>
            </w:pPr>
          </w:p>
        </w:tc>
        <w:tc>
          <w:tcPr>
            <w:tcW w:w="320" w:type="dxa"/>
            <w:vAlign w:val="bottom"/>
            <w:vMerge w:val="continue"/>
          </w:tcPr>
          <w:p>
            <w:pPr>
              <w:spacing w:after="0"/>
              <w:rPr>
                <w:sz w:val="16"/>
                <w:szCs w:val="16"/>
                <w:color w:val="auto"/>
              </w:rPr>
            </w:pPr>
          </w:p>
        </w:tc>
        <w:tc>
          <w:tcPr>
            <w:tcW w:w="1000" w:type="dxa"/>
            <w:vAlign w:val="bottom"/>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98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hanging="332"/>
        <w:spacing w:after="0" w:line="277"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the sale of goods other than Bassett-branded products, such as accessories and bedding, and also includes the sale of furniture protection plans.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type w:val="continuous"/>
        </w:sectPr>
      </w:pPr>
    </w:p>
    <w:bookmarkStart w:id="20" w:name="page21"/>
    <w:bookmarkEnd w:id="20"/>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Changes to Stockholders</w:t>
      </w:r>
      <w:r>
        <w:rPr>
          <w:rFonts w:ascii="Arial" w:cs="Arial" w:eastAsia="Arial" w:hAnsi="Arial"/>
          <w:sz w:val="18"/>
          <w:szCs w:val="18"/>
          <w:color w:val="auto"/>
        </w:rPr>
        <w:t>’</w:t>
      </w:r>
      <w:r>
        <w:rPr>
          <w:rFonts w:ascii="Arial" w:cs="Arial" w:eastAsia="Arial" w:hAnsi="Arial"/>
          <w:sz w:val="18"/>
          <w:szCs w:val="18"/>
          <w:b w:val="1"/>
          <w:bCs w:val="1"/>
          <w:color w:val="auto"/>
        </w:rPr>
        <w:t xml:space="preserve"> Equity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changes in our stockholders’ equity occurred during the three and six months ended May 29, 2021 and May 30, 2020:</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gridSpan w:val="4"/>
          </w:tcPr>
          <w:p>
            <w:pPr>
              <w:jc w:val="right"/>
              <w:ind w:right="570"/>
              <w:spacing w:after="0"/>
              <w:rPr>
                <w:sz w:val="20"/>
                <w:szCs w:val="20"/>
                <w:color w:val="auto"/>
              </w:rPr>
            </w:pPr>
            <w:r>
              <w:rPr>
                <w:rFonts w:ascii="Arial" w:cs="Arial" w:eastAsia="Arial" w:hAnsi="Arial"/>
                <w:sz w:val="18"/>
                <w:szCs w:val="18"/>
                <w:b w:val="1"/>
                <w:bCs w:val="1"/>
                <w:color w:val="auto"/>
              </w:rPr>
              <w:t>Quarter Ended</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430"/>
              <w:spacing w:after="0"/>
              <w:rPr>
                <w:sz w:val="20"/>
                <w:szCs w:val="20"/>
                <w:color w:val="auto"/>
              </w:rPr>
            </w:pPr>
            <w:r>
              <w:rPr>
                <w:rFonts w:ascii="Arial" w:cs="Arial" w:eastAsia="Arial" w:hAnsi="Arial"/>
                <w:sz w:val="18"/>
                <w:szCs w:val="18"/>
                <w:b w:val="1"/>
                <w:bCs w:val="1"/>
                <w:color w:val="auto"/>
              </w:rPr>
              <w:t>Six Months Ended</w:t>
            </w:r>
          </w:p>
        </w:tc>
        <w:tc>
          <w:tcPr>
            <w:tcW w:w="100" w:type="dxa"/>
            <w:vAlign w:val="bottom"/>
          </w:tcPr>
          <w:p>
            <w:pPr>
              <w:spacing w:after="0"/>
              <w:rPr>
                <w:sz w:val="20"/>
                <w:szCs w:val="20"/>
                <w:color w:val="auto"/>
              </w:rPr>
            </w:pPr>
          </w:p>
        </w:tc>
      </w:tr>
      <w:tr>
        <w:trPr>
          <w:trHeight w:val="426"/>
        </w:trPr>
        <w:tc>
          <w:tcPr>
            <w:tcW w:w="46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gridSpan w:val="3"/>
          </w:tcPr>
          <w:p>
            <w:pPr>
              <w:jc w:val="right"/>
              <w:ind w:right="300"/>
              <w:spacing w:after="0"/>
              <w:rPr>
                <w:sz w:val="20"/>
                <w:szCs w:val="20"/>
                <w:color w:val="auto"/>
              </w:rPr>
            </w:pPr>
            <w:r>
              <w:rPr>
                <w:rFonts w:ascii="Arial" w:cs="Arial" w:eastAsia="Arial" w:hAnsi="Arial"/>
                <w:sz w:val="18"/>
                <w:szCs w:val="18"/>
                <w:b w:val="1"/>
                <w:bCs w:val="1"/>
                <w:color w:val="auto"/>
                <w:w w:val="96"/>
              </w:rPr>
              <w:t>May 29, 2021</w:t>
            </w:r>
          </w:p>
        </w:tc>
        <w:tc>
          <w:tcPr>
            <w:tcW w:w="134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6"/>
              </w:rPr>
              <w:t>May 30, 2020</w:t>
            </w:r>
          </w:p>
        </w:tc>
        <w:tc>
          <w:tcPr>
            <w:tcW w:w="132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w w:val="94"/>
              </w:rPr>
              <w:t>May 29, 2021</w:t>
            </w:r>
          </w:p>
        </w:tc>
        <w:tc>
          <w:tcPr>
            <w:tcW w:w="1220" w:type="dxa"/>
            <w:vAlign w:val="bottom"/>
            <w:gridSpan w:val="3"/>
          </w:tcPr>
          <w:p>
            <w:pPr>
              <w:jc w:val="right"/>
              <w:ind w:right="140"/>
              <w:spacing w:after="0"/>
              <w:rPr>
                <w:sz w:val="20"/>
                <w:szCs w:val="20"/>
                <w:color w:val="auto"/>
              </w:rPr>
            </w:pPr>
            <w:r>
              <w:rPr>
                <w:rFonts w:ascii="Arial" w:cs="Arial" w:eastAsia="Arial" w:hAnsi="Arial"/>
                <w:sz w:val="18"/>
                <w:szCs w:val="18"/>
                <w:b w:val="1"/>
                <w:bCs w:val="1"/>
                <w:color w:val="auto"/>
                <w:w w:val="96"/>
              </w:rPr>
              <w:t>May 30, 2020</w:t>
            </w:r>
          </w:p>
        </w:tc>
      </w:tr>
      <w:tr>
        <w:trPr>
          <w:trHeight w:val="209"/>
        </w:trPr>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Common Stock:</w:t>
            </w:r>
          </w:p>
        </w:tc>
        <w:tc>
          <w:tcPr>
            <w:tcW w:w="130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49,567</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50,173</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49,714</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50,581</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Issuance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89</w:t>
            </w:r>
          </w:p>
        </w:tc>
        <w:tc>
          <w:tcPr>
            <w:tcW w:w="20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89</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120</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118</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Forfeited shares</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Purchase and retirement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(394)</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(285)</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(572)</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(687)</w:t>
            </w:r>
          </w:p>
        </w:tc>
      </w:tr>
      <w:tr>
        <w:trPr>
          <w:trHeight w:val="20"/>
        </w:trPr>
        <w:tc>
          <w:tcPr>
            <w:tcW w:w="46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9"/>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49,262</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49,977</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49,262</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49,977</w:t>
            </w:r>
          </w:p>
        </w:tc>
      </w:tr>
      <w:tr>
        <w:trPr>
          <w:trHeight w:val="197"/>
        </w:trPr>
        <w:tc>
          <w:tcPr>
            <w:tcW w:w="4680" w:type="dxa"/>
            <w:vAlign w:val="bottom"/>
            <w:tcBorders>
              <w:top w:val="single" w:sz="8" w:color="CCEEFF"/>
            </w:tcBorders>
          </w:tcPr>
          <w:p>
            <w:pPr>
              <w:spacing w:after="0"/>
              <w:rPr>
                <w:sz w:val="17"/>
                <w:szCs w:val="17"/>
                <w:color w:val="auto"/>
              </w:rPr>
            </w:pPr>
          </w:p>
        </w:tc>
        <w:tc>
          <w:tcPr>
            <w:tcW w:w="13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Common Shares Issued and Outstanding:</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9,913,496</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10,034,591</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9,942,787</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10,116,291</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Issuance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17,815</w:t>
            </w:r>
          </w:p>
        </w:tc>
        <w:tc>
          <w:tcPr>
            <w:tcW w:w="20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17,765</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24,036</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23,508</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Forfeited shares</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(7,000)</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Purchase and retirement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(78,952)</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(57,000)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(114,464)</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(137,443)</w:t>
            </w:r>
          </w:p>
        </w:tc>
      </w:tr>
      <w:tr>
        <w:trPr>
          <w:trHeight w:val="20"/>
        </w:trPr>
        <w:tc>
          <w:tcPr>
            <w:tcW w:w="46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13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9,852,359</w:t>
            </w:r>
          </w:p>
        </w:tc>
        <w:tc>
          <w:tcPr>
            <w:tcW w:w="2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9,995,356</w:t>
            </w:r>
          </w:p>
        </w:tc>
        <w:tc>
          <w:tcPr>
            <w:tcW w:w="24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9,852,359</w:t>
            </w:r>
          </w:p>
        </w:tc>
        <w:tc>
          <w:tcPr>
            <w:tcW w:w="20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9,995,356</w:t>
            </w:r>
          </w:p>
        </w:tc>
      </w:tr>
      <w:tr>
        <w:trPr>
          <w:trHeight w:val="196"/>
        </w:trPr>
        <w:tc>
          <w:tcPr>
            <w:tcW w:w="4680" w:type="dxa"/>
            <w:vAlign w:val="bottom"/>
            <w:tcBorders>
              <w:top w:val="single" w:sz="8" w:color="CCEEFF"/>
            </w:tcBorders>
          </w:tcPr>
          <w:p>
            <w:pPr>
              <w:spacing w:after="0"/>
              <w:rPr>
                <w:sz w:val="17"/>
                <w:szCs w:val="17"/>
                <w:color w:val="auto"/>
              </w:rPr>
            </w:pPr>
          </w:p>
        </w:tc>
        <w:tc>
          <w:tcPr>
            <w:tcW w:w="13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Additional Paid-in Capital:</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195</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Issuance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42</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(7)</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94</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39</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Forfeited shares</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Purchase and retirement of common stock</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(90)</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(102)</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(156)</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(463)</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 based compensation</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109</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62</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194</w:t>
            </w:r>
          </w:p>
        </w:tc>
      </w:tr>
      <w:tr>
        <w:trPr>
          <w:trHeight w:val="20"/>
        </w:trPr>
        <w:tc>
          <w:tcPr>
            <w:tcW w:w="4680" w:type="dxa"/>
            <w:vAlign w:val="bottom"/>
            <w:shd w:val="clear" w:color="auto" w:fill="CCEEFF"/>
          </w:tcPr>
          <w:p>
            <w:pPr>
              <w:spacing w:after="0" w:line="20" w:lineRule="exact"/>
              <w:rPr>
                <w:sz w:val="1"/>
                <w:szCs w:val="1"/>
                <w:color w:val="auto"/>
              </w:rPr>
            </w:pPr>
          </w:p>
        </w:tc>
        <w:tc>
          <w:tcPr>
            <w:tcW w:w="130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4680" w:type="dxa"/>
            <w:vAlign w:val="bottom"/>
          </w:tcPr>
          <w:p>
            <w:pPr>
              <w:spacing w:after="0"/>
              <w:rPr>
                <w:sz w:val="20"/>
                <w:szCs w:val="20"/>
                <w:color w:val="auto"/>
              </w:rPr>
            </w:pPr>
            <w:r>
              <w:rPr>
                <w:rFonts w:ascii="Arial" w:cs="Arial" w:eastAsia="Arial" w:hAnsi="Arial"/>
                <w:sz w:val="18"/>
                <w:szCs w:val="18"/>
                <w:color w:val="auto"/>
              </w:rPr>
              <w:t>End of period</w:t>
            </w:r>
          </w:p>
        </w:tc>
        <w:tc>
          <w:tcPr>
            <w:tcW w:w="15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
        </w:trPr>
        <w:tc>
          <w:tcPr>
            <w:tcW w:w="46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6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4680" w:type="dxa"/>
            <w:vAlign w:val="bottom"/>
          </w:tcPr>
          <w:p>
            <w:pPr>
              <w:spacing w:after="0"/>
              <w:rPr>
                <w:sz w:val="20"/>
                <w:szCs w:val="20"/>
                <w:color w:val="auto"/>
              </w:rPr>
            </w:pPr>
            <w:r>
              <w:rPr>
                <w:rFonts w:ascii="Arial" w:cs="Arial" w:eastAsia="Arial" w:hAnsi="Arial"/>
                <w:sz w:val="18"/>
                <w:szCs w:val="18"/>
                <w:b w:val="1"/>
                <w:bCs w:val="1"/>
                <w:color w:val="auto"/>
              </w:rPr>
              <w:t>Retained Earnings:</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80" w:type="dxa"/>
            <w:vAlign w:val="bottom"/>
          </w:tcPr>
          <w:p>
            <w:pPr>
              <w:spacing w:after="0"/>
              <w:rPr>
                <w:sz w:val="20"/>
                <w:szCs w:val="20"/>
                <w:color w:val="auto"/>
              </w:rPr>
            </w:pPr>
            <w:r>
              <w:rPr>
                <w:rFonts w:ascii="Arial" w:cs="Arial" w:eastAsia="Arial" w:hAnsi="Arial"/>
                <w:sz w:val="18"/>
                <w:szCs w:val="18"/>
                <w:color w:val="auto"/>
              </w:rPr>
              <w:t>Beginning of period</w:t>
            </w:r>
          </w:p>
        </w:tc>
        <w:tc>
          <w:tcPr>
            <w:tcW w:w="15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109,493</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125,078</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109,710</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129,130</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Cumulative effect of a change in accounting principal</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(3,785)</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Net income (loss) for the period</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5,974</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(20,352)</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9,985</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(19,142)</w:t>
            </w:r>
          </w:p>
        </w:tc>
      </w:tr>
      <w:tr>
        <w:trPr>
          <w:trHeight w:val="216"/>
        </w:trPr>
        <w:tc>
          <w:tcPr>
            <w:tcW w:w="4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 and retirement of common stock</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(1,907)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(87)</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(2,415)</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(304)</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Cash dividends declared</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(1,235)</w:t>
            </w:r>
          </w:p>
        </w:tc>
        <w:tc>
          <w:tcPr>
            <w:tcW w:w="20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(1,248)</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(4,955)</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(2,508)</w:t>
            </w:r>
          </w:p>
        </w:tc>
      </w:tr>
      <w:tr>
        <w:trPr>
          <w:trHeight w:val="20"/>
        </w:trPr>
        <w:tc>
          <w:tcPr>
            <w:tcW w:w="46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112,325</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103,391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112,325</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103,391</w:t>
            </w:r>
          </w:p>
        </w:tc>
      </w:tr>
      <w:tr>
        <w:trPr>
          <w:trHeight w:val="196"/>
        </w:trPr>
        <w:tc>
          <w:tcPr>
            <w:tcW w:w="4680" w:type="dxa"/>
            <w:vAlign w:val="bottom"/>
            <w:tcBorders>
              <w:top w:val="single" w:sz="8" w:color="CCEEFF"/>
            </w:tcBorders>
          </w:tcPr>
          <w:p>
            <w:pPr>
              <w:spacing w:after="0"/>
              <w:rPr>
                <w:sz w:val="17"/>
                <w:szCs w:val="17"/>
                <w:color w:val="auto"/>
              </w:rPr>
            </w:pPr>
          </w:p>
        </w:tc>
        <w:tc>
          <w:tcPr>
            <w:tcW w:w="13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Accumulated Other Comprehensive Loss:</w:t>
            </w:r>
          </w:p>
        </w:tc>
        <w:tc>
          <w:tcPr>
            <w:tcW w:w="1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Beginning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(1,359)</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(1,211)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(1,394)</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(1,236)</w:t>
            </w:r>
          </w:p>
        </w:tc>
      </w:tr>
      <w:tr>
        <w:trPr>
          <w:trHeight w:val="216"/>
        </w:trPr>
        <w:tc>
          <w:tcPr>
            <w:tcW w:w="4680" w:type="dxa"/>
            <w:vAlign w:val="bottom"/>
          </w:tcPr>
          <w:p>
            <w:pPr>
              <w:ind w:left="180"/>
              <w:spacing w:after="0"/>
              <w:rPr>
                <w:sz w:val="20"/>
                <w:szCs w:val="20"/>
                <w:color w:val="auto"/>
              </w:rPr>
            </w:pPr>
            <w:r>
              <w:rPr>
                <w:rFonts w:ascii="Arial" w:cs="Arial" w:eastAsia="Arial" w:hAnsi="Arial"/>
                <w:sz w:val="18"/>
                <w:szCs w:val="18"/>
                <w:color w:val="auto"/>
              </w:rPr>
              <w:t>Amortization of pension costs, net of tax</w:t>
            </w:r>
          </w:p>
        </w:tc>
        <w:tc>
          <w:tcPr>
            <w:tcW w:w="1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34</w:t>
            </w:r>
          </w:p>
        </w:tc>
        <w:tc>
          <w:tcPr>
            <w:tcW w:w="20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69</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49</w:t>
            </w:r>
          </w:p>
        </w:tc>
      </w:tr>
      <w:tr>
        <w:trPr>
          <w:trHeight w:val="20"/>
        </w:trPr>
        <w:tc>
          <w:tcPr>
            <w:tcW w:w="46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End of period</w:t>
            </w:r>
          </w:p>
        </w:tc>
        <w:tc>
          <w:tcPr>
            <w:tcW w:w="15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(1,325)</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(1,187)</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(1,325)</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(1,187)</w:t>
            </w:r>
          </w:p>
        </w:tc>
      </w:tr>
      <w:tr>
        <w:trPr>
          <w:trHeight w:val="412"/>
        </w:trPr>
        <w:tc>
          <w:tcPr>
            <w:tcW w:w="4680" w:type="dxa"/>
            <w:vAlign w:val="bottom"/>
            <w:tcBorders>
              <w:top w:val="single" w:sz="8" w:color="CCEEFF"/>
            </w:tcBorders>
          </w:tcPr>
          <w:p>
            <w:pPr>
              <w:spacing w:after="0"/>
              <w:rPr>
                <w:sz w:val="24"/>
                <w:szCs w:val="24"/>
                <w:color w:val="auto"/>
              </w:rPr>
            </w:pPr>
          </w:p>
        </w:tc>
        <w:tc>
          <w:tcPr>
            <w:tcW w:w="1300" w:type="dxa"/>
            <w:vAlign w:val="bottom"/>
            <w:tcBorders>
              <w:top w:val="single" w:sz="8" w:color="CCEEFF"/>
            </w:tcBorders>
          </w:tcPr>
          <w:p>
            <w:pPr>
              <w:ind w:left="640"/>
              <w:spacing w:after="0"/>
              <w:rPr>
                <w:sz w:val="20"/>
                <w:szCs w:val="20"/>
                <w:color w:val="auto"/>
              </w:rPr>
            </w:pPr>
            <w:r>
              <w:rPr>
                <w:rFonts w:ascii="Arial" w:cs="Arial" w:eastAsia="Arial" w:hAnsi="Arial"/>
                <w:sz w:val="18"/>
                <w:szCs w:val="18"/>
                <w:color w:val="auto"/>
                <w:w w:val="98"/>
              </w:rPr>
              <w:t>21 of 39</w:t>
            </w:r>
          </w:p>
        </w:tc>
        <w:tc>
          <w:tcPr>
            <w:tcW w:w="24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260" w:type="dxa"/>
            <w:vAlign w:val="bottom"/>
            <w:tcBorders>
              <w:top w:val="single" w:sz="8" w:color="CCEEFF"/>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115"/>
        </w:trPr>
        <w:tc>
          <w:tcPr>
            <w:tcW w:w="468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sectPr>
      </w:pPr>
    </w:p>
    <w:bookmarkStart w:id="21" w:name="page22"/>
    <w:bookmarkEnd w:id="21"/>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Recent Accounting Pronouncements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December 2019, the FASB issued Accounting Standards Update No. 2019-12 – Income Taxes (Topic 740) Simplifying the Accounting for Income Taxes, as part of its initiative to reduce complexity in the accounting standards. The amendments in ASU 2019-12 eliminate certain exceptions related to the approach for intraperiod tax allocation, the methodology for calculating income taxes in an interim period and the recognition of deferred tax liabilities for outside basis differences. ASU 2019-12 also clarifies and simplifies other aspects of the accounting for income taxes. The amendments in ASU 2019-12 will become effective for us as of the beginning of our 2022 fiscal year. Early adoption is permitted, including adoption in any interim period. We are currently evaluating the impact that this guidance will have upon our financial position and results of operations, if any.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2" w:name="page23"/>
    <w:bookmarkEnd w:id="22"/>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Safe-harbor, forward-looking statements:</w:t>
      </w:r>
    </w:p>
    <w:p>
      <w:pPr>
        <w:spacing w:after="0" w:line="22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This report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Arial" w:cs="Arial" w:eastAsia="Arial" w:hAnsi="Arial"/>
          <w:sz w:val="16"/>
          <w:szCs w:val="16"/>
          <w:i w:val="1"/>
          <w:iCs w:val="1"/>
          <w:color w:val="auto"/>
        </w:rPr>
        <w:t>anticipates</w:t>
      </w:r>
      <w:r>
        <w:rPr>
          <w:rFonts w:ascii="Arial" w:cs="Arial" w:eastAsia="Arial" w:hAnsi="Arial"/>
          <w:sz w:val="16"/>
          <w:szCs w:val="16"/>
          <w:color w:val="auto"/>
        </w:rPr>
        <w:t>”, “</w:t>
      </w:r>
      <w:r>
        <w:rPr>
          <w:rFonts w:ascii="Arial" w:cs="Arial" w:eastAsia="Arial" w:hAnsi="Arial"/>
          <w:sz w:val="16"/>
          <w:szCs w:val="16"/>
          <w:i w:val="1"/>
          <w:iCs w:val="1"/>
          <w:color w:val="auto"/>
        </w:rPr>
        <w:t>believes</w:t>
      </w:r>
      <w:r>
        <w:rPr>
          <w:rFonts w:ascii="Arial" w:cs="Arial" w:eastAsia="Arial" w:hAnsi="Arial"/>
          <w:sz w:val="16"/>
          <w:szCs w:val="16"/>
          <w:color w:val="auto"/>
        </w:rPr>
        <w:t>”, “</w:t>
      </w:r>
      <w:r>
        <w:rPr>
          <w:rFonts w:ascii="Arial" w:cs="Arial" w:eastAsia="Arial" w:hAnsi="Arial"/>
          <w:sz w:val="16"/>
          <w:szCs w:val="16"/>
          <w:i w:val="1"/>
          <w:iCs w:val="1"/>
          <w:color w:val="auto"/>
        </w:rPr>
        <w:t>plans</w:t>
      </w:r>
      <w:r>
        <w:rPr>
          <w:rFonts w:ascii="Arial" w:cs="Arial" w:eastAsia="Arial" w:hAnsi="Arial"/>
          <w:sz w:val="16"/>
          <w:szCs w:val="16"/>
          <w:color w:val="auto"/>
        </w:rPr>
        <w:t>”, “</w:t>
      </w:r>
      <w:r>
        <w:rPr>
          <w:rFonts w:ascii="Arial" w:cs="Arial" w:eastAsia="Arial" w:hAnsi="Arial"/>
          <w:sz w:val="16"/>
          <w:szCs w:val="16"/>
          <w:i w:val="1"/>
          <w:iCs w:val="1"/>
          <w:color w:val="auto"/>
        </w:rPr>
        <w:t>estimates</w:t>
      </w:r>
      <w:r>
        <w:rPr>
          <w:rFonts w:ascii="Arial" w:cs="Arial" w:eastAsia="Arial" w:hAnsi="Arial"/>
          <w:sz w:val="16"/>
          <w:szCs w:val="16"/>
          <w:color w:val="auto"/>
        </w:rPr>
        <w:t>”, “</w:t>
      </w:r>
      <w:r>
        <w:rPr>
          <w:rFonts w:ascii="Arial" w:cs="Arial" w:eastAsia="Arial" w:hAnsi="Arial"/>
          <w:sz w:val="16"/>
          <w:szCs w:val="16"/>
          <w:i w:val="1"/>
          <w:iCs w:val="1"/>
          <w:color w:val="auto"/>
        </w:rPr>
        <w:t>expects</w:t>
      </w:r>
      <w:r>
        <w:rPr>
          <w:rFonts w:ascii="Arial" w:cs="Arial" w:eastAsia="Arial" w:hAnsi="Arial"/>
          <w:sz w:val="16"/>
          <w:szCs w:val="16"/>
          <w:color w:val="auto"/>
        </w:rPr>
        <w:t>”, “</w:t>
      </w:r>
      <w:r>
        <w:rPr>
          <w:rFonts w:ascii="Arial" w:cs="Arial" w:eastAsia="Arial" w:hAnsi="Arial"/>
          <w:sz w:val="16"/>
          <w:szCs w:val="16"/>
          <w:i w:val="1"/>
          <w:iCs w:val="1"/>
          <w:color w:val="auto"/>
        </w:rPr>
        <w:t>aims</w:t>
      </w:r>
      <w:r>
        <w:rPr>
          <w:rFonts w:ascii="Arial" w:cs="Arial" w:eastAsia="Arial" w:hAnsi="Arial"/>
          <w:sz w:val="16"/>
          <w:szCs w:val="16"/>
          <w:color w:val="auto"/>
        </w:rPr>
        <w:t>” and “</w:t>
      </w:r>
      <w:r>
        <w:rPr>
          <w:rFonts w:ascii="Arial" w:cs="Arial" w:eastAsia="Arial" w:hAnsi="Arial"/>
          <w:sz w:val="16"/>
          <w:szCs w:val="16"/>
          <w:i w:val="1"/>
          <w:iCs w:val="1"/>
          <w:color w:val="auto"/>
        </w:rPr>
        <w:t>intends</w:t>
      </w:r>
      <w:r>
        <w:rPr>
          <w:rFonts w:ascii="Arial" w:cs="Arial" w:eastAsia="Arial" w:hAnsi="Arial"/>
          <w:sz w:val="16"/>
          <w:szCs w:val="16"/>
          <w:color w:val="auto"/>
        </w:rPr>
        <w:t>”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161" w:lineRule="exact"/>
        <w:rPr>
          <w:sz w:val="20"/>
          <w:szCs w:val="20"/>
          <w:color w:val="auto"/>
        </w:rPr>
      </w:pPr>
    </w:p>
    <w:p>
      <w:pPr>
        <w:jc w:val="both"/>
        <w:ind w:left="340" w:hanging="332"/>
        <w:spacing w:after="0" w:line="311"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impact of the COVID-19 outbreak upon our ability to maintain normal operations at our retail stores and manufacturing facilities and the resulting effects any future interruption of those operations may have upon our financial condition, results of operations and liquidity, as well as the impact of the outbreak upon general economic conditions, including consumer spending and the strength of the housing market in the United States</w:t>
      </w:r>
    </w:p>
    <w:p>
      <w:pPr>
        <w:spacing w:after="0" w:line="148" w:lineRule="exact"/>
        <w:rPr>
          <w:rFonts w:ascii="Arial" w:cs="Arial" w:eastAsia="Arial" w:hAnsi="Arial"/>
          <w:sz w:val="16"/>
          <w:szCs w:val="16"/>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competitive conditions in the home furnishings industry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overall retail traffic levels and consumer demand for home furnishings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of our customers and consumers to obtain credit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profitability of the Bassett stores (independent licensees and Company-owned retail stores) which may result in future store closings</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to implement our Company-owned retail strategies and realize the benefits from such strategies, including our initiatives to expand and improve our digital marketing capabilities, as they are implemented</w:t>
      </w:r>
    </w:p>
    <w:p>
      <w:pPr>
        <w:spacing w:after="0" w:line="170"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fluctuations in the cost and availability of raw materials, fuel, labor and sourced products, including those which may result from supply chain disruptions and the imposition of new or increased duties, tariffs, retaliatory tariffs and trade limitations with respect to foreign-sourced products</w:t>
      </w:r>
    </w:p>
    <w:p>
      <w:pPr>
        <w:spacing w:after="0" w:line="146" w:lineRule="exact"/>
        <w:rPr>
          <w:rFonts w:ascii="Arial" w:cs="Arial" w:eastAsia="Arial" w:hAnsi="Arial"/>
          <w:sz w:val="17"/>
          <w:szCs w:val="17"/>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marketing and advertising campaigns</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effectiveness and security of our information and technology systems and possible disruptions due to cybersecurity threats, including any impacts from a network security incident; and the sufficiency of our insurance coverage, including cybersecurity insurance.</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future tax legislation, or regulatory or judicial positions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ability to efficiently manage the import supply chain to minimize business interruption</w:t>
      </w:r>
    </w:p>
    <w:p>
      <w:pPr>
        <w:spacing w:after="0" w:line="225"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general risks associated with providing freight transportation and other logistical services through our wholly owned subsidiary, Zenith Freight Lines,</w:t>
      </w:r>
    </w:p>
    <w:p>
      <w:pPr>
        <w:spacing w:after="0" w:line="46" w:lineRule="exact"/>
        <w:rPr>
          <w:rFonts w:ascii="Arial" w:cs="Arial" w:eastAsia="Arial" w:hAnsi="Arial"/>
          <w:sz w:val="16"/>
          <w:szCs w:val="16"/>
          <w:color w:val="auto"/>
        </w:rPr>
      </w:pPr>
    </w:p>
    <w:p>
      <w:pPr>
        <w:ind w:left="340"/>
        <w:spacing w:after="0"/>
        <w:rPr>
          <w:rFonts w:ascii="Arial" w:cs="Arial" w:eastAsia="Arial" w:hAnsi="Arial"/>
          <w:sz w:val="16"/>
          <w:szCs w:val="16"/>
          <w:color w:val="auto"/>
        </w:rPr>
      </w:pPr>
      <w:r>
        <w:rPr>
          <w:rFonts w:ascii="Arial" w:cs="Arial" w:eastAsia="Arial" w:hAnsi="Arial"/>
          <w:sz w:val="18"/>
          <w:szCs w:val="18"/>
          <w:color w:val="auto"/>
        </w:rPr>
        <w:t>LLC</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Additionally, other risks that could cause actual results to differ materially from those contemplated by such forward-looking statements are set forth in Part I, Item 1A. Risk Factors in the Company’s Annual Report on Form 10-K for the fiscal year ended November 28, 2020.</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3" w:name="page24"/>
    <w:bookmarkEnd w:id="23"/>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119-year history has instilled the principles of quality, value, and integrity in everything we do, while simultaneously providing us with the expertise to respond to ever-changing consumer tastes and meet the demands of a global economy.</w:t>
      </w:r>
    </w:p>
    <w:p>
      <w:pPr>
        <w:spacing w:after="0" w:line="17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With 97 BHF stores at May 29, 2021,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6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BHF stores feature custom order furniture, free in-home or virtual design visits (“home makeovers”) and coordinated decorating accessories. Our philosophy is based on building strong long-term relationships with each customer. Salespeople are referred to as “Design Consultants” and are trained to evaluate customer needs and provide comprehensive solutions for their home decor. Until a rigorous training and design certification program is completed, Design Consultants are not authorized to perform in-home or virtual design services for our customers.</w:t>
      </w:r>
    </w:p>
    <w:p>
      <w:pPr>
        <w:spacing w:after="0" w:line="17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have factories in Newton, North Carolina that manufacture custom upholstered furniture. We also have factories in Martinsville and Bassett, Virginia that assemble and finish our custom dining offerings, including our solid hardwood furniture “Bench Made” line. Our manufacturing team takes great pride in the breadth of its options, the precision of its craftsmanship, and the speed of its manufacturing process. Our logistics team then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Thailand and China. Over 75% of the products we currently sell are manufactured in the United States.</w:t>
      </w:r>
    </w:p>
    <w:p>
      <w:pPr>
        <w:spacing w:after="0" w:line="17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During fiscal 2018, we acquired Lane Venture, a manufacturer and distributor of premium outdoor furniture which is operated as a component of our wholesale segment. This acquisition marked our entry into the market for outdoor furniture and we believe that Lane Venture has provided a foundation for us to become a significant participant in this category. Our strategy is to distribute this brand outside of our BHF store network only.</w:t>
      </w:r>
    </w:p>
    <w:p>
      <w:pPr>
        <w:spacing w:after="0" w:line="16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With the knowledge we have gained through operating Lane Venture, we have developed the Bassett Outdoor brand that is only marketed through the BHF store network. This allows Bassett branded product to move from inside the home to outside the home to capitalize on the growing trend of outdoor living.</w:t>
      </w:r>
    </w:p>
    <w:p>
      <w:pPr>
        <w:spacing w:after="0" w:line="124" w:lineRule="exact"/>
        <w:rPr>
          <w:sz w:val="20"/>
          <w:szCs w:val="20"/>
          <w:color w:val="auto"/>
        </w:rPr>
      </w:pPr>
    </w:p>
    <w:p>
      <w:pPr>
        <w:spacing w:after="0"/>
        <w:rPr>
          <w:sz w:val="20"/>
          <w:szCs w:val="20"/>
          <w:color w:val="auto"/>
        </w:rPr>
      </w:pPr>
      <w:r>
        <w:rPr>
          <w:rFonts w:ascii="Arial" w:cs="Arial" w:eastAsia="Arial" w:hAnsi="Arial"/>
          <w:sz w:val="17"/>
          <w:szCs w:val="17"/>
          <w:color w:val="auto"/>
        </w:rPr>
        <w:t>We also own Zenith Freight Lines, LLC (“Zenith”) which provides logistical services to Bassett along with other furniture manufacturers and retailers.</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Zenith delivers best-of-class shipping and logistical support services that are uniquely tailored to the needs of Bassett and the furniture industry.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Approximately 60% of Zenith’s revenue is generated from services provided to non-Bassett customers.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4" w:name="page25"/>
    <w:bookmarkEnd w:id="24"/>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We consider our website to be the front door to our brand experience where customers can research our furniture and accessory offerings and subsequently buy online or engage with an in-store design consultant. Customer acquisition resulting from our digital outreach strategies increased our traffic to the website by 52% for the six months ended May 29, 2021 as compared to the comparable period in 2020. The migration to digital brand research has caused us to comprehensively evaluate all of our American made custom products. While our Custom Upholstery, Custom Dining, and Bench Made product lines continue to be our most successful offerings, most of these items must be purchased in a store as they are not conducive to web transactions due to the number of options available. Consequently, we will continue to methodically re-design each one of these important lines. Our intent is to continue to offer the consumer custom options that will help them personalize their home but to do so in an edited fashion that will provide a better web experience in the research phase and will also allow the final purchase to be made either on the web or in the store. While we work to make it easier to purchase either in store or on-line, we will not compromise on our in-store experience or the quality of our in-home makeover capabilities.</w:t>
      </w:r>
    </w:p>
    <w:p>
      <w:pPr>
        <w:spacing w:after="0" w:line="16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also continue to re-examine the performance of every one of our stores. Store traffic has been declining for three years and the effect on our retail model has become increasingly challenging. We believe that on a market-by-market basis, there will be fewer stores in the future. We will continue to evaluate store-by-store performance as we seek the optimal store count in the markets in which we compete at retail.</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plan to heavily emphasize our “Made in America” story and utilize locally harvested and organic materials when possible. As part of this, we recently rebranded our premier Custom Upholstery line to be part of the Bench Made program emphasizing that those products are artisan crafted with exceptional domestic materials and are made to order. In addition, we expanded our Bench Made solid wood dining offerings to provide a sleeker more contemporary styling product to complement our initial Bench Made dining offerings.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COVID-19 Pandemic Upon Our Financial Condition and Results of Operations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 March 11, 2020, the World Health Organization declared the coronavirus (“COVID-19”) outbreak to be a global pandemic. In response to this declaration and the rapid spread of COVID-19 within the United States, federal, state and local governments throughout the country imposed varying degrees of restrictions on social and commercial activity to promote social distancing in an effort to slow the spread of the illness. These measures had a significant adverse impact upon many sectors of the economy, including non-essential retail commerce, beginning in our second fiscal quarter of 2020. Therefore, our results of operations for the quarter ended February 29, 2020 were not impacted by COVID-19.</w:t>
      </w:r>
    </w:p>
    <w:p>
      <w:pPr>
        <w:spacing w:after="0" w:line="1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response to the above and for the protection of our employees and customers, we temporarily closed our dedicated BHF stores, our manufacturing locations and many of our warehouses for several weeks primarily during the second fiscal quarter of 2020. The disruption to our operations caused by the COVID-19 pandemic resulted in a significant loss for the three and six months ended May 30, 2020. By the end of the third quarter of fiscal 2020 we had reopened all stores and resumed manufacturing activity, allowing us to return to profitability beginning with the third quarter of fiscal 2020 and continuing through the first half of fiscal 2021.</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Since restarting our manufacturing operations and reopening stores, the pace of incoming wholesale orders from both the retail stores and our independent dealers outside the BHF store network have far exceeded our post reopening forecasts. Wholesale orders for the first half of fiscal 2021 increased 90% as compared to the comparable period in 2020. In addition, wholesale orders for the first half of fiscal 2021 represented a 36% increase as compared to pre-pandemic levels of the first half of fiscal 2019. However, supply chain disruptions causing shortages of various raw materials, including fabric, foam and plywood, coupled with logistical challenges have created significant delays in order fulfillment resulting in abnormally high backlogs. In addition, inflationary pressures throughout the supply chain have resulted in us implementing multiple wholesale price increases over the last few months. We expect that wholesale gross margins will be slightly impacted during the remainder of fiscal 2021 as we cycle through the backlog.</w:t>
      </w:r>
    </w:p>
    <w:p>
      <w:pPr>
        <w:spacing w:after="0" w:line="16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To address our growing backlog, we have opened another upholstery manufacturing facility in Newton, NC, adjacent to our existing 500,000 square foot complex. Production from this additional 123,000 square foot facility began in early June and is dedicated to our opening price point “Everyday Value” product. The added space will also allow us to expand our Bench Made motion program, previously referred to as Magnificent Motion, that has exceeded our sales projections since its debut in early 2020.</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5" w:name="page26"/>
    <w:bookmarkEnd w:id="25"/>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continue to closely monitor the COVID-19 pandemic and its lingering impact on the economy, the consumer and our business. While the rate of incoming orders at both our wholesale and retail segments remains strong, there are continuing logistical challenges faced by us and the entire home furnishings industry resulting from COVID-related labor shortages and supply chain disruptions creating significant delays in order fulfillment and increasing backlogs. Although unable to predict with certainty, we expect gradual decreases in wholesale and retail backlogs over the remainder of fiscal 2021 driven by an anticipated lower rate of future incoming orders coupled with increased manufacturing and shipping activity. Whereas the progress in mass vaccination programs in the U.S. has prompted state and local governments to substantially lift most remaining restrictions on commercial retail activity, it is nevertheless possible that a resurgence in COVID-19 cases due to new variants of the coronavirus entering the U.S. could prompt a return to tighter restrictions in certain areas of the country. Furthermore, pandemic-related labor shortages and supply chain disruptions remain unresolved and order cancellations could result if the present delays in order fulfillment continue for an extended period of time. Therefore, uncertainty remains regarding the ongoing impact of the COVID-19 outbreak upon our financial condition and future results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Results of Operations </w:t>
      </w:r>
      <w:r>
        <w:rPr>
          <w:rFonts w:ascii="Arial" w:cs="Arial" w:eastAsia="Arial" w:hAnsi="Arial"/>
          <w:sz w:val="18"/>
          <w:szCs w:val="18"/>
          <w:color w:val="auto"/>
        </w:rPr>
        <w:t>–</w:t>
      </w:r>
      <w:r>
        <w:rPr>
          <w:rFonts w:ascii="Arial" w:cs="Arial" w:eastAsia="Arial" w:hAnsi="Arial"/>
          <w:sz w:val="18"/>
          <w:szCs w:val="18"/>
          <w:b w:val="1"/>
          <w:bCs w:val="1"/>
          <w:color w:val="auto"/>
        </w:rPr>
        <w:t xml:space="preserve"> Periods ended May 29, 2021 compared with the periods ended May 30, 2020:</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Consolidated results of operations for the three and six months ended May 29, 2021 and May 30, 2020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580" w:type="dxa"/>
            <w:vAlign w:val="bottom"/>
            <w:gridSpan w:val="4"/>
          </w:tcPr>
          <w:p>
            <w:pPr>
              <w:jc w:val="right"/>
              <w:ind w:right="448"/>
              <w:spacing w:after="0"/>
              <w:rPr>
                <w:sz w:val="20"/>
                <w:szCs w:val="20"/>
                <w:color w:val="auto"/>
              </w:rPr>
            </w:pPr>
            <w:r>
              <w:rPr>
                <w:rFonts w:ascii="Arial" w:cs="Arial" w:eastAsia="Arial" w:hAnsi="Arial"/>
                <w:sz w:val="14"/>
                <w:szCs w:val="14"/>
                <w:color w:val="auto"/>
              </w:rPr>
              <w:t>Quarter Ended</w:t>
            </w: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60" w:type="dxa"/>
            <w:vAlign w:val="bottom"/>
            <w:gridSpan w:val="3"/>
          </w:tcPr>
          <w:p>
            <w:pPr>
              <w:jc w:val="right"/>
              <w:ind w:right="680"/>
              <w:spacing w:after="0"/>
              <w:rPr>
                <w:sz w:val="20"/>
                <w:szCs w:val="20"/>
                <w:color w:val="auto"/>
              </w:rPr>
            </w:pPr>
            <w:r>
              <w:rPr>
                <w:rFonts w:ascii="Arial" w:cs="Arial" w:eastAsia="Arial" w:hAnsi="Arial"/>
                <w:sz w:val="14"/>
                <w:szCs w:val="14"/>
                <w:color w:val="auto"/>
              </w:rPr>
              <w:t>Change</w:t>
            </w: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40" w:type="dxa"/>
            <w:vAlign w:val="bottom"/>
            <w:gridSpan w:val="3"/>
          </w:tcPr>
          <w:p>
            <w:pPr>
              <w:jc w:val="right"/>
              <w:ind w:right="328"/>
              <w:spacing w:after="0"/>
              <w:rPr>
                <w:sz w:val="20"/>
                <w:szCs w:val="20"/>
                <w:color w:val="auto"/>
              </w:rPr>
            </w:pPr>
            <w:r>
              <w:rPr>
                <w:rFonts w:ascii="Arial" w:cs="Arial" w:eastAsia="Arial" w:hAnsi="Arial"/>
                <w:sz w:val="14"/>
                <w:szCs w:val="14"/>
                <w:color w:val="auto"/>
              </w:rPr>
              <w:t>Six Months Ended</w:t>
            </w: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3"/>
          </w:tcPr>
          <w:p>
            <w:pPr>
              <w:jc w:val="right"/>
              <w:ind w:right="560"/>
              <w:spacing w:after="0"/>
              <w:rPr>
                <w:sz w:val="20"/>
                <w:szCs w:val="20"/>
                <w:color w:val="auto"/>
              </w:rPr>
            </w:pPr>
            <w:r>
              <w:rPr>
                <w:rFonts w:ascii="Arial" w:cs="Arial" w:eastAsia="Arial" w:hAnsi="Arial"/>
                <w:sz w:val="14"/>
                <w:szCs w:val="14"/>
                <w:color w:val="auto"/>
              </w:rPr>
              <w:t>Change</w:t>
            </w:r>
          </w:p>
        </w:tc>
      </w:tr>
      <w:tr>
        <w:trPr>
          <w:trHeight w:val="142"/>
        </w:trPr>
        <w:tc>
          <w:tcPr>
            <w:tcW w:w="19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gridSpan w:val="3"/>
          </w:tcPr>
          <w:p>
            <w:pPr>
              <w:jc w:val="right"/>
              <w:ind w:right="520"/>
              <w:spacing w:after="0" w:line="142" w:lineRule="exact"/>
              <w:rPr>
                <w:sz w:val="20"/>
                <w:szCs w:val="20"/>
                <w:color w:val="auto"/>
              </w:rPr>
            </w:pPr>
            <w:r>
              <w:rPr>
                <w:rFonts w:ascii="Arial" w:cs="Arial" w:eastAsia="Arial" w:hAnsi="Arial"/>
                <w:sz w:val="14"/>
                <w:szCs w:val="14"/>
                <w:color w:val="auto"/>
              </w:rPr>
              <w:t>May 29, 2021</w:t>
            </w:r>
          </w:p>
        </w:tc>
        <w:tc>
          <w:tcPr>
            <w:tcW w:w="8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gridSpan w:val="2"/>
          </w:tcPr>
          <w:p>
            <w:pPr>
              <w:ind w:left="180"/>
              <w:spacing w:after="0" w:line="142" w:lineRule="exact"/>
              <w:rPr>
                <w:sz w:val="20"/>
                <w:szCs w:val="20"/>
                <w:color w:val="auto"/>
              </w:rPr>
            </w:pPr>
            <w:r>
              <w:rPr>
                <w:rFonts w:ascii="Arial" w:cs="Arial" w:eastAsia="Arial" w:hAnsi="Arial"/>
                <w:sz w:val="14"/>
                <w:szCs w:val="14"/>
                <w:color w:val="auto"/>
              </w:rPr>
              <w:t>May 30, 2020</w:t>
            </w:r>
          </w:p>
        </w:tc>
        <w:tc>
          <w:tcPr>
            <w:tcW w:w="220" w:type="dxa"/>
            <w:vAlign w:val="bottom"/>
          </w:tcPr>
          <w:p>
            <w:pPr>
              <w:spacing w:after="0"/>
              <w:rPr>
                <w:sz w:val="12"/>
                <w:szCs w:val="12"/>
                <w:color w:val="auto"/>
              </w:rPr>
            </w:pPr>
          </w:p>
        </w:tc>
        <w:tc>
          <w:tcPr>
            <w:tcW w:w="720" w:type="dxa"/>
            <w:vAlign w:val="bottom"/>
            <w:tcBorders>
              <w:top w:val="single" w:sz="8" w:color="auto"/>
            </w:tcBorders>
            <w:gridSpan w:val="2"/>
          </w:tcPr>
          <w:p>
            <w:pPr>
              <w:jc w:val="right"/>
              <w:ind w:right="148"/>
              <w:spacing w:after="0" w:line="142" w:lineRule="exact"/>
              <w:rPr>
                <w:sz w:val="20"/>
                <w:szCs w:val="20"/>
                <w:color w:val="auto"/>
              </w:rPr>
            </w:pPr>
            <w:r>
              <w:rPr>
                <w:rFonts w:ascii="Arial" w:cs="Arial" w:eastAsia="Arial" w:hAnsi="Arial"/>
                <w:sz w:val="14"/>
                <w:szCs w:val="14"/>
                <w:color w:val="auto"/>
              </w:rPr>
              <w:t>Dollars</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gridSpan w:val="3"/>
          </w:tcPr>
          <w:p>
            <w:pPr>
              <w:jc w:val="right"/>
              <w:ind w:right="500"/>
              <w:spacing w:after="0" w:line="142" w:lineRule="exact"/>
              <w:rPr>
                <w:sz w:val="20"/>
                <w:szCs w:val="20"/>
                <w:color w:val="auto"/>
              </w:rPr>
            </w:pPr>
            <w:r>
              <w:rPr>
                <w:rFonts w:ascii="Arial" w:cs="Arial" w:eastAsia="Arial" w:hAnsi="Arial"/>
                <w:sz w:val="14"/>
                <w:szCs w:val="14"/>
                <w:color w:val="auto"/>
              </w:rPr>
              <w:t>May 29, 2021</w:t>
            </w:r>
          </w:p>
        </w:tc>
        <w:tc>
          <w:tcPr>
            <w:tcW w:w="1340" w:type="dxa"/>
            <w:vAlign w:val="bottom"/>
            <w:tcBorders>
              <w:top w:val="single" w:sz="8" w:color="auto"/>
            </w:tcBorders>
            <w:gridSpan w:val="2"/>
          </w:tcPr>
          <w:p>
            <w:pPr>
              <w:ind w:left="26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720" w:type="dxa"/>
            <w:vAlign w:val="bottom"/>
            <w:tcBorders>
              <w:top w:val="single" w:sz="8" w:color="auto"/>
            </w:tcBorders>
            <w:gridSpan w:val="2"/>
          </w:tcPr>
          <w:p>
            <w:pPr>
              <w:jc w:val="right"/>
              <w:ind w:right="168"/>
              <w:spacing w:after="0" w:line="142" w:lineRule="exact"/>
              <w:rPr>
                <w:sz w:val="20"/>
                <w:szCs w:val="20"/>
                <w:color w:val="auto"/>
              </w:rPr>
            </w:pPr>
            <w:r>
              <w:rPr>
                <w:rFonts w:ascii="Arial" w:cs="Arial" w:eastAsia="Arial" w:hAnsi="Arial"/>
                <w:sz w:val="14"/>
                <w:szCs w:val="14"/>
                <w:color w:val="auto"/>
              </w:rPr>
              <w:t>Dollars</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r>
      <w:tr>
        <w:trPr>
          <w:trHeight w:val="142"/>
        </w:trPr>
        <w:tc>
          <w:tcPr>
            <w:tcW w:w="19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148"/>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Sales revenue:</w:t>
            </w: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r>
      <w:tr>
        <w:trPr>
          <w:trHeight w:val="149"/>
        </w:trPr>
        <w:tc>
          <w:tcPr>
            <w:tcW w:w="1940" w:type="dxa"/>
            <w:vAlign w:val="bottom"/>
          </w:tcPr>
          <w:p>
            <w:pPr>
              <w:ind w:left="180"/>
              <w:spacing w:after="0" w:line="149" w:lineRule="exact"/>
              <w:rPr>
                <w:sz w:val="20"/>
                <w:szCs w:val="20"/>
                <w:color w:val="auto"/>
              </w:rPr>
            </w:pPr>
            <w:r>
              <w:rPr>
                <w:rFonts w:ascii="Arial" w:cs="Arial" w:eastAsia="Arial" w:hAnsi="Arial"/>
                <w:sz w:val="14"/>
                <w:szCs w:val="14"/>
                <w:color w:val="auto"/>
              </w:rPr>
              <w:t>Furniture and accessories</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ind w:right="148"/>
              <w:spacing w:after="0" w:line="149" w:lineRule="exact"/>
              <w:rPr>
                <w:sz w:val="20"/>
                <w:szCs w:val="20"/>
                <w:color w:val="auto"/>
              </w:rPr>
            </w:pPr>
            <w:r>
              <w:rPr>
                <w:rFonts w:ascii="Arial" w:cs="Arial" w:eastAsia="Arial" w:hAnsi="Arial"/>
                <w:sz w:val="14"/>
                <w:szCs w:val="14"/>
                <w:color w:val="auto"/>
                <w:w w:val="94"/>
              </w:rPr>
              <w:t>109,997</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88.7%</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ind w:right="188"/>
              <w:spacing w:after="0" w:line="149" w:lineRule="exact"/>
              <w:rPr>
                <w:sz w:val="20"/>
                <w:szCs w:val="20"/>
                <w:color w:val="auto"/>
              </w:rPr>
            </w:pPr>
            <w:r>
              <w:rPr>
                <w:rFonts w:ascii="Arial" w:cs="Arial" w:eastAsia="Arial" w:hAnsi="Arial"/>
                <w:sz w:val="14"/>
                <w:szCs w:val="14"/>
                <w:color w:val="auto"/>
              </w:rPr>
              <w:t>53,000</w:t>
            </w: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83.1%</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620" w:type="dxa"/>
            <w:vAlign w:val="bottom"/>
          </w:tcPr>
          <w:p>
            <w:pPr>
              <w:jc w:val="right"/>
              <w:ind w:right="88"/>
              <w:spacing w:after="0" w:line="149" w:lineRule="exact"/>
              <w:rPr>
                <w:sz w:val="20"/>
                <w:szCs w:val="20"/>
                <w:color w:val="auto"/>
              </w:rPr>
            </w:pPr>
            <w:r>
              <w:rPr>
                <w:rFonts w:ascii="Arial" w:cs="Arial" w:eastAsia="Arial" w:hAnsi="Arial"/>
                <w:sz w:val="14"/>
                <w:szCs w:val="14"/>
                <w:color w:val="auto"/>
              </w:rPr>
              <w:t>56,997</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107.5%</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ind w:right="108"/>
              <w:spacing w:after="0" w:line="149" w:lineRule="exact"/>
              <w:rPr>
                <w:sz w:val="20"/>
                <w:szCs w:val="20"/>
                <w:color w:val="auto"/>
              </w:rPr>
            </w:pPr>
            <w:r>
              <w:rPr>
                <w:rFonts w:ascii="Arial" w:cs="Arial" w:eastAsia="Arial" w:hAnsi="Arial"/>
                <w:sz w:val="14"/>
                <w:szCs w:val="14"/>
                <w:color w:val="auto"/>
                <w:w w:val="94"/>
              </w:rPr>
              <w:t>211,652</w:t>
            </w: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89.0%</w:t>
            </w:r>
          </w:p>
        </w:tc>
        <w:tc>
          <w:tcPr>
            <w:tcW w:w="820" w:type="dxa"/>
            <w:vAlign w:val="bottom"/>
          </w:tcPr>
          <w:p>
            <w:pPr>
              <w:jc w:val="right"/>
              <w:ind w:right="168"/>
              <w:spacing w:after="0" w:line="149" w:lineRule="exact"/>
              <w:rPr>
                <w:sz w:val="20"/>
                <w:szCs w:val="20"/>
                <w:color w:val="auto"/>
              </w:rPr>
            </w:pPr>
            <w:r>
              <w:rPr>
                <w:rFonts w:ascii="Arial" w:cs="Arial" w:eastAsia="Arial" w:hAnsi="Arial"/>
                <w:sz w:val="14"/>
                <w:szCs w:val="14"/>
                <w:color w:val="auto"/>
                <w:w w:val="89"/>
              </w:rPr>
              <w:t>$ 151,942</w:t>
            </w: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86.4%</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59,710</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39.3%</w:t>
            </w:r>
          </w:p>
        </w:tc>
      </w:tr>
      <w:tr>
        <w:trPr>
          <w:trHeight w:val="148"/>
        </w:trPr>
        <w:tc>
          <w:tcPr>
            <w:tcW w:w="1940" w:type="dxa"/>
            <w:vAlign w:val="bottom"/>
            <w:shd w:val="clear" w:color="auto" w:fill="CCEEFF"/>
          </w:tcPr>
          <w:p>
            <w:pPr>
              <w:ind w:left="180"/>
              <w:spacing w:after="0" w:line="149" w:lineRule="exact"/>
              <w:rPr>
                <w:sz w:val="20"/>
                <w:szCs w:val="20"/>
                <w:color w:val="auto"/>
              </w:rPr>
            </w:pPr>
            <w:r>
              <w:rPr>
                <w:rFonts w:ascii="Arial" w:cs="Arial" w:eastAsia="Arial" w:hAnsi="Arial"/>
                <w:sz w:val="14"/>
                <w:szCs w:val="14"/>
                <w:color w:val="auto"/>
              </w:rPr>
              <w:t>Logistical services</w:t>
            </w: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14,062</w:t>
            </w:r>
          </w:p>
        </w:tc>
        <w:tc>
          <w:tcPr>
            <w:tcW w:w="78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11.3%</w:t>
            </w: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188"/>
              <w:spacing w:after="0" w:line="149" w:lineRule="exact"/>
              <w:rPr>
                <w:sz w:val="20"/>
                <w:szCs w:val="20"/>
                <w:color w:val="auto"/>
              </w:rPr>
            </w:pPr>
            <w:r>
              <w:rPr>
                <w:rFonts w:ascii="Arial" w:cs="Arial" w:eastAsia="Arial" w:hAnsi="Arial"/>
                <w:sz w:val="14"/>
                <w:szCs w:val="14"/>
                <w:color w:val="auto"/>
              </w:rPr>
              <w:t>10,801</w:t>
            </w:r>
          </w:p>
        </w:tc>
        <w:tc>
          <w:tcPr>
            <w:tcW w:w="7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3,261</w:t>
            </w:r>
          </w:p>
        </w:tc>
        <w:tc>
          <w:tcPr>
            <w:tcW w:w="84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30.2%</w:t>
            </w: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26,080</w:t>
            </w: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11.0%</w:t>
            </w:r>
          </w:p>
        </w:tc>
        <w:tc>
          <w:tcPr>
            <w:tcW w:w="82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23,979</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13.6%</w:t>
            </w: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2,101</w:t>
            </w: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8.8%</w:t>
            </w:r>
          </w:p>
        </w:tc>
      </w:tr>
      <w:tr>
        <w:trPr>
          <w:trHeight w:val="20"/>
        </w:trPr>
        <w:tc>
          <w:tcPr>
            <w:tcW w:w="19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r>
      <w:tr>
        <w:trPr>
          <w:trHeight w:val="142"/>
        </w:trPr>
        <w:tc>
          <w:tcPr>
            <w:tcW w:w="1940" w:type="dxa"/>
            <w:vAlign w:val="bottom"/>
          </w:tcPr>
          <w:p>
            <w:pPr>
              <w:ind w:left="340"/>
              <w:spacing w:after="0" w:line="142" w:lineRule="exact"/>
              <w:rPr>
                <w:sz w:val="20"/>
                <w:szCs w:val="20"/>
                <w:color w:val="auto"/>
              </w:rPr>
            </w:pPr>
            <w:r>
              <w:rPr>
                <w:rFonts w:ascii="Arial" w:cs="Arial" w:eastAsia="Arial" w:hAnsi="Arial"/>
                <w:sz w:val="14"/>
                <w:szCs w:val="14"/>
                <w:color w:val="auto"/>
              </w:rPr>
              <w:t>Total sales revenue</w:t>
            </w:r>
          </w:p>
        </w:tc>
        <w:tc>
          <w:tcPr>
            <w:tcW w:w="100" w:type="dxa"/>
            <w:vAlign w:val="bottom"/>
          </w:tcPr>
          <w:p>
            <w:pPr>
              <w:spacing w:after="0"/>
              <w:rPr>
                <w:sz w:val="12"/>
                <w:szCs w:val="12"/>
                <w:color w:val="auto"/>
              </w:rPr>
            </w:pPr>
          </w:p>
        </w:tc>
        <w:tc>
          <w:tcPr>
            <w:tcW w:w="720" w:type="dxa"/>
            <w:vAlign w:val="bottom"/>
          </w:tcPr>
          <w:p>
            <w:pPr>
              <w:jc w:val="right"/>
              <w:ind w:right="148"/>
              <w:spacing w:after="0" w:line="142" w:lineRule="exact"/>
              <w:rPr>
                <w:sz w:val="20"/>
                <w:szCs w:val="20"/>
                <w:color w:val="auto"/>
              </w:rPr>
            </w:pPr>
            <w:r>
              <w:rPr>
                <w:rFonts w:ascii="Arial" w:cs="Arial" w:eastAsia="Arial" w:hAnsi="Arial"/>
                <w:sz w:val="14"/>
                <w:szCs w:val="14"/>
                <w:color w:val="auto"/>
                <w:w w:val="94"/>
              </w:rPr>
              <w:t>124,059</w:t>
            </w:r>
          </w:p>
        </w:tc>
        <w:tc>
          <w:tcPr>
            <w:tcW w:w="78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100.0%</w:t>
            </w:r>
          </w:p>
        </w:tc>
        <w:tc>
          <w:tcPr>
            <w:tcW w:w="80" w:type="dxa"/>
            <w:vAlign w:val="bottom"/>
          </w:tcPr>
          <w:p>
            <w:pPr>
              <w:spacing w:after="0"/>
              <w:rPr>
                <w:sz w:val="12"/>
                <w:szCs w:val="12"/>
                <w:color w:val="auto"/>
              </w:rPr>
            </w:pPr>
          </w:p>
        </w:tc>
        <w:tc>
          <w:tcPr>
            <w:tcW w:w="720" w:type="dxa"/>
            <w:vAlign w:val="bottom"/>
          </w:tcPr>
          <w:p>
            <w:pPr>
              <w:jc w:val="right"/>
              <w:ind w:right="188"/>
              <w:spacing w:after="0" w:line="142" w:lineRule="exact"/>
              <w:rPr>
                <w:sz w:val="20"/>
                <w:szCs w:val="20"/>
                <w:color w:val="auto"/>
              </w:rPr>
            </w:pPr>
            <w:r>
              <w:rPr>
                <w:rFonts w:ascii="Arial" w:cs="Arial" w:eastAsia="Arial" w:hAnsi="Arial"/>
                <w:sz w:val="14"/>
                <w:szCs w:val="14"/>
                <w:color w:val="auto"/>
              </w:rPr>
              <w:t>63,801</w:t>
            </w:r>
          </w:p>
        </w:tc>
        <w:tc>
          <w:tcPr>
            <w:tcW w:w="74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100.0%</w:t>
            </w:r>
          </w:p>
        </w:tc>
        <w:tc>
          <w:tcPr>
            <w:tcW w:w="100" w:type="dxa"/>
            <w:vAlign w:val="bottom"/>
          </w:tcPr>
          <w:p>
            <w:pPr>
              <w:spacing w:after="0"/>
              <w:rPr>
                <w:sz w:val="12"/>
                <w:szCs w:val="12"/>
                <w:color w:val="auto"/>
              </w:rPr>
            </w:pPr>
          </w:p>
        </w:tc>
        <w:tc>
          <w:tcPr>
            <w:tcW w:w="620" w:type="dxa"/>
            <w:vAlign w:val="bottom"/>
          </w:tcPr>
          <w:p>
            <w:pPr>
              <w:jc w:val="right"/>
              <w:ind w:right="88"/>
              <w:spacing w:after="0" w:line="142" w:lineRule="exact"/>
              <w:rPr>
                <w:sz w:val="20"/>
                <w:szCs w:val="20"/>
                <w:color w:val="auto"/>
              </w:rPr>
            </w:pPr>
            <w:r>
              <w:rPr>
                <w:rFonts w:ascii="Arial" w:cs="Arial" w:eastAsia="Arial" w:hAnsi="Arial"/>
                <w:sz w:val="14"/>
                <w:szCs w:val="14"/>
                <w:color w:val="auto"/>
              </w:rPr>
              <w:t>60,258</w:t>
            </w:r>
          </w:p>
        </w:tc>
        <w:tc>
          <w:tcPr>
            <w:tcW w:w="8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94.4%</w:t>
            </w:r>
          </w:p>
        </w:tc>
        <w:tc>
          <w:tcPr>
            <w:tcW w:w="80" w:type="dxa"/>
            <w:vAlign w:val="bottom"/>
          </w:tcPr>
          <w:p>
            <w:pPr>
              <w:spacing w:after="0"/>
              <w:rPr>
                <w:sz w:val="12"/>
                <w:szCs w:val="12"/>
                <w:color w:val="auto"/>
              </w:rPr>
            </w:pPr>
          </w:p>
        </w:tc>
        <w:tc>
          <w:tcPr>
            <w:tcW w:w="680" w:type="dxa"/>
            <w:vAlign w:val="bottom"/>
          </w:tcPr>
          <w:p>
            <w:pPr>
              <w:jc w:val="right"/>
              <w:ind w:right="108"/>
              <w:spacing w:after="0" w:line="142" w:lineRule="exact"/>
              <w:rPr>
                <w:sz w:val="20"/>
                <w:szCs w:val="20"/>
                <w:color w:val="auto"/>
              </w:rPr>
            </w:pPr>
            <w:r>
              <w:rPr>
                <w:rFonts w:ascii="Arial" w:cs="Arial" w:eastAsia="Arial" w:hAnsi="Arial"/>
                <w:sz w:val="14"/>
                <w:szCs w:val="14"/>
                <w:color w:val="auto"/>
                <w:w w:val="94"/>
              </w:rPr>
              <w:t>237,732</w:t>
            </w:r>
          </w:p>
        </w:tc>
        <w:tc>
          <w:tcPr>
            <w:tcW w:w="8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100.0%</w:t>
            </w:r>
          </w:p>
        </w:tc>
        <w:tc>
          <w:tcPr>
            <w:tcW w:w="820" w:type="dxa"/>
            <w:vAlign w:val="bottom"/>
          </w:tcPr>
          <w:p>
            <w:pPr>
              <w:jc w:val="right"/>
              <w:ind w:right="168"/>
              <w:spacing w:after="0" w:line="142" w:lineRule="exact"/>
              <w:rPr>
                <w:sz w:val="20"/>
                <w:szCs w:val="20"/>
                <w:color w:val="auto"/>
              </w:rPr>
            </w:pPr>
            <w:r>
              <w:rPr>
                <w:rFonts w:ascii="Arial" w:cs="Arial" w:eastAsia="Arial" w:hAnsi="Arial"/>
                <w:sz w:val="14"/>
                <w:szCs w:val="14"/>
                <w:color w:val="auto"/>
              </w:rPr>
              <w:t>175,921</w:t>
            </w:r>
          </w:p>
        </w:tc>
        <w:tc>
          <w:tcPr>
            <w:tcW w:w="7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100.0%</w:t>
            </w:r>
          </w:p>
        </w:tc>
        <w:tc>
          <w:tcPr>
            <w:tcW w:w="80" w:type="dxa"/>
            <w:vAlign w:val="bottom"/>
          </w:tcPr>
          <w:p>
            <w:pPr>
              <w:spacing w:after="0"/>
              <w:rPr>
                <w:sz w:val="12"/>
                <w:szCs w:val="12"/>
                <w:color w:val="auto"/>
              </w:rPr>
            </w:pPr>
          </w:p>
        </w:tc>
        <w:tc>
          <w:tcPr>
            <w:tcW w:w="640" w:type="dxa"/>
            <w:vAlign w:val="bottom"/>
          </w:tcPr>
          <w:p>
            <w:pPr>
              <w:jc w:val="right"/>
              <w:ind w:right="108"/>
              <w:spacing w:after="0" w:line="142" w:lineRule="exact"/>
              <w:rPr>
                <w:sz w:val="20"/>
                <w:szCs w:val="20"/>
                <w:color w:val="auto"/>
              </w:rPr>
            </w:pPr>
            <w:r>
              <w:rPr>
                <w:rFonts w:ascii="Arial" w:cs="Arial" w:eastAsia="Arial" w:hAnsi="Arial"/>
                <w:sz w:val="14"/>
                <w:szCs w:val="14"/>
                <w:color w:val="auto"/>
              </w:rPr>
              <w:t>61,811</w:t>
            </w:r>
          </w:p>
        </w:tc>
        <w:tc>
          <w:tcPr>
            <w:tcW w:w="72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35.1%</w:t>
            </w:r>
          </w:p>
        </w:tc>
      </w:tr>
      <w:tr>
        <w:trPr>
          <w:trHeight w:val="130"/>
        </w:trPr>
        <w:tc>
          <w:tcPr>
            <w:tcW w:w="19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Cost of furniture and</w:t>
            </w:r>
          </w:p>
        </w:tc>
        <w:tc>
          <w:tcPr>
            <w:tcW w:w="1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r>
      <w:tr>
        <w:trPr>
          <w:trHeight w:val="167"/>
        </w:trPr>
        <w:tc>
          <w:tcPr>
            <w:tcW w:w="1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accessories sold</w:t>
            </w:r>
          </w:p>
        </w:tc>
        <w:tc>
          <w:tcPr>
            <w:tcW w:w="1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52,911</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42.6%</w:t>
            </w: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29,452</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46.2%</w:t>
            </w: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23,459</w:t>
            </w:r>
          </w:p>
        </w:tc>
        <w:tc>
          <w:tcPr>
            <w:tcW w:w="8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79.7%</w:t>
            </w: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94"/>
              </w:rPr>
              <w:t>101,163</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42.6%</w:t>
            </w:r>
          </w:p>
        </w:tc>
        <w:tc>
          <w:tcPr>
            <w:tcW w:w="8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74,722</w:t>
            </w:r>
          </w:p>
        </w:tc>
        <w:tc>
          <w:tcPr>
            <w:tcW w:w="7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42.5%</w:t>
            </w: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26,441</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35.4%</w:t>
            </w:r>
          </w:p>
        </w:tc>
      </w:tr>
      <w:tr>
        <w:trPr>
          <w:trHeight w:val="148"/>
        </w:trPr>
        <w:tc>
          <w:tcPr>
            <w:tcW w:w="1940" w:type="dxa"/>
            <w:vAlign w:val="bottom"/>
          </w:tcPr>
          <w:p>
            <w:pPr>
              <w:spacing w:after="0" w:line="149" w:lineRule="exact"/>
              <w:rPr>
                <w:sz w:val="20"/>
                <w:szCs w:val="20"/>
                <w:color w:val="auto"/>
              </w:rPr>
            </w:pPr>
            <w:r>
              <w:rPr>
                <w:rFonts w:ascii="Arial" w:cs="Arial" w:eastAsia="Arial" w:hAnsi="Arial"/>
                <w:sz w:val="14"/>
                <w:szCs w:val="14"/>
                <w:color w:val="auto"/>
              </w:rPr>
              <w:t>SG&amp;A expenses</w:t>
            </w:r>
          </w:p>
        </w:tc>
        <w:tc>
          <w:tcPr>
            <w:tcW w:w="100" w:type="dxa"/>
            <w:vAlign w:val="bottom"/>
          </w:tcPr>
          <w:p>
            <w:pPr>
              <w:spacing w:after="0"/>
              <w:rPr>
                <w:sz w:val="12"/>
                <w:szCs w:val="12"/>
                <w:color w:val="auto"/>
              </w:rPr>
            </w:pPr>
          </w:p>
        </w:tc>
        <w:tc>
          <w:tcPr>
            <w:tcW w:w="72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50,001</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40.3%</w:t>
            </w:r>
          </w:p>
        </w:tc>
        <w:tc>
          <w:tcPr>
            <w:tcW w:w="80" w:type="dxa"/>
            <w:vAlign w:val="bottom"/>
          </w:tcPr>
          <w:p>
            <w:pPr>
              <w:spacing w:after="0"/>
              <w:rPr>
                <w:sz w:val="12"/>
                <w:szCs w:val="12"/>
                <w:color w:val="auto"/>
              </w:rPr>
            </w:pPr>
          </w:p>
        </w:tc>
        <w:tc>
          <w:tcPr>
            <w:tcW w:w="720" w:type="dxa"/>
            <w:vAlign w:val="bottom"/>
          </w:tcPr>
          <w:p>
            <w:pPr>
              <w:jc w:val="right"/>
              <w:ind w:right="188"/>
              <w:spacing w:after="0" w:line="149" w:lineRule="exact"/>
              <w:rPr>
                <w:sz w:val="20"/>
                <w:szCs w:val="20"/>
                <w:color w:val="auto"/>
              </w:rPr>
            </w:pPr>
            <w:r>
              <w:rPr>
                <w:rFonts w:ascii="Arial" w:cs="Arial" w:eastAsia="Arial" w:hAnsi="Arial"/>
                <w:sz w:val="14"/>
                <w:szCs w:val="14"/>
                <w:color w:val="auto"/>
              </w:rPr>
              <w:t>37,730</w:t>
            </w: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59.1%</w:t>
            </w:r>
          </w:p>
        </w:tc>
        <w:tc>
          <w:tcPr>
            <w:tcW w:w="100" w:type="dxa"/>
            <w:vAlign w:val="bottom"/>
          </w:tcPr>
          <w:p>
            <w:pPr>
              <w:spacing w:after="0"/>
              <w:rPr>
                <w:sz w:val="12"/>
                <w:szCs w:val="12"/>
                <w:color w:val="auto"/>
              </w:rPr>
            </w:pPr>
          </w:p>
        </w:tc>
        <w:tc>
          <w:tcPr>
            <w:tcW w:w="620" w:type="dxa"/>
            <w:vAlign w:val="bottom"/>
          </w:tcPr>
          <w:p>
            <w:pPr>
              <w:jc w:val="right"/>
              <w:ind w:right="88"/>
              <w:spacing w:after="0" w:line="149" w:lineRule="exact"/>
              <w:rPr>
                <w:sz w:val="20"/>
                <w:szCs w:val="20"/>
                <w:color w:val="auto"/>
              </w:rPr>
            </w:pPr>
            <w:r>
              <w:rPr>
                <w:rFonts w:ascii="Arial" w:cs="Arial" w:eastAsia="Arial" w:hAnsi="Arial"/>
                <w:sz w:val="14"/>
                <w:szCs w:val="14"/>
                <w:color w:val="auto"/>
              </w:rPr>
              <w:t>12,271</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32.5%</w:t>
            </w:r>
          </w:p>
        </w:tc>
        <w:tc>
          <w:tcPr>
            <w:tcW w:w="80" w:type="dxa"/>
            <w:vAlign w:val="bottom"/>
          </w:tcPr>
          <w:p>
            <w:pPr>
              <w:spacing w:after="0"/>
              <w:rPr>
                <w:sz w:val="12"/>
                <w:szCs w:val="12"/>
                <w:color w:val="auto"/>
              </w:rPr>
            </w:pPr>
          </w:p>
        </w:tc>
        <w:tc>
          <w:tcPr>
            <w:tcW w:w="68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97,843</w:t>
            </w: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41.2%</w:t>
            </w:r>
          </w:p>
        </w:tc>
        <w:tc>
          <w:tcPr>
            <w:tcW w:w="82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90,027</w:t>
            </w: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51.2%</w:t>
            </w:r>
          </w:p>
        </w:tc>
        <w:tc>
          <w:tcPr>
            <w:tcW w:w="80" w:type="dxa"/>
            <w:vAlign w:val="bottom"/>
          </w:tcPr>
          <w:p>
            <w:pPr>
              <w:spacing w:after="0"/>
              <w:rPr>
                <w:sz w:val="12"/>
                <w:szCs w:val="12"/>
                <w:color w:val="auto"/>
              </w:rPr>
            </w:pPr>
          </w:p>
        </w:tc>
        <w:tc>
          <w:tcPr>
            <w:tcW w:w="6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7,816</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8.7%</w:t>
            </w:r>
          </w:p>
        </w:tc>
      </w:tr>
      <w:tr>
        <w:trPr>
          <w:trHeight w:val="148"/>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Cost of logistical services</w:t>
            </w: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12,768</w:t>
            </w:r>
          </w:p>
        </w:tc>
        <w:tc>
          <w:tcPr>
            <w:tcW w:w="78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10.3%</w:t>
            </w:r>
          </w:p>
        </w:tc>
        <w:tc>
          <w:tcPr>
            <w:tcW w:w="8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188"/>
              <w:spacing w:after="0" w:line="149" w:lineRule="exact"/>
              <w:rPr>
                <w:sz w:val="20"/>
                <w:szCs w:val="20"/>
                <w:color w:val="auto"/>
              </w:rPr>
            </w:pPr>
            <w:r>
              <w:rPr>
                <w:rFonts w:ascii="Arial" w:cs="Arial" w:eastAsia="Arial" w:hAnsi="Arial"/>
                <w:sz w:val="14"/>
                <w:szCs w:val="14"/>
                <w:color w:val="auto"/>
              </w:rPr>
              <w:t>12,643</w:t>
            </w:r>
          </w:p>
        </w:tc>
        <w:tc>
          <w:tcPr>
            <w:tcW w:w="7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19.8%</w:t>
            </w: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125</w:t>
            </w:r>
          </w:p>
        </w:tc>
        <w:tc>
          <w:tcPr>
            <w:tcW w:w="84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24,326</w:t>
            </w:r>
          </w:p>
        </w:tc>
        <w:tc>
          <w:tcPr>
            <w:tcW w:w="8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10.1%</w:t>
            </w:r>
          </w:p>
        </w:tc>
        <w:tc>
          <w:tcPr>
            <w:tcW w:w="82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24,986</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14.2%</w:t>
            </w:r>
          </w:p>
        </w:tc>
        <w:tc>
          <w:tcPr>
            <w:tcW w:w="80" w:type="dxa"/>
            <w:vAlign w:val="bottom"/>
            <w:shd w:val="clear" w:color="auto" w:fill="CCEEFF"/>
          </w:tcPr>
          <w:p>
            <w:pPr>
              <w:spacing w:after="0"/>
              <w:rPr>
                <w:sz w:val="12"/>
                <w:szCs w:val="12"/>
                <w:color w:val="auto"/>
              </w:rPr>
            </w:pPr>
          </w:p>
        </w:tc>
        <w:tc>
          <w:tcPr>
            <w:tcW w:w="640" w:type="dxa"/>
            <w:vAlign w:val="bottom"/>
            <w:shd w:val="clear" w:color="auto" w:fill="CCEEFF"/>
          </w:tcPr>
          <w:p>
            <w:pPr>
              <w:jc w:val="right"/>
              <w:ind w:right="48"/>
              <w:spacing w:after="0" w:line="149" w:lineRule="exact"/>
              <w:rPr>
                <w:sz w:val="20"/>
                <w:szCs w:val="20"/>
                <w:color w:val="auto"/>
              </w:rPr>
            </w:pPr>
            <w:r>
              <w:rPr>
                <w:rFonts w:ascii="Arial" w:cs="Arial" w:eastAsia="Arial" w:hAnsi="Arial"/>
                <w:sz w:val="14"/>
                <w:szCs w:val="14"/>
                <w:color w:val="auto"/>
              </w:rPr>
              <w:t>(660)</w:t>
            </w: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-2.6%</w:t>
            </w:r>
          </w:p>
        </w:tc>
      </w:tr>
      <w:tr>
        <w:trPr>
          <w:trHeight w:val="148"/>
        </w:trPr>
        <w:tc>
          <w:tcPr>
            <w:tcW w:w="1940" w:type="dxa"/>
            <w:vAlign w:val="bottom"/>
          </w:tcPr>
          <w:p>
            <w:pPr>
              <w:spacing w:after="0" w:line="149" w:lineRule="exact"/>
              <w:rPr>
                <w:sz w:val="20"/>
                <w:szCs w:val="20"/>
                <w:color w:val="auto"/>
              </w:rPr>
            </w:pPr>
            <w:r>
              <w:rPr>
                <w:rFonts w:ascii="Arial" w:cs="Arial" w:eastAsia="Arial" w:hAnsi="Arial"/>
                <w:sz w:val="14"/>
                <w:szCs w:val="14"/>
                <w:color w:val="auto"/>
              </w:rPr>
              <w:t>Other charges</w:t>
            </w:r>
          </w:p>
        </w:tc>
        <w:tc>
          <w:tcPr>
            <w:tcW w:w="100" w:type="dxa"/>
            <w:vAlign w:val="bottom"/>
          </w:tcPr>
          <w:p>
            <w:pPr>
              <w:spacing w:after="0"/>
              <w:rPr>
                <w:sz w:val="12"/>
                <w:szCs w:val="12"/>
                <w:color w:val="auto"/>
              </w:rPr>
            </w:pPr>
          </w:p>
        </w:tc>
        <w:tc>
          <w:tcPr>
            <w:tcW w:w="72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0.0%</w:t>
            </w:r>
          </w:p>
        </w:tc>
        <w:tc>
          <w:tcPr>
            <w:tcW w:w="80" w:type="dxa"/>
            <w:vAlign w:val="bottom"/>
          </w:tcPr>
          <w:p>
            <w:pPr>
              <w:spacing w:after="0"/>
              <w:rPr>
                <w:sz w:val="12"/>
                <w:szCs w:val="12"/>
                <w:color w:val="auto"/>
              </w:rPr>
            </w:pPr>
          </w:p>
        </w:tc>
        <w:tc>
          <w:tcPr>
            <w:tcW w:w="720" w:type="dxa"/>
            <w:vAlign w:val="bottom"/>
          </w:tcPr>
          <w:p>
            <w:pPr>
              <w:jc w:val="right"/>
              <w:ind w:right="188"/>
              <w:spacing w:after="0" w:line="149" w:lineRule="exact"/>
              <w:rPr>
                <w:sz w:val="20"/>
                <w:szCs w:val="20"/>
                <w:color w:val="auto"/>
              </w:rPr>
            </w:pPr>
            <w:r>
              <w:rPr>
                <w:rFonts w:ascii="Arial" w:cs="Arial" w:eastAsia="Arial" w:hAnsi="Arial"/>
                <w:sz w:val="14"/>
                <w:szCs w:val="14"/>
                <w:color w:val="auto"/>
              </w:rPr>
              <w:t>15,205</w:t>
            </w:r>
          </w:p>
        </w:tc>
        <w:tc>
          <w:tcPr>
            <w:tcW w:w="7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28.7%</w:t>
            </w:r>
          </w:p>
        </w:tc>
        <w:tc>
          <w:tcPr>
            <w:tcW w:w="100" w:type="dxa"/>
            <w:vAlign w:val="bottom"/>
          </w:tcPr>
          <w:p>
            <w:pPr>
              <w:spacing w:after="0"/>
              <w:rPr>
                <w:sz w:val="12"/>
                <w:szCs w:val="12"/>
                <w:color w:val="auto"/>
              </w:rPr>
            </w:pPr>
          </w:p>
        </w:tc>
        <w:tc>
          <w:tcPr>
            <w:tcW w:w="620" w:type="dxa"/>
            <w:vAlign w:val="bottom"/>
          </w:tcPr>
          <w:p>
            <w:pPr>
              <w:jc w:val="right"/>
              <w:ind w:right="48"/>
              <w:spacing w:after="0" w:line="149" w:lineRule="exact"/>
              <w:rPr>
                <w:sz w:val="20"/>
                <w:szCs w:val="20"/>
                <w:color w:val="auto"/>
              </w:rPr>
            </w:pPr>
            <w:r>
              <w:rPr>
                <w:rFonts w:ascii="Arial" w:cs="Arial" w:eastAsia="Arial" w:hAnsi="Arial"/>
                <w:sz w:val="14"/>
                <w:szCs w:val="14"/>
                <w:color w:val="auto"/>
                <w:w w:val="91"/>
              </w:rPr>
              <w:t>(15,205)</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80" w:type="dxa"/>
            <w:vAlign w:val="bottom"/>
          </w:tcPr>
          <w:p>
            <w:pPr>
              <w:spacing w:after="0"/>
              <w:rPr>
                <w:sz w:val="12"/>
                <w:szCs w:val="12"/>
                <w:color w:val="auto"/>
              </w:rPr>
            </w:pPr>
          </w:p>
        </w:tc>
        <w:tc>
          <w:tcPr>
            <w:tcW w:w="68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0.0%</w:t>
            </w:r>
          </w:p>
        </w:tc>
        <w:tc>
          <w:tcPr>
            <w:tcW w:w="82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15,205</w:t>
            </w:r>
          </w:p>
        </w:tc>
        <w:tc>
          <w:tcPr>
            <w:tcW w:w="7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10.0%</w:t>
            </w:r>
          </w:p>
        </w:tc>
        <w:tc>
          <w:tcPr>
            <w:tcW w:w="80" w:type="dxa"/>
            <w:vAlign w:val="bottom"/>
          </w:tcPr>
          <w:p>
            <w:pPr>
              <w:spacing w:after="0"/>
              <w:rPr>
                <w:sz w:val="12"/>
                <w:szCs w:val="12"/>
                <w:color w:val="auto"/>
              </w:rPr>
            </w:pPr>
          </w:p>
        </w:tc>
        <w:tc>
          <w:tcPr>
            <w:tcW w:w="640" w:type="dxa"/>
            <w:vAlign w:val="bottom"/>
          </w:tcPr>
          <w:p>
            <w:pPr>
              <w:jc w:val="right"/>
              <w:ind w:right="48"/>
              <w:spacing w:after="0" w:line="149" w:lineRule="exact"/>
              <w:rPr>
                <w:sz w:val="20"/>
                <w:szCs w:val="20"/>
                <w:color w:val="auto"/>
              </w:rPr>
            </w:pPr>
            <w:r>
              <w:rPr>
                <w:rFonts w:ascii="Arial" w:cs="Arial" w:eastAsia="Arial" w:hAnsi="Arial"/>
                <w:sz w:val="14"/>
                <w:szCs w:val="14"/>
                <w:color w:val="auto"/>
                <w:w w:val="95"/>
              </w:rPr>
              <w:t>(15,205)</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-100.0%</w:t>
            </w:r>
          </w:p>
        </w:tc>
      </w:tr>
      <w:tr>
        <w:trPr>
          <w:trHeight w:val="142"/>
        </w:trPr>
        <w:tc>
          <w:tcPr>
            <w:tcW w:w="194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720" w:type="dxa"/>
            <w:vAlign w:val="bottom"/>
            <w:tcBorders>
              <w:top w:val="single" w:sz="8" w:color="auto"/>
            </w:tcBorders>
            <w:shd w:val="clear" w:color="auto" w:fill="CCEEFF"/>
          </w:tcPr>
          <w:p>
            <w:pPr>
              <w:spacing w:after="0"/>
              <w:rPr>
                <w:sz w:val="12"/>
                <w:szCs w:val="12"/>
                <w:color w:val="auto"/>
              </w:rPr>
            </w:pPr>
          </w:p>
        </w:tc>
        <w:tc>
          <w:tcPr>
            <w:tcW w:w="540" w:type="dxa"/>
            <w:vAlign w:val="bottom"/>
            <w:tcBorders>
              <w:top w:val="single" w:sz="8" w:color="auto"/>
            </w:tcBorders>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72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680" w:type="dxa"/>
            <w:vAlign w:val="bottom"/>
            <w:tcBorders>
              <w:top w:val="single" w:sz="8" w:color="auto"/>
            </w:tcBorders>
            <w:shd w:val="clear" w:color="auto" w:fill="CCEEFF"/>
          </w:tcPr>
          <w:p>
            <w:pPr>
              <w:spacing w:after="0"/>
              <w:rPr>
                <w:sz w:val="12"/>
                <w:szCs w:val="12"/>
                <w:color w:val="auto"/>
              </w:rPr>
            </w:pPr>
          </w:p>
        </w:tc>
        <w:tc>
          <w:tcPr>
            <w:tcW w:w="580" w:type="dxa"/>
            <w:vAlign w:val="bottom"/>
            <w:tcBorders>
              <w:top w:val="single" w:sz="8" w:color="auto"/>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20" w:type="dxa"/>
            <w:vAlign w:val="bottom"/>
            <w:tcBorders>
              <w:top w:val="single" w:sz="8" w:color="auto"/>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600" w:type="dxa"/>
            <w:vAlign w:val="bottom"/>
            <w:tcBorders>
              <w:top w:val="single" w:sz="8" w:color="auto"/>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r>
      <w:tr>
        <w:trPr>
          <w:trHeight w:val="148"/>
        </w:trPr>
        <w:tc>
          <w:tcPr>
            <w:tcW w:w="1940" w:type="dxa"/>
            <w:vAlign w:val="bottom"/>
          </w:tcPr>
          <w:p>
            <w:pPr>
              <w:spacing w:after="0" w:line="142" w:lineRule="exact"/>
              <w:rPr>
                <w:sz w:val="20"/>
                <w:szCs w:val="20"/>
                <w:color w:val="auto"/>
              </w:rPr>
            </w:pPr>
            <w:r>
              <w:rPr>
                <w:rFonts w:ascii="Arial" w:cs="Arial" w:eastAsia="Arial" w:hAnsi="Arial"/>
                <w:sz w:val="14"/>
                <w:szCs w:val="14"/>
                <w:color w:val="auto"/>
              </w:rPr>
              <w:t>Income (loss) from operations</w:t>
            </w: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ind w:right="148"/>
              <w:spacing w:after="0" w:line="129" w:lineRule="exact"/>
              <w:rPr>
                <w:sz w:val="20"/>
                <w:szCs w:val="20"/>
                <w:color w:val="auto"/>
              </w:rPr>
            </w:pPr>
            <w:r>
              <w:rPr>
                <w:rFonts w:ascii="Arial" w:cs="Arial" w:eastAsia="Arial" w:hAnsi="Arial"/>
                <w:sz w:val="14"/>
                <w:szCs w:val="14"/>
                <w:color w:val="auto"/>
              </w:rPr>
              <w:t>8,379</w:t>
            </w:r>
          </w:p>
        </w:tc>
        <w:tc>
          <w:tcPr>
            <w:tcW w:w="78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6.8%</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ind w:right="128"/>
              <w:spacing w:after="0" w:line="129" w:lineRule="exact"/>
              <w:rPr>
                <w:sz w:val="20"/>
                <w:szCs w:val="20"/>
                <w:color w:val="auto"/>
              </w:rPr>
            </w:pPr>
            <w:r>
              <w:rPr>
                <w:rFonts w:ascii="Arial" w:cs="Arial" w:eastAsia="Arial" w:hAnsi="Arial"/>
                <w:sz w:val="14"/>
                <w:szCs w:val="14"/>
                <w:color w:val="auto"/>
                <w:w w:val="95"/>
              </w:rPr>
              <w:t>(31,229)</w:t>
            </w:r>
          </w:p>
        </w:tc>
        <w:tc>
          <w:tcPr>
            <w:tcW w:w="74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rPr>
              <w:t>-48.9%</w:t>
            </w: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20" w:type="dxa"/>
            <w:vAlign w:val="bottom"/>
          </w:tcPr>
          <w:p>
            <w:pPr>
              <w:jc w:val="right"/>
              <w:ind w:right="88"/>
              <w:spacing w:after="0" w:line="129" w:lineRule="exact"/>
              <w:rPr>
                <w:sz w:val="20"/>
                <w:szCs w:val="20"/>
                <w:color w:val="auto"/>
              </w:rPr>
            </w:pPr>
            <w:r>
              <w:rPr>
                <w:rFonts w:ascii="Arial" w:cs="Arial" w:eastAsia="Arial" w:hAnsi="Arial"/>
                <w:sz w:val="14"/>
                <w:szCs w:val="14"/>
                <w:color w:val="auto"/>
              </w:rPr>
              <w:t>39,608</w:t>
            </w:r>
          </w:p>
        </w:tc>
        <w:tc>
          <w:tcPr>
            <w:tcW w:w="600" w:type="dxa"/>
            <w:vAlign w:val="bottom"/>
          </w:tcPr>
          <w:p>
            <w:pPr>
              <w:jc w:val="right"/>
              <w:spacing w:after="0" w:line="129" w:lineRule="exact"/>
              <w:rPr>
                <w:sz w:val="20"/>
                <w:szCs w:val="20"/>
                <w:color w:val="auto"/>
              </w:rPr>
            </w:pPr>
            <w:r>
              <w:rPr>
                <w:rFonts w:ascii="Arial" w:cs="Arial" w:eastAsia="Arial" w:hAnsi="Arial"/>
                <w:sz w:val="14"/>
                <w:szCs w:val="14"/>
                <w:color w:val="auto"/>
              </w:rPr>
              <w:t>N/M</w:t>
            </w:r>
          </w:p>
        </w:tc>
        <w:tc>
          <w:tcPr>
            <w:tcW w:w="240" w:type="dxa"/>
            <w:vAlign w:val="bottom"/>
          </w:tcPr>
          <w:p>
            <w:pPr>
              <w:spacing w:after="0"/>
              <w:rPr>
                <w:sz w:val="12"/>
                <w:szCs w:val="12"/>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ind w:right="108"/>
              <w:spacing w:after="0" w:line="129" w:lineRule="exact"/>
              <w:rPr>
                <w:sz w:val="20"/>
                <w:szCs w:val="20"/>
                <w:color w:val="auto"/>
              </w:rPr>
            </w:pPr>
            <w:r>
              <w:rPr>
                <w:rFonts w:ascii="Arial" w:cs="Arial" w:eastAsia="Arial" w:hAnsi="Arial"/>
                <w:sz w:val="14"/>
                <w:szCs w:val="14"/>
                <w:color w:val="auto"/>
              </w:rPr>
              <w:t>14,400</w:t>
            </w:r>
          </w:p>
        </w:tc>
        <w:tc>
          <w:tcPr>
            <w:tcW w:w="82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6.2%</w:t>
            </w:r>
          </w:p>
        </w:tc>
        <w:tc>
          <w:tcPr>
            <w:tcW w:w="820" w:type="dxa"/>
            <w:vAlign w:val="bottom"/>
          </w:tcPr>
          <w:p>
            <w:pPr>
              <w:jc w:val="right"/>
              <w:ind w:right="128"/>
              <w:spacing w:after="0" w:line="129" w:lineRule="exact"/>
              <w:rPr>
                <w:sz w:val="20"/>
                <w:szCs w:val="20"/>
                <w:color w:val="auto"/>
              </w:rPr>
            </w:pPr>
            <w:r>
              <w:rPr>
                <w:rFonts w:ascii="Arial" w:cs="Arial" w:eastAsia="Arial" w:hAnsi="Arial"/>
                <w:sz w:val="14"/>
                <w:szCs w:val="14"/>
                <w:color w:val="auto"/>
                <w:w w:val="93"/>
              </w:rPr>
              <w:t>$ (29,019)</w:t>
            </w:r>
          </w:p>
        </w:tc>
        <w:tc>
          <w:tcPr>
            <w:tcW w:w="76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-16.5%</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ind w:right="108"/>
              <w:spacing w:after="0" w:line="129" w:lineRule="exact"/>
              <w:rPr>
                <w:sz w:val="20"/>
                <w:szCs w:val="20"/>
                <w:color w:val="auto"/>
              </w:rPr>
            </w:pPr>
            <w:r>
              <w:rPr>
                <w:rFonts w:ascii="Arial" w:cs="Arial" w:eastAsia="Arial" w:hAnsi="Arial"/>
                <w:sz w:val="14"/>
                <w:szCs w:val="14"/>
                <w:color w:val="auto"/>
              </w:rPr>
              <w:t>43,419</w:t>
            </w:r>
          </w:p>
        </w:tc>
        <w:tc>
          <w:tcPr>
            <w:tcW w:w="600" w:type="dxa"/>
            <w:vAlign w:val="bottom"/>
          </w:tcPr>
          <w:p>
            <w:pPr>
              <w:jc w:val="right"/>
              <w:spacing w:after="0" w:line="129" w:lineRule="exact"/>
              <w:rPr>
                <w:sz w:val="20"/>
                <w:szCs w:val="20"/>
                <w:color w:val="auto"/>
              </w:rPr>
            </w:pPr>
            <w:r>
              <w:rPr>
                <w:rFonts w:ascii="Arial" w:cs="Arial" w:eastAsia="Arial" w:hAnsi="Arial"/>
                <w:sz w:val="14"/>
                <w:szCs w:val="14"/>
                <w:color w:val="auto"/>
              </w:rPr>
              <w:t>N/M</w:t>
            </w:r>
          </w:p>
        </w:tc>
        <w:tc>
          <w:tcPr>
            <w:tcW w:w="120" w:type="dxa"/>
            <w:vAlign w:val="bottom"/>
          </w:tcPr>
          <w:p>
            <w:pPr>
              <w:spacing w:after="0"/>
              <w:rPr>
                <w:sz w:val="12"/>
                <w:szCs w:val="12"/>
                <w:color w:val="auto"/>
              </w:rPr>
            </w:pPr>
          </w:p>
        </w:tc>
      </w:tr>
      <w:tr>
        <w:trPr>
          <w:trHeight w:val="20"/>
        </w:trPr>
        <w:tc>
          <w:tcPr>
            <w:tcW w:w="19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Total sales revenue for the three and six months ended May 29, 2021 increased $60,258 and $61,811, respectively, from the prior year periods due primarily to the major impact of the COVID-19 pandemic on our operations during fiscal 2020, which forced a nearly total shut-down of our manufacturing and retail operations from late March through early May of last year, followed by an exceptionally strong recovery in demand for home furnishings that has continued into the first half of fiscal 2021.</w:t>
      </w:r>
    </w:p>
    <w:p>
      <w:pPr>
        <w:spacing w:after="0" w:line="18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Cost of furniture and accessories sold as a percentage of total revenue for the three and six months ended May 29, 2021 improved significantly over prior year periods, primarily due to improved leverage on fixed costs during the second quarter of fiscal 2021 versus the prior year period when our operations were temporarily shut down due to the pandemic. SG&amp;A expenses as a percentage of sales for the three and six months ended May 29, 2021 decreased significantly from comparable fiscal 2020 periods due to increased leverage of fixed costs due to higher sales volume coupled with the fact that we have been able to maintain various expense reductions implemented in the second and third quarters of fiscal 2020 in response to the COVID-19 pandemic.</w:t>
      </w:r>
    </w:p>
    <w:p>
      <w:pPr>
        <w:spacing w:after="0" w:line="161"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Other charges of $15,205 incurred during the three and six months ended May 30, 2020 included $11,114 of non-cash asset impairment charges on five underperforming retail stores, including $6,239 for the impairment of operating lease right-of-use assets, and $1,070 of non-cash impairment charges in our wholesale segment, primarily due to the closure of our custom upholstery manufacturing facility in Grand Prairie, Texas in May of 2020, a non-cash charge of $1,971 for the impairment of goodwill associated with our wood reporting unit within our wholesale segment, and $1,050 of litigation costs relating to certain wage and hour violation claims that had been asserted against the Company. These claims have since been settled at no additional cost.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6" w:name="page27"/>
    <w:bookmarkEnd w:id="26"/>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Because of the significant adverse impact that the COVID-19 pandemic had on our operations during the second quarter of fiscal 2020, we believe that a better understanding of the revenue growth that has resulted from our product and marketing initiatives is obtained by comparing our current year revenues to the pre-pandemic levels of fiscal 2019. For the three and six months ended June 1, 2019, sales of furniture and accessories were $95,842 and $203,181, respectively. Compared to fiscal 2019, sales of furniture and accessories for the three and six months ended May 29, 2021 increased $14,173 or 14.8% and $8,471 or 4.2%, respectively, over the corresponding quarter and year-to-date periods of fiscal 2019. This growth as compared to fiscal 2019 is attributable not only to the exceptionally strong demand for home furnishings that has benefited our industry over the past twelve months, but also due to increases in our wholesale business through growth in our Lane Venture line of outdoor furniture, the introduction of our Bassett Outdoor line of outdoor furniture sold through our BHF store network, and the expansion of our wholesale customer base of independent dealers partially offset by lower retail sales from the closure of six Company-owned stores since the end of the second quarter of 2019.</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54" w:lineRule="auto"/>
        <w:rPr>
          <w:sz w:val="20"/>
          <w:szCs w:val="20"/>
          <w:color w:val="auto"/>
        </w:rPr>
      </w:pPr>
      <w:r>
        <w:rPr>
          <w:rFonts w:ascii="Arial" w:cs="Arial" w:eastAsia="Arial" w:hAnsi="Arial"/>
          <w:sz w:val="18"/>
          <w:szCs w:val="18"/>
          <w:b w:val="1"/>
          <w:bCs w:val="1"/>
          <w:color w:val="auto"/>
        </w:rPr>
        <w:t xml:space="preserve">Wholesale. </w:t>
      </w:r>
      <w:r>
        <w:rPr>
          <w:rFonts w:ascii="Arial" w:cs="Arial" w:eastAsia="Arial" w:hAnsi="Arial"/>
          <w:sz w:val="18"/>
          <w:szCs w:val="18"/>
          <w:color w:val="auto"/>
        </w:rPr>
        <w:t>The wholesale home furnishings segment is involved principally in the design, manufacture, sourcing, sale and distribution of</w:t>
      </w:r>
      <w:r>
        <w:rPr>
          <w:rFonts w:ascii="Arial" w:cs="Arial" w:eastAsia="Arial" w:hAnsi="Arial"/>
          <w:sz w:val="18"/>
          <w:szCs w:val="18"/>
          <w:b w:val="1"/>
          <w:bCs w:val="1"/>
          <w:color w:val="auto"/>
        </w:rPr>
        <w:t xml:space="preserve"> </w:t>
      </w:r>
      <w:r>
        <w:rPr>
          <w:rFonts w:ascii="Arial" w:cs="Arial" w:eastAsia="Arial" w:hAnsi="Arial"/>
          <w:sz w:val="18"/>
          <w:szCs w:val="18"/>
          <w:color w:val="auto"/>
        </w:rPr>
        <w:t>furniture products to a network of Bassett stores (Company-owned and licensee-owned retail stores) and independent furniture retailers. Our wholesale segment includes our wood and upholstery operations, which include Lane Venture,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operations.</w:t>
      </w:r>
    </w:p>
    <w:p>
      <w:pPr>
        <w:spacing w:after="0" w:line="192"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b w:val="1"/>
          <w:bCs w:val="1"/>
          <w:color w:val="auto"/>
        </w:rPr>
        <w:t xml:space="preserve">Retail </w:t>
      </w:r>
      <w:r>
        <w:rPr>
          <w:rFonts w:ascii="Arial" w:cs="Arial" w:eastAsia="Arial" w:hAnsi="Arial"/>
          <w:sz w:val="18"/>
          <w:szCs w:val="18"/>
          <w:color w:val="auto"/>
        </w:rPr>
        <w:t>–</w:t>
      </w:r>
      <w:r>
        <w:rPr>
          <w:rFonts w:ascii="Arial" w:cs="Arial" w:eastAsia="Arial" w:hAnsi="Arial"/>
          <w:sz w:val="18"/>
          <w:szCs w:val="18"/>
          <w:b w:val="1"/>
          <w:bCs w:val="1"/>
          <w:color w:val="auto"/>
        </w:rPr>
        <w:t xml:space="preserve"> Company-owned stores. </w:t>
      </w:r>
      <w:r>
        <w:rPr>
          <w:rFonts w:ascii="Arial" w:cs="Arial" w:eastAsia="Arial" w:hAnsi="Arial"/>
          <w:sz w:val="18"/>
          <w:szCs w:val="18"/>
          <w:color w:val="auto"/>
        </w:rPr>
        <w:t>Our retail segment consists of Company-owned stores and includes the revenues, expenses, assets and</w:t>
      </w:r>
      <w:r>
        <w:rPr>
          <w:rFonts w:ascii="Arial" w:cs="Arial" w:eastAsia="Arial" w:hAnsi="Arial"/>
          <w:sz w:val="18"/>
          <w:szCs w:val="18"/>
          <w:b w:val="1"/>
          <w:bCs w:val="1"/>
          <w:color w:val="auto"/>
        </w:rPr>
        <w:t xml:space="preserve"> </w:t>
      </w:r>
      <w:r>
        <w:rPr>
          <w:rFonts w:ascii="Arial" w:cs="Arial" w:eastAsia="Arial" w:hAnsi="Arial"/>
          <w:sz w:val="18"/>
          <w:szCs w:val="18"/>
          <w:color w:val="auto"/>
        </w:rPr>
        <w:t>liabilities (including real estate) and capital expenditures directly related to these stores and the Company-owned distribution network utilized to deliver products to our retail customers.</w:t>
      </w:r>
    </w:p>
    <w:p>
      <w:pPr>
        <w:spacing w:after="0" w:line="176" w:lineRule="exact"/>
        <w:rPr>
          <w:sz w:val="20"/>
          <w:szCs w:val="20"/>
          <w:color w:val="auto"/>
        </w:rPr>
      </w:pPr>
    </w:p>
    <w:p>
      <w:pPr>
        <w:jc w:val="both"/>
        <w:ind w:left="660"/>
        <w:spacing w:after="0" w:line="261" w:lineRule="auto"/>
        <w:rPr>
          <w:sz w:val="20"/>
          <w:szCs w:val="20"/>
          <w:color w:val="auto"/>
        </w:rPr>
      </w:pPr>
      <w:r>
        <w:rPr>
          <w:rFonts w:ascii="Arial" w:cs="Arial" w:eastAsia="Arial" w:hAnsi="Arial"/>
          <w:sz w:val="18"/>
          <w:szCs w:val="18"/>
          <w:b w:val="1"/>
          <w:bCs w:val="1"/>
          <w:color w:val="auto"/>
        </w:rPr>
        <w:t xml:space="preserve">Logistical services. </w:t>
      </w:r>
      <w:r>
        <w:rPr>
          <w:rFonts w:ascii="Arial" w:cs="Arial" w:eastAsia="Arial" w:hAnsi="Arial"/>
          <w:sz w:val="18"/>
          <w:szCs w:val="18"/>
          <w:color w:val="auto"/>
        </w:rPr>
        <w:t>Our logistical services segment reflects the operations of Zenith. In addition to providing shipping and warehousing services</w:t>
      </w:r>
      <w:r>
        <w:rPr>
          <w:rFonts w:ascii="Arial" w:cs="Arial" w:eastAsia="Arial" w:hAnsi="Arial"/>
          <w:sz w:val="18"/>
          <w:szCs w:val="18"/>
          <w:b w:val="1"/>
          <w:bCs w:val="1"/>
          <w:color w:val="auto"/>
        </w:rPr>
        <w:t xml:space="preserve"> </w:t>
      </w:r>
      <w:r>
        <w:rPr>
          <w:rFonts w:ascii="Arial" w:cs="Arial" w:eastAsia="Arial" w:hAnsi="Arial"/>
          <w:sz w:val="18"/>
          <w:szCs w:val="18"/>
          <w:color w:val="auto"/>
        </w:rPr>
        <w:t>for the Company, Zenith also provides similar services to other customers, primarily in the furniture industry. Revenue from the performance of these services to other customers and the associated cost is included in logistical services revenue and cost of logistical services, respectively, in our condensed consolidated statements of operations.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7" w:name="page28"/>
    <w:bookmarkEnd w:id="27"/>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tables illustrate the effects of various intercompany eliminations on income from operations in the consolidation of our segment results: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4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680" w:type="dxa"/>
            <w:vAlign w:val="bottom"/>
            <w:tcBorders>
              <w:bottom w:val="single" w:sz="8" w:color="auto"/>
            </w:tcBorders>
            <w:gridSpan w:val="4"/>
          </w:tcPr>
          <w:p>
            <w:pPr>
              <w:jc w:val="center"/>
              <w:ind w:left="490"/>
              <w:spacing w:after="0"/>
              <w:rPr>
                <w:sz w:val="20"/>
                <w:szCs w:val="20"/>
                <w:color w:val="auto"/>
              </w:rPr>
            </w:pPr>
            <w:r>
              <w:rPr>
                <w:rFonts w:ascii="Arial" w:cs="Arial" w:eastAsia="Arial" w:hAnsi="Arial"/>
                <w:sz w:val="18"/>
                <w:szCs w:val="18"/>
                <w:color w:val="auto"/>
                <w:w w:val="90"/>
              </w:rPr>
              <w:t>Quarter Ended May 29, 2021</w:t>
            </w:r>
          </w:p>
        </w:tc>
        <w:tc>
          <w:tcPr>
            <w:tcW w:w="66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4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0"/>
              </w:rPr>
              <w:t>Wholesale</w:t>
            </w: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Retail</w:t>
            </w: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7"/>
              </w:rPr>
              <w:t>Logistics</w:t>
            </w:r>
          </w:p>
        </w:tc>
        <w:tc>
          <w:tcPr>
            <w:tcW w:w="118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color w:val="auto"/>
              </w:rPr>
              <w:t>Eliminations</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5"/>
              </w:rPr>
              <w:t>Consolidated</w:t>
            </w:r>
          </w:p>
        </w:tc>
        <w:tc>
          <w:tcPr>
            <w:tcW w:w="100" w:type="dxa"/>
            <w:vAlign w:val="bottom"/>
          </w:tcPr>
          <w:p>
            <w:pPr>
              <w:spacing w:after="0"/>
              <w:rPr>
                <w:sz w:val="18"/>
                <w:szCs w:val="18"/>
                <w:color w:val="auto"/>
              </w:rPr>
            </w:pPr>
          </w:p>
        </w:tc>
      </w:tr>
      <w:tr>
        <w:trPr>
          <w:trHeight w:val="209"/>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76,034</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62,483</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(28,520)</w:t>
            </w: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109,997</w:t>
            </w:r>
          </w:p>
        </w:tc>
      </w:tr>
      <w:tr>
        <w:trPr>
          <w:trHeight w:val="216"/>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22,244</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(8,182)</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14,062</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46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76,034</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62,483</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22,244</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89"/>
              </w:rPr>
              <w:t>(36,702)</w:t>
            </w: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124,059</w:t>
            </w: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50,858</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30,319</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(28,266)</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52,911</w:t>
            </w: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SG&amp;A expense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19,817</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30,512</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(328)</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50,001</w:t>
            </w:r>
          </w:p>
        </w:tc>
      </w:tr>
      <w:tr>
        <w:trPr>
          <w:trHeight w:val="216"/>
        </w:trPr>
        <w:tc>
          <w:tcPr>
            <w:tcW w:w="4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Cost of 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20,950</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(8,182)</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12,768</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460" w:type="dxa"/>
            <w:vAlign w:val="bottom"/>
          </w:tcPr>
          <w:p>
            <w:pPr>
              <w:spacing w:after="0"/>
              <w:rPr>
                <w:sz w:val="20"/>
                <w:szCs w:val="20"/>
                <w:color w:val="auto"/>
              </w:rPr>
            </w:pPr>
            <w:r>
              <w:rPr>
                <w:rFonts w:ascii="Arial" w:cs="Arial" w:eastAsia="Arial" w:hAnsi="Arial"/>
                <w:sz w:val="18"/>
                <w:szCs w:val="18"/>
                <w:color w:val="auto"/>
              </w:rPr>
              <w:t>Income from operations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5,359</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1,652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1,294</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74</w:t>
            </w:r>
          </w:p>
        </w:tc>
        <w:tc>
          <w:tcPr>
            <w:tcW w:w="320" w:type="dxa"/>
            <w:vAlign w:val="bottom"/>
          </w:tcPr>
          <w:p>
            <w:pPr>
              <w:spacing w:after="0"/>
              <w:rPr>
                <w:sz w:val="18"/>
                <w:szCs w:val="18"/>
                <w:color w:val="auto"/>
              </w:rPr>
            </w:pP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8,379</w:t>
            </w:r>
          </w:p>
        </w:tc>
      </w:tr>
      <w:tr>
        <w:trPr>
          <w:trHeight w:val="20"/>
        </w:trPr>
        <w:tc>
          <w:tcPr>
            <w:tcW w:w="4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680" w:type="dxa"/>
            <w:vAlign w:val="bottom"/>
            <w:tcBorders>
              <w:top w:val="single" w:sz="8" w:color="auto"/>
              <w:bottom w:val="single" w:sz="8" w:color="auto"/>
            </w:tcBorders>
            <w:gridSpan w:val="4"/>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39"/>
        </w:trPr>
        <w:tc>
          <w:tcPr>
            <w:tcW w:w="4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4"/>
          </w:tcPr>
          <w:p>
            <w:pPr>
              <w:jc w:val="center"/>
              <w:ind w:left="490"/>
              <w:spacing w:after="0"/>
              <w:rPr>
                <w:sz w:val="20"/>
                <w:szCs w:val="20"/>
                <w:color w:val="auto"/>
              </w:rPr>
            </w:pPr>
            <w:r>
              <w:rPr>
                <w:rFonts w:ascii="Arial" w:cs="Arial" w:eastAsia="Arial" w:hAnsi="Arial"/>
                <w:sz w:val="18"/>
                <w:szCs w:val="18"/>
                <w:color w:val="auto"/>
                <w:w w:val="90"/>
              </w:rPr>
              <w:t>Quarter Ended May 30, 2020</w:t>
            </w:r>
          </w:p>
        </w:tc>
        <w:tc>
          <w:tcPr>
            <w:tcW w:w="6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09"/>
        </w:trPr>
        <w:tc>
          <w:tcPr>
            <w:tcW w:w="4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0"/>
              </w:rPr>
              <w:t>Wholesale</w:t>
            </w: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Retail</w:t>
            </w: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7"/>
              </w:rPr>
              <w:t>Logistics</w:t>
            </w:r>
          </w:p>
        </w:tc>
        <w:tc>
          <w:tcPr>
            <w:tcW w:w="118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color w:val="auto"/>
              </w:rPr>
              <w:t>Eliminations</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5"/>
              </w:rPr>
              <w:t>Consolidated</w:t>
            </w:r>
          </w:p>
        </w:tc>
        <w:tc>
          <w:tcPr>
            <w:tcW w:w="100" w:type="dxa"/>
            <w:vAlign w:val="bottom"/>
          </w:tcPr>
          <w:p>
            <w:pPr>
              <w:spacing w:after="0"/>
              <w:rPr>
                <w:sz w:val="18"/>
                <w:szCs w:val="18"/>
                <w:color w:val="auto"/>
              </w:rPr>
            </w:pPr>
          </w:p>
        </w:tc>
      </w:tr>
      <w:tr>
        <w:trPr>
          <w:trHeight w:val="210"/>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33,128</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33,171</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(13,299)</w:t>
            </w: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53,000</w:t>
            </w:r>
          </w:p>
        </w:tc>
      </w:tr>
      <w:tr>
        <w:trPr>
          <w:trHeight w:val="216"/>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15,259</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(4,458)</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10,801</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446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33,128</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33,171</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15,259</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89"/>
              </w:rPr>
              <w:t>(17,757)</w:t>
            </w: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63,801</w:t>
            </w: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27,300</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17,488</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(15,336)</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29,452</w:t>
            </w: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SG&amp;A expense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13,209</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24,853</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(332)</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37,730</w:t>
            </w:r>
          </w:p>
        </w:tc>
      </w:tr>
      <w:tr>
        <w:trPr>
          <w:trHeight w:val="216"/>
        </w:trPr>
        <w:tc>
          <w:tcPr>
            <w:tcW w:w="4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Cost of 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17,101</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(4,458)</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12,643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460" w:type="dxa"/>
            <w:vAlign w:val="bottom"/>
          </w:tcPr>
          <w:p>
            <w:pPr>
              <w:spacing w:after="0"/>
              <w:rPr>
                <w:sz w:val="20"/>
                <w:szCs w:val="20"/>
                <w:color w:val="auto"/>
              </w:rPr>
            </w:pPr>
            <w:r>
              <w:rPr>
                <w:rFonts w:ascii="Arial" w:cs="Arial" w:eastAsia="Arial" w:hAnsi="Arial"/>
                <w:sz w:val="18"/>
                <w:szCs w:val="18"/>
                <w:color w:val="auto"/>
              </w:rPr>
              <w:t>Income (loss) from operations before other charges (6)</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(7,381)</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(9,170)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(1,842)</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2,369</w:t>
            </w:r>
          </w:p>
        </w:tc>
        <w:tc>
          <w:tcPr>
            <w:tcW w:w="320" w:type="dxa"/>
            <w:vAlign w:val="bottom"/>
          </w:tcPr>
          <w:p>
            <w:pPr>
              <w:spacing w:after="0"/>
              <w:rPr>
                <w:sz w:val="18"/>
                <w:szCs w:val="18"/>
                <w:color w:val="auto"/>
              </w:rPr>
            </w:pP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(16,024)</w:t>
            </w:r>
          </w:p>
        </w:tc>
      </w:tr>
      <w:tr>
        <w:trPr>
          <w:trHeight w:val="20"/>
        </w:trPr>
        <w:tc>
          <w:tcPr>
            <w:tcW w:w="4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340" w:type="dxa"/>
            <w:vAlign w:val="bottom"/>
            <w:tcBorders>
              <w:top w:val="single" w:sz="8" w:color="auto"/>
              <w:bottom w:val="single" w:sz="8" w:color="auto"/>
            </w:tcBorders>
            <w:gridSpan w:val="5"/>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39"/>
        </w:trPr>
        <w:tc>
          <w:tcPr>
            <w:tcW w:w="4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5"/>
          </w:tcPr>
          <w:p>
            <w:pPr>
              <w:jc w:val="center"/>
              <w:spacing w:after="0"/>
              <w:rPr>
                <w:sz w:val="20"/>
                <w:szCs w:val="20"/>
                <w:color w:val="auto"/>
              </w:rPr>
            </w:pPr>
            <w:r>
              <w:rPr>
                <w:rFonts w:ascii="Arial" w:cs="Arial" w:eastAsia="Arial" w:hAnsi="Arial"/>
                <w:sz w:val="18"/>
                <w:szCs w:val="18"/>
                <w:color w:val="auto"/>
                <w:w w:val="91"/>
              </w:rPr>
              <w:t>Six Months Ended May 29, 2021</w:t>
            </w: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0"/>
        </w:trPr>
        <w:tc>
          <w:tcPr>
            <w:tcW w:w="4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0"/>
              </w:rPr>
              <w:t>Wholesale</w:t>
            </w: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Retail</w:t>
            </w: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7"/>
              </w:rPr>
              <w:t>Logistics</w:t>
            </w:r>
          </w:p>
        </w:tc>
        <w:tc>
          <w:tcPr>
            <w:tcW w:w="118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color w:val="auto"/>
              </w:rPr>
              <w:t>Eliminations</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5"/>
              </w:rPr>
              <w:t>Consolidated</w:t>
            </w:r>
          </w:p>
        </w:tc>
        <w:tc>
          <w:tcPr>
            <w:tcW w:w="100" w:type="dxa"/>
            <w:vAlign w:val="bottom"/>
          </w:tcPr>
          <w:p>
            <w:pPr>
              <w:spacing w:after="0"/>
              <w:rPr>
                <w:sz w:val="18"/>
                <w:szCs w:val="18"/>
                <w:color w:val="auto"/>
              </w:rPr>
            </w:pPr>
          </w:p>
        </w:tc>
      </w:tr>
      <w:tr>
        <w:trPr>
          <w:trHeight w:val="210"/>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146,298</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122,878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(57,524)</w:t>
            </w: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211,652</w:t>
            </w:r>
          </w:p>
        </w:tc>
      </w:tr>
      <w:tr>
        <w:trPr>
          <w:trHeight w:val="216"/>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42,325</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(16,245)</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26,080</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446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146,298</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122,878</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42,325</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89"/>
              </w:rPr>
              <w:t>(73,769)</w:t>
            </w: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237,732</w:t>
            </w: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98,146</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59,628</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(56,611)</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101,163</w:t>
            </w: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SG&amp;A expense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37,996</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60,504</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(657)</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97,843</w:t>
            </w:r>
          </w:p>
        </w:tc>
      </w:tr>
      <w:tr>
        <w:trPr>
          <w:trHeight w:val="216"/>
        </w:trPr>
        <w:tc>
          <w:tcPr>
            <w:tcW w:w="4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Cost of 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40,572</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(16,246)</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24,326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460" w:type="dxa"/>
            <w:vAlign w:val="bottom"/>
          </w:tcPr>
          <w:p>
            <w:pPr>
              <w:spacing w:after="0"/>
              <w:rPr>
                <w:sz w:val="20"/>
                <w:szCs w:val="20"/>
                <w:color w:val="auto"/>
              </w:rPr>
            </w:pPr>
            <w:r>
              <w:rPr>
                <w:rFonts w:ascii="Arial" w:cs="Arial" w:eastAsia="Arial" w:hAnsi="Arial"/>
                <w:sz w:val="18"/>
                <w:szCs w:val="18"/>
                <w:color w:val="auto"/>
              </w:rPr>
              <w:t>Income from operations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10,156</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2,746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1,753</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(255)</w:t>
            </w:r>
          </w:p>
        </w:tc>
        <w:tc>
          <w:tcPr>
            <w:tcW w:w="320" w:type="dxa"/>
            <w:vAlign w:val="bottom"/>
          </w:tcPr>
          <w:p>
            <w:pPr>
              <w:spacing w:after="0"/>
              <w:rPr>
                <w:sz w:val="18"/>
                <w:szCs w:val="18"/>
                <w:color w:val="auto"/>
              </w:rPr>
            </w:pP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14,400</w:t>
            </w:r>
          </w:p>
        </w:tc>
      </w:tr>
      <w:tr>
        <w:trPr>
          <w:trHeight w:val="20"/>
        </w:trPr>
        <w:tc>
          <w:tcPr>
            <w:tcW w:w="4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340" w:type="dxa"/>
            <w:vAlign w:val="bottom"/>
            <w:tcBorders>
              <w:top w:val="single" w:sz="8" w:color="auto"/>
              <w:bottom w:val="single" w:sz="8" w:color="auto"/>
            </w:tcBorders>
            <w:gridSpan w:val="5"/>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40"/>
        </w:trPr>
        <w:tc>
          <w:tcPr>
            <w:tcW w:w="4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5"/>
          </w:tcPr>
          <w:p>
            <w:pPr>
              <w:jc w:val="center"/>
              <w:spacing w:after="0"/>
              <w:rPr>
                <w:sz w:val="20"/>
                <w:szCs w:val="20"/>
                <w:color w:val="auto"/>
              </w:rPr>
            </w:pPr>
            <w:r>
              <w:rPr>
                <w:rFonts w:ascii="Arial" w:cs="Arial" w:eastAsia="Arial" w:hAnsi="Arial"/>
                <w:sz w:val="18"/>
                <w:szCs w:val="18"/>
                <w:color w:val="auto"/>
                <w:w w:val="91"/>
              </w:rPr>
              <w:t>Six Months Ended May 30, 2020</w:t>
            </w: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0"/>
        </w:trPr>
        <w:tc>
          <w:tcPr>
            <w:tcW w:w="4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0"/>
              </w:rPr>
              <w:t>Wholesale</w:t>
            </w:r>
          </w:p>
        </w:tc>
        <w:tc>
          <w:tcPr>
            <w:tcW w:w="2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rPr>
              <w:t>Retail</w:t>
            </w: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7"/>
              </w:rPr>
              <w:t>Logistics</w:t>
            </w:r>
          </w:p>
        </w:tc>
        <w:tc>
          <w:tcPr>
            <w:tcW w:w="118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color w:val="auto"/>
              </w:rPr>
              <w:t>Eliminations</w:t>
            </w: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w w:val="95"/>
              </w:rPr>
              <w:t>Consolidated</w:t>
            </w:r>
          </w:p>
        </w:tc>
        <w:tc>
          <w:tcPr>
            <w:tcW w:w="100" w:type="dxa"/>
            <w:vAlign w:val="bottom"/>
          </w:tcPr>
          <w:p>
            <w:pPr>
              <w:spacing w:after="0"/>
              <w:rPr>
                <w:sz w:val="18"/>
                <w:szCs w:val="18"/>
                <w:color w:val="auto"/>
              </w:rPr>
            </w:pPr>
          </w:p>
        </w:tc>
      </w:tr>
      <w:tr>
        <w:trPr>
          <w:trHeight w:val="209"/>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Sales revenue:</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460" w:type="dxa"/>
            <w:vAlign w:val="bottom"/>
          </w:tcPr>
          <w:p>
            <w:pPr>
              <w:ind w:left="180"/>
              <w:spacing w:after="0"/>
              <w:rPr>
                <w:sz w:val="20"/>
                <w:szCs w:val="20"/>
                <w:color w:val="auto"/>
              </w:rPr>
            </w:pPr>
            <w:r>
              <w:rPr>
                <w:rFonts w:ascii="Arial" w:cs="Arial" w:eastAsia="Arial" w:hAnsi="Arial"/>
                <w:sz w:val="18"/>
                <w:szCs w:val="18"/>
                <w:color w:val="auto"/>
              </w:rPr>
              <w:t>Furniture &amp; accessories</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98,145</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99,017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89"/>
              </w:rPr>
              <w:t>(45,220)</w:t>
            </w:r>
          </w:p>
        </w:tc>
        <w:tc>
          <w:tcPr>
            <w:tcW w:w="320" w:type="dxa"/>
            <w:vAlign w:val="bottom"/>
          </w:tcPr>
          <w:p>
            <w:pPr>
              <w:jc w:val="right"/>
              <w:spacing w:after="0"/>
              <w:rPr>
                <w:sz w:val="20"/>
                <w:szCs w:val="20"/>
                <w:color w:val="auto"/>
              </w:rPr>
            </w:pPr>
            <w:r>
              <w:rPr>
                <w:rFonts w:ascii="Arial" w:cs="Arial" w:eastAsia="Arial" w:hAnsi="Arial"/>
                <w:sz w:val="18"/>
                <w:szCs w:val="18"/>
                <w:color w:val="auto"/>
              </w:rPr>
              <w:t>(1)</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151,942</w:t>
            </w:r>
          </w:p>
        </w:tc>
      </w:tr>
      <w:tr>
        <w:trPr>
          <w:trHeight w:val="216"/>
        </w:trPr>
        <w:tc>
          <w:tcPr>
            <w:tcW w:w="44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36,574</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(12,595)</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23,979</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4460" w:type="dxa"/>
            <w:vAlign w:val="bottom"/>
          </w:tcPr>
          <w:p>
            <w:pPr>
              <w:ind w:left="340"/>
              <w:spacing w:after="0"/>
              <w:rPr>
                <w:sz w:val="20"/>
                <w:szCs w:val="20"/>
                <w:color w:val="auto"/>
              </w:rPr>
            </w:pPr>
            <w:r>
              <w:rPr>
                <w:rFonts w:ascii="Arial" w:cs="Arial" w:eastAsia="Arial" w:hAnsi="Arial"/>
                <w:sz w:val="18"/>
                <w:szCs w:val="18"/>
                <w:color w:val="auto"/>
              </w:rPr>
              <w:t>Total sales revenue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98,145</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99,017</w:t>
            </w:r>
          </w:p>
        </w:tc>
        <w:tc>
          <w:tcPr>
            <w:tcW w:w="220" w:type="dxa"/>
            <w:vAlign w:val="bottom"/>
          </w:tcPr>
          <w:p>
            <w:pPr>
              <w:spacing w:after="0"/>
              <w:rPr>
                <w:sz w:val="18"/>
                <w:szCs w:val="18"/>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rPr>
              <w:t>36,574</w:t>
            </w: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89"/>
              </w:rPr>
              <w:t>(57,815)</w:t>
            </w: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175,921</w:t>
            </w:r>
          </w:p>
        </w:tc>
      </w:tr>
      <w:tr>
        <w:trPr>
          <w:trHeight w:val="216"/>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Cost of furniture and accessories sold</w:t>
            </w: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71,177</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50,394</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(46,849)</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74,722</w:t>
            </w: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SG&amp;A expense</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31,636</w:t>
            </w:r>
          </w:p>
        </w:tc>
        <w:tc>
          <w:tcPr>
            <w:tcW w:w="280" w:type="dxa"/>
            <w:vAlign w:val="bottom"/>
          </w:tcPr>
          <w:p>
            <w:pPr>
              <w:spacing w:after="0"/>
              <w:rPr>
                <w:sz w:val="18"/>
                <w:szCs w:val="18"/>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59,042</w:t>
            </w: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(651)</w:t>
            </w:r>
          </w:p>
        </w:tc>
        <w:tc>
          <w:tcPr>
            <w:tcW w:w="320" w:type="dxa"/>
            <w:vAlign w:val="bottom"/>
          </w:tcPr>
          <w:p>
            <w:pPr>
              <w:jc w:val="right"/>
              <w:spacing w:after="0"/>
              <w:rPr>
                <w:sz w:val="20"/>
                <w:szCs w:val="20"/>
                <w:color w:val="auto"/>
              </w:rPr>
            </w:pPr>
            <w:r>
              <w:rPr>
                <w:rFonts w:ascii="Arial" w:cs="Arial" w:eastAsia="Arial" w:hAnsi="Arial"/>
                <w:sz w:val="18"/>
                <w:szCs w:val="18"/>
                <w:color w:val="auto"/>
              </w:rPr>
              <w:t>(4)</w:t>
            </w:r>
          </w:p>
        </w:tc>
        <w:tc>
          <w:tcPr>
            <w:tcW w:w="3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90,027</w:t>
            </w:r>
          </w:p>
        </w:tc>
      </w:tr>
      <w:tr>
        <w:trPr>
          <w:trHeight w:val="216"/>
        </w:trPr>
        <w:tc>
          <w:tcPr>
            <w:tcW w:w="4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Cost of logistical services</w:t>
            </w:r>
          </w:p>
        </w:tc>
        <w:tc>
          <w:tcPr>
            <w:tcW w:w="5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37,581</w:t>
            </w:r>
          </w:p>
        </w:tc>
        <w:tc>
          <w:tcPr>
            <w:tcW w:w="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(12,595)</w:t>
            </w: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24,986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4460" w:type="dxa"/>
            <w:vAlign w:val="bottom"/>
          </w:tcPr>
          <w:p>
            <w:pPr>
              <w:spacing w:after="0"/>
              <w:rPr>
                <w:sz w:val="20"/>
                <w:szCs w:val="20"/>
                <w:color w:val="auto"/>
              </w:rPr>
            </w:pPr>
            <w:r>
              <w:rPr>
                <w:rFonts w:ascii="Arial" w:cs="Arial" w:eastAsia="Arial" w:hAnsi="Arial"/>
                <w:sz w:val="18"/>
                <w:szCs w:val="18"/>
                <w:color w:val="auto"/>
              </w:rPr>
              <w:t>Income (loss) from operations before other charges (6)</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(4,668)</w:t>
            </w:r>
          </w:p>
        </w:tc>
        <w:tc>
          <w:tcPr>
            <w:tcW w:w="2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(10,419)</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(1,007)</w:t>
            </w:r>
          </w:p>
        </w:tc>
        <w:tc>
          <w:tcPr>
            <w:tcW w:w="52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2,280</w:t>
            </w:r>
          </w:p>
        </w:tc>
        <w:tc>
          <w:tcPr>
            <w:tcW w:w="320" w:type="dxa"/>
            <w:vAlign w:val="bottom"/>
          </w:tcPr>
          <w:p>
            <w:pPr>
              <w:spacing w:after="0"/>
              <w:rPr>
                <w:sz w:val="18"/>
                <w:szCs w:val="18"/>
                <w:color w:val="auto"/>
              </w:rPr>
            </w:pP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(13,814)</w:t>
            </w:r>
          </w:p>
        </w:tc>
      </w:tr>
      <w:tr>
        <w:trPr>
          <w:trHeight w:val="20"/>
        </w:trPr>
        <w:tc>
          <w:tcPr>
            <w:tcW w:w="4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4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jc w:val="right"/>
              <w:ind w:right="130"/>
              <w:spacing w:after="0"/>
              <w:rPr>
                <w:sz w:val="20"/>
                <w:szCs w:val="20"/>
                <w:color w:val="auto"/>
              </w:rPr>
            </w:pPr>
            <w:r>
              <w:rPr>
                <w:rFonts w:ascii="Arial" w:cs="Arial" w:eastAsia="Arial" w:hAnsi="Arial"/>
                <w:sz w:val="18"/>
                <w:szCs w:val="18"/>
                <w:color w:val="auto"/>
              </w:rPr>
              <w:t>28 of 39</w:t>
            </w: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446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584" w:right="339" w:bottom="1440" w:gutter="0" w:footer="0" w:header="0"/>
        </w:sectPr>
      </w:pPr>
    </w:p>
    <w:bookmarkStart w:id="28" w:name="page29"/>
    <w:bookmarkEnd w:id="28"/>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Notes to segment consolidation table:</w:t>
      </w:r>
    </w:p>
    <w:p>
      <w:pPr>
        <w:spacing w:after="0" w:line="225"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sales from our wholesale segment to our Company-owned BHF stores.</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logistical services billed to our wholesale segment.</w:t>
      </w:r>
    </w:p>
    <w:p>
      <w:pPr>
        <w:spacing w:after="0" w:line="9" w:lineRule="exact"/>
        <w:rPr>
          <w:rFonts w:ascii="Arial" w:cs="Arial" w:eastAsia="Arial" w:hAnsi="Arial"/>
          <w:sz w:val="18"/>
          <w:szCs w:val="18"/>
          <w:color w:val="auto"/>
        </w:rPr>
      </w:pPr>
    </w:p>
    <w:p>
      <w:pPr>
        <w:ind w:left="340" w:right="20" w:hanging="332"/>
        <w:spacing w:after="0" w:line="250"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purchases by our Company-owned BHF stores from our wholesale segment, as well as the change for the period in the elimination of intercompany profit in ending retail inventory.</w:t>
      </w: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rent paid by our retail stores occupying Company-owned real estate.</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the elimination of the cost of logistical services provided by Zenith to our wholesale segment.</w:t>
      </w:r>
    </w:p>
    <w:p>
      <w:pPr>
        <w:spacing w:after="0" w:line="9" w:lineRule="exact"/>
        <w:rPr>
          <w:rFonts w:ascii="Arial" w:cs="Arial" w:eastAsia="Arial" w:hAnsi="Arial"/>
          <w:sz w:val="18"/>
          <w:szCs w:val="18"/>
          <w:color w:val="auto"/>
        </w:rPr>
      </w:pPr>
    </w:p>
    <w:p>
      <w:pPr>
        <w:ind w:left="340" w:hanging="332"/>
        <w:spacing w:after="0" w:line="260"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Excludes the effects of goodwill and asset impairment charges as well as litigation costs which are not allocated to our segments. Refer to the reconciliation to income (loss) from operations presented under Non-GAAP Financial Information below.</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Non-GAAP Financial Information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To supplement the financial measures prepared in accordance with GAAP, we use certain non-GAAP financial measures, including income (loss) from operations before other charges and gross profit on wholesale sales of furniture and accessories by segment inclusive of intercompany sales. The reconciliations of these non-GAAP financial measures to the most directly comparable financial measures calculated and presented in accordance with GAAP are shown in tables below.</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Income (Loss) from Operations before Other Charges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reconciles income (loss) from operations before other charges as shown above for our consolidated segment results with income (loss)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from operations as reported for GAAP:</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Arial" w:cs="Arial" w:eastAsia="Arial" w:hAnsi="Arial"/>
                <w:sz w:val="18"/>
                <w:szCs w:val="18"/>
                <w:b w:val="1"/>
                <w:bCs w:val="1"/>
                <w:color w:val="auto"/>
              </w:rPr>
              <w:t>Quarter Ended</w:t>
            </w: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40" w:type="dxa"/>
            <w:vAlign w:val="bottom"/>
            <w:gridSpan w:val="5"/>
          </w:tcPr>
          <w:p>
            <w:pPr>
              <w:jc w:val="right"/>
              <w:ind w:right="620"/>
              <w:spacing w:after="0"/>
              <w:rPr>
                <w:sz w:val="20"/>
                <w:szCs w:val="20"/>
                <w:color w:val="auto"/>
              </w:rPr>
            </w:pPr>
            <w:r>
              <w:rPr>
                <w:rFonts w:ascii="Arial" w:cs="Arial" w:eastAsia="Arial" w:hAnsi="Arial"/>
                <w:sz w:val="18"/>
                <w:szCs w:val="18"/>
                <w:b w:val="1"/>
                <w:bCs w:val="1"/>
                <w:color w:val="auto"/>
              </w:rPr>
              <w:t>Six Months Ended</w:t>
            </w:r>
          </w:p>
        </w:tc>
      </w:tr>
      <w:tr>
        <w:trPr>
          <w:trHeight w:val="210"/>
        </w:trPr>
        <w:tc>
          <w:tcPr>
            <w:tcW w:w="5980" w:type="dxa"/>
            <w:vAlign w:val="bottom"/>
          </w:tcPr>
          <w:p>
            <w:pPr>
              <w:spacing w:after="0"/>
              <w:rPr>
                <w:sz w:val="18"/>
                <w:szCs w:val="18"/>
                <w:color w:val="auto"/>
              </w:rPr>
            </w:pPr>
          </w:p>
        </w:tc>
        <w:tc>
          <w:tcPr>
            <w:tcW w:w="1380" w:type="dxa"/>
            <w:vAlign w:val="bottom"/>
            <w:tcBorders>
              <w:top w:val="single" w:sz="8" w:color="auto"/>
            </w:tcBorders>
            <w:gridSpan w:val="3"/>
          </w:tcPr>
          <w:p>
            <w:pPr>
              <w:ind w:left="40"/>
              <w:spacing w:after="0"/>
              <w:rPr>
                <w:sz w:val="20"/>
                <w:szCs w:val="20"/>
                <w:color w:val="auto"/>
              </w:rPr>
            </w:pPr>
            <w:r>
              <w:rPr>
                <w:rFonts w:ascii="Arial" w:cs="Arial" w:eastAsia="Arial" w:hAnsi="Arial"/>
                <w:sz w:val="18"/>
                <w:szCs w:val="18"/>
                <w:b w:val="1"/>
                <w:bCs w:val="1"/>
                <w:color w:val="auto"/>
              </w:rPr>
              <w:t>May 29, 2021</w:t>
            </w:r>
          </w:p>
        </w:tc>
        <w:tc>
          <w:tcPr>
            <w:tcW w:w="1120" w:type="dxa"/>
            <w:vAlign w:val="bottom"/>
            <w:tcBorders>
              <w:top w:val="single" w:sz="8" w:color="auto"/>
            </w:tcBorders>
            <w:gridSpan w:val="2"/>
          </w:tcPr>
          <w:p>
            <w:pPr>
              <w:ind w:left="40"/>
              <w:spacing w:after="0"/>
              <w:rPr>
                <w:sz w:val="20"/>
                <w:szCs w:val="20"/>
                <w:color w:val="auto"/>
              </w:rPr>
            </w:pPr>
            <w:r>
              <w:rPr>
                <w:rFonts w:ascii="Arial" w:cs="Arial" w:eastAsia="Arial" w:hAnsi="Arial"/>
                <w:sz w:val="18"/>
                <w:szCs w:val="18"/>
                <w:b w:val="1"/>
                <w:bCs w:val="1"/>
                <w:color w:val="auto"/>
                <w:w w:val="96"/>
              </w:rPr>
              <w:t>May 30, 2020</w:t>
            </w:r>
          </w:p>
        </w:tc>
        <w:tc>
          <w:tcPr>
            <w:tcW w:w="220" w:type="dxa"/>
            <w:vAlign w:val="bottom"/>
          </w:tcPr>
          <w:p>
            <w:pPr>
              <w:spacing w:after="0"/>
              <w:rPr>
                <w:sz w:val="18"/>
                <w:szCs w:val="18"/>
                <w:color w:val="auto"/>
              </w:rPr>
            </w:pPr>
          </w:p>
        </w:tc>
        <w:tc>
          <w:tcPr>
            <w:tcW w:w="1320" w:type="dxa"/>
            <w:vAlign w:val="bottom"/>
            <w:tcBorders>
              <w:top w:val="single" w:sz="8" w:color="auto"/>
            </w:tcBorders>
            <w:gridSpan w:val="3"/>
          </w:tcPr>
          <w:p>
            <w:pPr>
              <w:jc w:val="right"/>
              <w:ind w:right="260"/>
              <w:spacing w:after="0"/>
              <w:rPr>
                <w:sz w:val="20"/>
                <w:szCs w:val="20"/>
                <w:color w:val="auto"/>
              </w:rPr>
            </w:pPr>
            <w:r>
              <w:rPr>
                <w:rFonts w:ascii="Arial" w:cs="Arial" w:eastAsia="Arial" w:hAnsi="Arial"/>
                <w:sz w:val="18"/>
                <w:szCs w:val="18"/>
                <w:b w:val="1"/>
                <w:bCs w:val="1"/>
                <w:color w:val="auto"/>
                <w:w w:val="94"/>
              </w:rPr>
              <w:t>May 29, 2021</w:t>
            </w:r>
          </w:p>
        </w:tc>
        <w:tc>
          <w:tcPr>
            <w:tcW w:w="11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6"/>
              </w:rPr>
              <w:t>May 30, 2020</w:t>
            </w:r>
          </w:p>
        </w:tc>
        <w:tc>
          <w:tcPr>
            <w:tcW w:w="100" w:type="dxa"/>
            <w:vAlign w:val="bottom"/>
          </w:tcPr>
          <w:p>
            <w:pPr>
              <w:spacing w:after="0"/>
              <w:rPr>
                <w:sz w:val="18"/>
                <w:szCs w:val="18"/>
                <w:color w:val="auto"/>
              </w:rPr>
            </w:pPr>
          </w:p>
        </w:tc>
      </w:tr>
      <w:tr>
        <w:trPr>
          <w:trHeight w:val="209"/>
        </w:trPr>
        <w:tc>
          <w:tcPr>
            <w:tcW w:w="598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operations before other charges</w:t>
            </w:r>
          </w:p>
        </w:tc>
        <w:tc>
          <w:tcPr>
            <w:tcW w:w="380" w:type="dxa"/>
            <w:vAlign w:val="bottom"/>
            <w:shd w:val="clear" w:color="auto" w:fill="CCEEFF"/>
          </w:tcPr>
          <w:p>
            <w:pPr>
              <w:jc w:val="right"/>
              <w:ind w:right="221"/>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8,379</w:t>
            </w: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jc w:val="right"/>
              <w:ind w:right="361"/>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(16,024)</w:t>
            </w: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14,400</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(13,814)</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Less:</w:t>
            </w:r>
          </w:p>
        </w:tc>
        <w:tc>
          <w:tcPr>
            <w:tcW w:w="3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Asset impairment charges</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12,184</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12,184</w:t>
            </w:r>
          </w:p>
        </w:tc>
      </w:tr>
      <w:tr>
        <w:trPr>
          <w:trHeight w:val="216"/>
        </w:trPr>
        <w:tc>
          <w:tcPr>
            <w:tcW w:w="5980" w:type="dxa"/>
            <w:vAlign w:val="bottom"/>
          </w:tcPr>
          <w:p>
            <w:pPr>
              <w:ind w:left="180"/>
              <w:spacing w:after="0"/>
              <w:rPr>
                <w:sz w:val="20"/>
                <w:szCs w:val="20"/>
                <w:color w:val="auto"/>
              </w:rPr>
            </w:pPr>
            <w:r>
              <w:rPr>
                <w:rFonts w:ascii="Arial" w:cs="Arial" w:eastAsia="Arial" w:hAnsi="Arial"/>
                <w:sz w:val="18"/>
                <w:szCs w:val="18"/>
                <w:color w:val="auto"/>
              </w:rPr>
              <w:t>Goodwill impairment charge</w:t>
            </w:r>
          </w:p>
        </w:tc>
        <w:tc>
          <w:tcPr>
            <w:tcW w:w="3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1,971</w:t>
            </w:r>
          </w:p>
        </w:tc>
        <w:tc>
          <w:tcPr>
            <w:tcW w:w="300" w:type="dxa"/>
            <w:vAlign w:val="bottom"/>
          </w:tcPr>
          <w:p>
            <w:pPr>
              <w:spacing w:after="0"/>
              <w:rPr>
                <w:sz w:val="18"/>
                <w:szCs w:val="18"/>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1,971</w:t>
            </w:r>
          </w:p>
        </w:tc>
      </w:tr>
      <w:tr>
        <w:trPr>
          <w:trHeight w:val="216"/>
        </w:trPr>
        <w:tc>
          <w:tcPr>
            <w:tcW w:w="59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Litigation expense</w:t>
            </w:r>
          </w:p>
        </w:tc>
        <w:tc>
          <w:tcPr>
            <w:tcW w:w="3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1,050</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1,050</w:t>
            </w:r>
          </w:p>
        </w:tc>
      </w:tr>
      <w:tr>
        <w:trPr>
          <w:trHeight w:val="20"/>
        </w:trPr>
        <w:tc>
          <w:tcPr>
            <w:tcW w:w="598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980" w:type="dxa"/>
            <w:vAlign w:val="bottom"/>
          </w:tcPr>
          <w:p>
            <w:pPr>
              <w:spacing w:after="0"/>
              <w:rPr>
                <w:sz w:val="20"/>
                <w:szCs w:val="20"/>
                <w:color w:val="auto"/>
              </w:rPr>
            </w:pPr>
            <w:r>
              <w:rPr>
                <w:rFonts w:ascii="Arial" w:cs="Arial" w:eastAsia="Arial" w:hAnsi="Arial"/>
                <w:sz w:val="18"/>
                <w:szCs w:val="18"/>
                <w:color w:val="auto"/>
              </w:rPr>
              <w:t>Income (loss) from operations as reported</w:t>
            </w:r>
          </w:p>
        </w:tc>
        <w:tc>
          <w:tcPr>
            <w:tcW w:w="380" w:type="dxa"/>
            <w:vAlign w:val="bottom"/>
          </w:tcPr>
          <w:p>
            <w:pPr>
              <w:jc w:val="right"/>
              <w:ind w:right="221"/>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8,379</w:t>
            </w:r>
          </w:p>
        </w:tc>
        <w:tc>
          <w:tcPr>
            <w:tcW w:w="260" w:type="dxa"/>
            <w:vAlign w:val="bottom"/>
          </w:tcPr>
          <w:p>
            <w:pPr>
              <w:spacing w:after="0"/>
              <w:rPr>
                <w:sz w:val="18"/>
                <w:szCs w:val="18"/>
                <w:color w:val="auto"/>
              </w:rPr>
            </w:pPr>
          </w:p>
        </w:tc>
        <w:tc>
          <w:tcPr>
            <w:tcW w:w="520" w:type="dxa"/>
            <w:vAlign w:val="bottom"/>
          </w:tcPr>
          <w:p>
            <w:pPr>
              <w:jc w:val="right"/>
              <w:ind w:right="361"/>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(31,229)</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14,400</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(29,019)</w:t>
            </w:r>
          </w:p>
        </w:tc>
      </w:tr>
      <w:tr>
        <w:trPr>
          <w:trHeight w:val="20"/>
        </w:trPr>
        <w:tc>
          <w:tcPr>
            <w:tcW w:w="59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Impairment Charges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During the three and six months ended May 30, 2020 we recorded $11,114 of non-cash asset impairment charges on five underperforming retail stores, including $6,239 for the impairment of operating lease right-of-use assets, and $1,070 of non-cash impairment charges in our wholesale segment, primarily due to the closure of our custom upholstery manufacturing facility in Grand Prairie, Texas.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 Impairment Charge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Due to the impact of the COVID-19 pandemic, we performed an interim impairment assessment of our goodwill as of May 30, 2020. As a result, we recognized a non-cash charge of $1,971 for the impairment of goodwill associated with our wood reporting unit within our wholesale segment (see Note 6 to our Condensed Consolidated Financial Statements).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Expense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three and six months ended May 30, 2020 we accrued $1,050 for the estimated costs to resolve certain wage and hour violation claims that had been asserted against the Company.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9" w:name="page30"/>
    <w:bookmarkEnd w:id="29"/>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Gross Profit by Segment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the following analysis of results for our wholesale and retail segments, we present a measure of gross profit on sales which is inclusive of intercompany sales from our wholesale segment to our retail segment. We believe that this is a key metric by which to evaluate the performance of each segment and is consistent with management’s view of our operating results. The following table reconciles the sales, cost of sales and gross profit presented for each of the wholesale and retail segments to the consolidated amounts for sales, cost of sales and the implied gross profit in accordance with GAAP.</w:t>
      </w:r>
    </w:p>
    <w:p>
      <w:pPr>
        <w:spacing w:after="0" w:line="157" w:lineRule="exact"/>
        <w:rPr>
          <w:sz w:val="20"/>
          <w:szCs w:val="20"/>
          <w:color w:val="auto"/>
        </w:rPr>
      </w:pPr>
    </w:p>
    <w:p>
      <w:pPr>
        <w:ind w:left="6600"/>
        <w:spacing w:after="0"/>
        <w:rPr>
          <w:sz w:val="20"/>
          <w:szCs w:val="20"/>
          <w:color w:val="auto"/>
        </w:rPr>
      </w:pPr>
      <w:r>
        <w:rPr>
          <w:rFonts w:ascii="Arial" w:cs="Arial" w:eastAsia="Arial" w:hAnsi="Arial"/>
          <w:sz w:val="18"/>
          <w:szCs w:val="18"/>
          <w:color w:val="auto"/>
        </w:rPr>
        <w:t>Quarter Ended May 29, 2021</w:t>
      </w:r>
    </w:p>
    <w:p>
      <w:pPr>
        <w:spacing w:after="0" w:line="23" w:lineRule="exact"/>
        <w:rPr>
          <w:sz w:val="20"/>
          <w:szCs w:val="20"/>
          <w:color w:val="auto"/>
        </w:rPr>
      </w:pPr>
    </w:p>
    <w:tbl>
      <w:tblPr>
        <w:tblLayout w:type="fixed"/>
        <w:tblInd w:w="4700" w:type="dxa"/>
        <w:tblCellMar>
          <w:top w:w="0" w:type="dxa"/>
          <w:left w:w="0" w:type="dxa"/>
          <w:bottom w:w="0" w:type="dxa"/>
          <w:right w:w="0" w:type="dxa"/>
        </w:tblCellMar>
      </w:tblPr>
      <w:tr>
        <w:trPr>
          <w:trHeight w:val="195"/>
        </w:trPr>
        <w:tc>
          <w:tcPr>
            <w:tcW w:w="1460" w:type="dxa"/>
            <w:vAlign w:val="bottom"/>
            <w:tcBorders>
              <w:top w:val="single" w:sz="8" w:color="auto"/>
            </w:tcBorders>
          </w:tcPr>
          <w:p>
            <w:pPr>
              <w:spacing w:after="0"/>
              <w:rPr>
                <w:sz w:val="16"/>
                <w:szCs w:val="16"/>
                <w:color w:val="auto"/>
              </w:rPr>
            </w:pPr>
          </w:p>
        </w:tc>
        <w:tc>
          <w:tcPr>
            <w:tcW w:w="1280" w:type="dxa"/>
            <w:vAlign w:val="bottom"/>
            <w:tcBorders>
              <w:top w:val="single" w:sz="8" w:color="auto"/>
            </w:tcBorders>
          </w:tcPr>
          <w:p>
            <w:pPr>
              <w:spacing w:after="0"/>
              <w:rPr>
                <w:sz w:val="16"/>
                <w:szCs w:val="16"/>
                <w:color w:val="auto"/>
              </w:rPr>
            </w:pPr>
          </w:p>
        </w:tc>
        <w:tc>
          <w:tcPr>
            <w:tcW w:w="188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GAAP</w:t>
            </w:r>
          </w:p>
        </w:tc>
        <w:tc>
          <w:tcPr>
            <w:tcW w:w="0" w:type="dxa"/>
            <w:vAlign w:val="bottom"/>
          </w:tcPr>
          <w:p>
            <w:pPr>
              <w:spacing w:after="0"/>
              <w:rPr>
                <w:sz w:val="1"/>
                <w:szCs w:val="1"/>
                <w:color w:val="auto"/>
              </w:rPr>
            </w:pPr>
          </w:p>
        </w:tc>
      </w:tr>
      <w:tr>
        <w:trPr>
          <w:trHeight w:val="230"/>
        </w:trPr>
        <w:tc>
          <w:tcPr>
            <w:tcW w:w="2740" w:type="dxa"/>
            <w:vAlign w:val="bottom"/>
            <w:tcBorders>
              <w:bottom w:val="single" w:sz="8" w:color="auto"/>
            </w:tcBorders>
            <w:gridSpan w:val="2"/>
          </w:tcPr>
          <w:p>
            <w:pPr>
              <w:ind w:left="480"/>
              <w:spacing w:after="0"/>
              <w:rPr>
                <w:sz w:val="20"/>
                <w:szCs w:val="20"/>
                <w:color w:val="auto"/>
              </w:rPr>
            </w:pPr>
            <w:r>
              <w:rPr>
                <w:rFonts w:ascii="Arial" w:cs="Arial" w:eastAsia="Arial" w:hAnsi="Arial"/>
                <w:sz w:val="18"/>
                <w:szCs w:val="18"/>
                <w:color w:val="auto"/>
              </w:rPr>
              <w:t>Non-GAAP Presentation</w:t>
            </w:r>
          </w:p>
        </w:tc>
        <w:tc>
          <w:tcPr>
            <w:tcW w:w="1880" w:type="dxa"/>
            <w:vAlign w:val="bottom"/>
            <w:vMerge w:val="restart"/>
          </w:tcPr>
          <w:p>
            <w:pPr>
              <w:ind w:left="360"/>
              <w:spacing w:after="0"/>
              <w:rPr>
                <w:sz w:val="20"/>
                <w:szCs w:val="20"/>
                <w:color w:val="auto"/>
              </w:rPr>
            </w:pPr>
            <w:r>
              <w:rPr>
                <w:rFonts w:ascii="Arial" w:cs="Arial" w:eastAsia="Arial" w:hAnsi="Arial"/>
                <w:sz w:val="18"/>
                <w:szCs w:val="18"/>
                <w:color w:val="auto"/>
              </w:rPr>
              <w:t>Eliminations</w:t>
            </w: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Presentation</w:t>
            </w:r>
          </w:p>
        </w:tc>
        <w:tc>
          <w:tcPr>
            <w:tcW w:w="0" w:type="dxa"/>
            <w:vAlign w:val="bottom"/>
          </w:tcPr>
          <w:p>
            <w:pPr>
              <w:spacing w:after="0"/>
              <w:rPr>
                <w:sz w:val="1"/>
                <w:szCs w:val="1"/>
                <w:color w:val="auto"/>
              </w:rPr>
            </w:pPr>
          </w:p>
        </w:tc>
      </w:tr>
      <w:tr>
        <w:trPr>
          <w:trHeight w:val="209"/>
        </w:trPr>
        <w:tc>
          <w:tcPr>
            <w:tcW w:w="146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Wholesale</w:t>
            </w:r>
          </w:p>
        </w:tc>
        <w:tc>
          <w:tcPr>
            <w:tcW w:w="1280" w:type="dxa"/>
            <w:vAlign w:val="bottom"/>
            <w:tcBorders>
              <w:bottom w:val="single" w:sz="8" w:color="auto"/>
            </w:tcBorders>
          </w:tcPr>
          <w:p>
            <w:pPr>
              <w:ind w:left="440"/>
              <w:spacing w:after="0"/>
              <w:rPr>
                <w:sz w:val="20"/>
                <w:szCs w:val="20"/>
                <w:color w:val="auto"/>
              </w:rPr>
            </w:pPr>
            <w:r>
              <w:rPr>
                <w:rFonts w:ascii="Arial" w:cs="Arial" w:eastAsia="Arial" w:hAnsi="Arial"/>
                <w:sz w:val="18"/>
                <w:szCs w:val="18"/>
                <w:color w:val="auto"/>
              </w:rPr>
              <w:t>Retail</w:t>
            </w:r>
          </w:p>
        </w:tc>
        <w:tc>
          <w:tcPr>
            <w:tcW w:w="1880" w:type="dxa"/>
            <w:vAlign w:val="bottom"/>
            <w:tcBorders>
              <w:bottom w:val="single" w:sz="8" w:color="auto"/>
            </w:tcBorders>
            <w:vMerge w:val="continue"/>
          </w:tcPr>
          <w:p>
            <w:pPr>
              <w:spacing w:after="0"/>
              <w:rPr>
                <w:sz w:val="18"/>
                <w:szCs w:val="18"/>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Consolidated</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584" w:right="339" w:bottom="1440" w:gutter="0" w:footer="0" w:header="0"/>
        </w:sectPr>
      </w:pPr>
    </w:p>
    <w:p>
      <w:pPr>
        <w:spacing w:after="0" w:line="2" w:lineRule="exact"/>
        <w:rPr>
          <w:sz w:val="20"/>
          <w:szCs w:val="20"/>
          <w:color w:val="auto"/>
        </w:rPr>
      </w:pPr>
    </w:p>
    <w:p>
      <w:pPr>
        <w:ind w:right="1220"/>
        <w:spacing w:after="0" w:line="316" w:lineRule="auto"/>
        <w:rPr>
          <w:sz w:val="20"/>
          <w:szCs w:val="20"/>
          <w:color w:val="auto"/>
        </w:rPr>
      </w:pPr>
      <w:r>
        <w:rPr>
          <w:rFonts w:ascii="Arial" w:cs="Arial" w:eastAsia="Arial" w:hAnsi="Arial"/>
          <w:sz w:val="16"/>
          <w:szCs w:val="16"/>
          <w:color w:val="auto"/>
        </w:rPr>
        <w:t>Sales revenue: furniture &amp; accessories Cost of furniture and accessories sold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Gross profit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right="1220"/>
        <w:spacing w:after="0" w:line="316" w:lineRule="auto"/>
        <w:rPr>
          <w:sz w:val="20"/>
          <w:szCs w:val="20"/>
          <w:color w:val="auto"/>
        </w:rPr>
      </w:pPr>
      <w:r>
        <w:rPr>
          <w:rFonts w:ascii="Arial" w:cs="Arial" w:eastAsia="Arial" w:hAnsi="Arial"/>
          <w:sz w:val="16"/>
          <w:szCs w:val="16"/>
          <w:color w:val="auto"/>
        </w:rPr>
        <w:t>Sales revenue: furniture &amp; accessories Cost of furniture and accessories sold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Gross profit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76,034</w:t>
            </w:r>
          </w:p>
        </w:tc>
        <w:tc>
          <w:tcPr>
            <w:tcW w:w="38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62,483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(28,520)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109,997</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50,858</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30,319</w:t>
            </w:r>
          </w:p>
        </w:tc>
        <w:tc>
          <w:tcPr>
            <w:tcW w:w="140" w:type="dxa"/>
            <w:vAlign w:val="bottom"/>
          </w:tcPr>
          <w:p>
            <w:pPr>
              <w:spacing w:after="0"/>
              <w:rPr>
                <w:sz w:val="20"/>
                <w:szCs w:val="20"/>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(28,266)</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120" w:type="dxa"/>
            <w:vAlign w:val="bottom"/>
          </w:tcPr>
          <w:p>
            <w:pPr>
              <w:spacing w:after="0"/>
              <w:rPr>
                <w:sz w:val="20"/>
                <w:szCs w:val="20"/>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52,911</w:t>
            </w:r>
          </w:p>
        </w:tc>
        <w:tc>
          <w:tcPr>
            <w:tcW w:w="0" w:type="dxa"/>
            <w:vAlign w:val="bottom"/>
          </w:tcPr>
          <w:p>
            <w:pPr>
              <w:spacing w:after="0"/>
              <w:rPr>
                <w:sz w:val="1"/>
                <w:szCs w:val="1"/>
                <w:color w:val="auto"/>
              </w:rPr>
            </w:pPr>
          </w:p>
        </w:tc>
      </w:tr>
      <w:tr>
        <w:trPr>
          <w:trHeight w:val="209"/>
        </w:trPr>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25,176</w:t>
            </w:r>
          </w:p>
        </w:tc>
        <w:tc>
          <w:tcPr>
            <w:tcW w:w="2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32,164</w:t>
            </w:r>
          </w:p>
        </w:tc>
        <w:tc>
          <w:tcPr>
            <w:tcW w:w="1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(254)</w:t>
            </w:r>
          </w:p>
        </w:tc>
        <w:tc>
          <w:tcPr>
            <w:tcW w:w="100" w:type="dxa"/>
            <w:vAlign w:val="bottom"/>
          </w:tcPr>
          <w:p>
            <w:pPr>
              <w:spacing w:after="0"/>
              <w:rPr>
                <w:sz w:val="18"/>
                <w:szCs w:val="18"/>
                <w:color w:val="auto"/>
              </w:rPr>
            </w:pP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57,086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1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gridSpan w:val="5"/>
          </w:tcPr>
          <w:p>
            <w:pPr>
              <w:ind w:left="240"/>
              <w:spacing w:after="0"/>
              <w:rPr>
                <w:sz w:val="20"/>
                <w:szCs w:val="20"/>
                <w:color w:val="auto"/>
              </w:rPr>
            </w:pPr>
            <w:r>
              <w:rPr>
                <w:rFonts w:ascii="Arial" w:cs="Arial" w:eastAsia="Arial" w:hAnsi="Arial"/>
                <w:sz w:val="18"/>
                <w:szCs w:val="18"/>
                <w:color w:val="auto"/>
              </w:rPr>
              <w:t>Quarter Ended May 30, 2020</w:t>
            </w: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jc w:val="center"/>
              <w:ind w:right="30"/>
              <w:spacing w:after="0" w:line="195" w:lineRule="exact"/>
              <w:rPr>
                <w:sz w:val="20"/>
                <w:szCs w:val="20"/>
                <w:color w:val="auto"/>
              </w:rPr>
            </w:pPr>
            <w:r>
              <w:rPr>
                <w:rFonts w:ascii="Arial" w:cs="Arial" w:eastAsia="Arial" w:hAnsi="Arial"/>
                <w:sz w:val="18"/>
                <w:szCs w:val="18"/>
                <w:color w:val="auto"/>
                <w:w w:val="99"/>
              </w:rPr>
              <w:t>GAAP</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2740" w:type="dxa"/>
            <w:vAlign w:val="bottom"/>
            <w:gridSpan w:val="5"/>
          </w:tcPr>
          <w:p>
            <w:pPr>
              <w:ind w:left="300"/>
              <w:spacing w:after="0"/>
              <w:rPr>
                <w:sz w:val="20"/>
                <w:szCs w:val="20"/>
                <w:color w:val="auto"/>
              </w:rPr>
            </w:pPr>
            <w:r>
              <w:rPr>
                <w:rFonts w:ascii="Arial" w:cs="Arial" w:eastAsia="Arial" w:hAnsi="Arial"/>
                <w:sz w:val="18"/>
                <w:szCs w:val="18"/>
                <w:color w:val="auto"/>
              </w:rPr>
              <w:t>Non-GAAP Presentation</w:t>
            </w:r>
          </w:p>
        </w:tc>
        <w:tc>
          <w:tcPr>
            <w:tcW w:w="140" w:type="dxa"/>
            <w:vAlign w:val="bottom"/>
          </w:tcPr>
          <w:p>
            <w:pPr>
              <w:spacing w:after="0"/>
              <w:rPr>
                <w:sz w:val="20"/>
                <w:szCs w:val="20"/>
                <w:color w:val="auto"/>
              </w:rPr>
            </w:pPr>
          </w:p>
        </w:tc>
        <w:tc>
          <w:tcPr>
            <w:tcW w:w="1220" w:type="dxa"/>
            <w:vAlign w:val="bottom"/>
            <w:gridSpan w:val="2"/>
            <w:vMerge w:val="restart"/>
          </w:tcPr>
          <w:p>
            <w:pPr>
              <w:jc w:val="right"/>
              <w:ind w:right="280"/>
              <w:spacing w:after="0"/>
              <w:rPr>
                <w:sz w:val="20"/>
                <w:szCs w:val="20"/>
                <w:color w:val="auto"/>
              </w:rPr>
            </w:pPr>
            <w:r>
              <w:rPr>
                <w:rFonts w:ascii="Arial" w:cs="Arial" w:eastAsia="Arial" w:hAnsi="Arial"/>
                <w:sz w:val="18"/>
                <w:szCs w:val="18"/>
                <w:color w:val="auto"/>
                <w:w w:val="94"/>
              </w:rPr>
              <w:t>Eliminations</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8"/>
                <w:szCs w:val="18"/>
                <w:color w:val="auto"/>
                <w:w w:val="89"/>
              </w:rPr>
              <w:t>Presentation</w:t>
            </w:r>
          </w:p>
        </w:tc>
        <w:tc>
          <w:tcPr>
            <w:tcW w:w="0" w:type="dxa"/>
            <w:vAlign w:val="bottom"/>
          </w:tcPr>
          <w:p>
            <w:pPr>
              <w:spacing w:after="0"/>
              <w:rPr>
                <w:sz w:val="1"/>
                <w:szCs w:val="1"/>
                <w:color w:val="auto"/>
              </w:rPr>
            </w:pPr>
          </w:p>
        </w:tc>
      </w:tr>
      <w:tr>
        <w:trPr>
          <w:trHeight w:val="209"/>
        </w:trPr>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7"/>
              </w:rPr>
              <w:t>Wholesale</w:t>
            </w:r>
          </w:p>
        </w:tc>
        <w:tc>
          <w:tcPr>
            <w:tcW w:w="200" w:type="dxa"/>
            <w:vAlign w:val="bottom"/>
            <w:tcBorders>
              <w:top w:val="single" w:sz="8" w:color="auto"/>
              <w:bottom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8"/>
                <w:szCs w:val="18"/>
                <w:color w:val="auto"/>
              </w:rPr>
              <w:t>Retail</w:t>
            </w:r>
          </w:p>
        </w:tc>
        <w:tc>
          <w:tcPr>
            <w:tcW w:w="1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vMerge w:val="continue"/>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18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line="195" w:lineRule="exact"/>
              <w:rPr>
                <w:sz w:val="20"/>
                <w:szCs w:val="20"/>
                <w:color w:val="auto"/>
              </w:rPr>
            </w:pPr>
            <w:r>
              <w:rPr>
                <w:rFonts w:ascii="Arial" w:cs="Arial" w:eastAsia="Arial" w:hAnsi="Arial"/>
                <w:sz w:val="18"/>
                <w:szCs w:val="18"/>
                <w:color w:val="auto"/>
              </w:rPr>
              <w:t>33,128</w:t>
            </w:r>
          </w:p>
        </w:tc>
        <w:tc>
          <w:tcPr>
            <w:tcW w:w="380" w:type="dxa"/>
            <w:vAlign w:val="bottom"/>
            <w:gridSpan w:val="2"/>
          </w:tcPr>
          <w:p>
            <w:pPr>
              <w:jc w:val="right"/>
              <w:ind w:right="27"/>
              <w:spacing w:after="0" w:line="195" w:lineRule="exact"/>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80"/>
              <w:spacing w:after="0" w:line="195" w:lineRule="exact"/>
              <w:rPr>
                <w:sz w:val="20"/>
                <w:szCs w:val="20"/>
                <w:color w:val="auto"/>
              </w:rPr>
            </w:pPr>
            <w:r>
              <w:rPr>
                <w:rFonts w:ascii="Arial" w:cs="Arial" w:eastAsia="Arial" w:hAnsi="Arial"/>
                <w:sz w:val="18"/>
                <w:szCs w:val="18"/>
                <w:color w:val="auto"/>
              </w:rPr>
              <w:t>33,171</w:t>
            </w:r>
          </w:p>
        </w:tc>
        <w:tc>
          <w:tcPr>
            <w:tcW w:w="14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40"/>
              <w:spacing w:after="0" w:line="195" w:lineRule="exact"/>
              <w:rPr>
                <w:sz w:val="20"/>
                <w:szCs w:val="20"/>
                <w:color w:val="auto"/>
              </w:rPr>
            </w:pPr>
            <w:r>
              <w:rPr>
                <w:rFonts w:ascii="Arial" w:cs="Arial" w:eastAsia="Arial" w:hAnsi="Arial"/>
                <w:sz w:val="18"/>
                <w:szCs w:val="18"/>
                <w:color w:val="auto"/>
              </w:rPr>
              <w:t>(13,299)</w:t>
            </w:r>
          </w:p>
        </w:tc>
        <w:tc>
          <w:tcPr>
            <w:tcW w:w="340" w:type="dxa"/>
            <w:vAlign w:val="bottom"/>
          </w:tcPr>
          <w:p>
            <w:pPr>
              <w:jc w:val="right"/>
              <w:ind w:right="10"/>
              <w:spacing w:after="0" w:line="195" w:lineRule="exact"/>
              <w:rPr>
                <w:sz w:val="20"/>
                <w:szCs w:val="20"/>
                <w:color w:val="auto"/>
              </w:rPr>
            </w:pPr>
            <w:r>
              <w:rPr>
                <w:rFonts w:ascii="Arial" w:cs="Arial" w:eastAsia="Arial" w:hAnsi="Arial"/>
                <w:sz w:val="18"/>
                <w:szCs w:val="18"/>
                <w:color w:val="auto"/>
                <w:w w:val="99"/>
              </w:rPr>
              <w:t>(1)</w:t>
            </w:r>
          </w:p>
        </w:tc>
        <w:tc>
          <w:tcPr>
            <w:tcW w:w="12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line="195" w:lineRule="exact"/>
              <w:rPr>
                <w:sz w:val="20"/>
                <w:szCs w:val="20"/>
                <w:color w:val="auto"/>
              </w:rPr>
            </w:pPr>
            <w:r>
              <w:rPr>
                <w:rFonts w:ascii="Arial" w:cs="Arial" w:eastAsia="Arial" w:hAnsi="Arial"/>
                <w:sz w:val="18"/>
                <w:szCs w:val="18"/>
                <w:color w:val="auto"/>
              </w:rPr>
              <w:t>53,000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27,300</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2"/>
          </w:tcPr>
          <w:p>
            <w:pPr>
              <w:jc w:val="right"/>
              <w:ind w:right="180"/>
              <w:spacing w:after="0"/>
              <w:rPr>
                <w:sz w:val="20"/>
                <w:szCs w:val="20"/>
                <w:color w:val="auto"/>
              </w:rPr>
            </w:pPr>
            <w:r>
              <w:rPr>
                <w:rFonts w:ascii="Arial" w:cs="Arial" w:eastAsia="Arial" w:hAnsi="Arial"/>
                <w:sz w:val="18"/>
                <w:szCs w:val="18"/>
                <w:color w:val="auto"/>
              </w:rPr>
              <w:t>17,488</w:t>
            </w:r>
          </w:p>
        </w:tc>
        <w:tc>
          <w:tcPr>
            <w:tcW w:w="140" w:type="dxa"/>
            <w:vAlign w:val="bottom"/>
          </w:tcPr>
          <w:p>
            <w:pPr>
              <w:spacing w:after="0"/>
              <w:rPr>
                <w:sz w:val="20"/>
                <w:szCs w:val="20"/>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(15,336)</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120" w:type="dxa"/>
            <w:vAlign w:val="bottom"/>
          </w:tcPr>
          <w:p>
            <w:pPr>
              <w:spacing w:after="0"/>
              <w:rPr>
                <w:sz w:val="20"/>
                <w:szCs w:val="20"/>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29,452</w:t>
            </w:r>
          </w:p>
        </w:tc>
        <w:tc>
          <w:tcPr>
            <w:tcW w:w="0" w:type="dxa"/>
            <w:vAlign w:val="bottom"/>
          </w:tcPr>
          <w:p>
            <w:pPr>
              <w:spacing w:after="0"/>
              <w:rPr>
                <w:sz w:val="1"/>
                <w:szCs w:val="1"/>
                <w:color w:val="auto"/>
              </w:rPr>
            </w:pPr>
          </w:p>
        </w:tc>
      </w:tr>
      <w:tr>
        <w:trPr>
          <w:trHeight w:val="210"/>
        </w:trPr>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5,828</w:t>
            </w:r>
          </w:p>
        </w:tc>
        <w:tc>
          <w:tcPr>
            <w:tcW w:w="2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15,683</w:t>
            </w:r>
          </w:p>
        </w:tc>
        <w:tc>
          <w:tcPr>
            <w:tcW w:w="1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2,037</w:t>
            </w:r>
          </w:p>
        </w:tc>
        <w:tc>
          <w:tcPr>
            <w:tcW w:w="100" w:type="dxa"/>
            <w:vAlign w:val="bottom"/>
          </w:tcPr>
          <w:p>
            <w:pPr>
              <w:spacing w:after="0"/>
              <w:rPr>
                <w:sz w:val="18"/>
                <w:szCs w:val="18"/>
                <w:color w:val="auto"/>
              </w:rPr>
            </w:pP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8"/>
                <w:szCs w:val="18"/>
                <w:color w:val="auto"/>
                <w:w w:val="94"/>
              </w:rPr>
              <w:t>Six Months Ended May 29, 2021</w:t>
            </w: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jc w:val="center"/>
              <w:ind w:right="30"/>
              <w:spacing w:after="0" w:line="195" w:lineRule="exact"/>
              <w:rPr>
                <w:sz w:val="20"/>
                <w:szCs w:val="20"/>
                <w:color w:val="auto"/>
              </w:rPr>
            </w:pPr>
            <w:r>
              <w:rPr>
                <w:rFonts w:ascii="Arial" w:cs="Arial" w:eastAsia="Arial" w:hAnsi="Arial"/>
                <w:sz w:val="18"/>
                <w:szCs w:val="18"/>
                <w:color w:val="auto"/>
                <w:w w:val="99"/>
              </w:rPr>
              <w:t>GAAP</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2740" w:type="dxa"/>
            <w:vAlign w:val="bottom"/>
            <w:gridSpan w:val="5"/>
          </w:tcPr>
          <w:p>
            <w:pPr>
              <w:ind w:left="300"/>
              <w:spacing w:after="0"/>
              <w:rPr>
                <w:sz w:val="20"/>
                <w:szCs w:val="20"/>
                <w:color w:val="auto"/>
              </w:rPr>
            </w:pPr>
            <w:r>
              <w:rPr>
                <w:rFonts w:ascii="Arial" w:cs="Arial" w:eastAsia="Arial" w:hAnsi="Arial"/>
                <w:sz w:val="18"/>
                <w:szCs w:val="18"/>
                <w:color w:val="auto"/>
              </w:rPr>
              <w:t>Non-GAAP Presentation</w:t>
            </w:r>
          </w:p>
        </w:tc>
        <w:tc>
          <w:tcPr>
            <w:tcW w:w="140" w:type="dxa"/>
            <w:vAlign w:val="bottom"/>
          </w:tcPr>
          <w:p>
            <w:pPr>
              <w:spacing w:after="0"/>
              <w:rPr>
                <w:sz w:val="20"/>
                <w:szCs w:val="20"/>
                <w:color w:val="auto"/>
              </w:rPr>
            </w:pPr>
          </w:p>
        </w:tc>
        <w:tc>
          <w:tcPr>
            <w:tcW w:w="1220" w:type="dxa"/>
            <w:vAlign w:val="bottom"/>
            <w:gridSpan w:val="2"/>
            <w:vMerge w:val="restart"/>
          </w:tcPr>
          <w:p>
            <w:pPr>
              <w:jc w:val="right"/>
              <w:ind w:right="280"/>
              <w:spacing w:after="0"/>
              <w:rPr>
                <w:sz w:val="20"/>
                <w:szCs w:val="20"/>
                <w:color w:val="auto"/>
              </w:rPr>
            </w:pPr>
            <w:r>
              <w:rPr>
                <w:rFonts w:ascii="Arial" w:cs="Arial" w:eastAsia="Arial" w:hAnsi="Arial"/>
                <w:sz w:val="18"/>
                <w:szCs w:val="18"/>
                <w:color w:val="auto"/>
                <w:w w:val="94"/>
              </w:rPr>
              <w:t>Eliminations</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8"/>
                <w:szCs w:val="18"/>
                <w:color w:val="auto"/>
                <w:w w:val="89"/>
              </w:rPr>
              <w:t>Presentation</w:t>
            </w:r>
          </w:p>
        </w:tc>
        <w:tc>
          <w:tcPr>
            <w:tcW w:w="0" w:type="dxa"/>
            <w:vAlign w:val="bottom"/>
          </w:tcPr>
          <w:p>
            <w:pPr>
              <w:spacing w:after="0"/>
              <w:rPr>
                <w:sz w:val="1"/>
                <w:szCs w:val="1"/>
                <w:color w:val="auto"/>
              </w:rPr>
            </w:pPr>
          </w:p>
        </w:tc>
      </w:tr>
      <w:tr>
        <w:trPr>
          <w:trHeight w:val="209"/>
        </w:trPr>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7"/>
              </w:rPr>
              <w:t>Wholesale</w:t>
            </w:r>
          </w:p>
        </w:tc>
        <w:tc>
          <w:tcPr>
            <w:tcW w:w="200" w:type="dxa"/>
            <w:vAlign w:val="bottom"/>
            <w:tcBorders>
              <w:top w:val="single" w:sz="8" w:color="auto"/>
              <w:bottom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8"/>
                <w:szCs w:val="18"/>
                <w:color w:val="auto"/>
              </w:rPr>
              <w:t>Retail</w:t>
            </w:r>
          </w:p>
        </w:tc>
        <w:tc>
          <w:tcPr>
            <w:tcW w:w="1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vMerge w:val="continue"/>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-2978785</wp:posOffset>
            </wp:positionH>
            <wp:positionV relativeFrom="paragraph">
              <wp:posOffset>-2348230</wp:posOffset>
            </wp:positionV>
            <wp:extent cx="6772275" cy="137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772275" cy="13716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-2065020</wp:posOffset>
            </wp:positionV>
            <wp:extent cx="6772275" cy="16319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772275" cy="163195"/>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-1173480</wp:posOffset>
            </wp:positionV>
            <wp:extent cx="6772275" cy="137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772275" cy="13716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-890905</wp:posOffset>
            </wp:positionV>
            <wp:extent cx="6772275" cy="1631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772275"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980" w:space="720"/>
            <w:col w:w="6540"/>
          </w:cols>
          <w:pgMar w:left="320" w:top="584"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Sales revenue: furniture &amp; accessories</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146,298</w:t>
            </w:r>
          </w:p>
        </w:tc>
        <w:tc>
          <w:tcPr>
            <w:tcW w:w="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122,878</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(57,524)</w:t>
            </w:r>
          </w:p>
        </w:tc>
        <w:tc>
          <w:tcPr>
            <w:tcW w:w="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(1)</w:t>
            </w: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211,652</w:t>
            </w: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Cost of furniture and accessories sold</w:t>
            </w:r>
          </w:p>
        </w:tc>
        <w:tc>
          <w:tcPr>
            <w:tcW w:w="40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98,146</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59,628</w:t>
            </w:r>
          </w:p>
        </w:tc>
        <w:tc>
          <w:tcPr>
            <w:tcW w:w="40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(56,611)</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3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101,163</w:t>
            </w:r>
          </w:p>
        </w:tc>
      </w:tr>
      <w:tr>
        <w:trPr>
          <w:trHeight w:val="20"/>
        </w:trPr>
        <w:tc>
          <w:tcPr>
            <w:tcW w:w="47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470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48,152</w:t>
            </w:r>
          </w:p>
        </w:tc>
        <w:tc>
          <w:tcPr>
            <w:tcW w:w="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63,250</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(913)</w:t>
            </w:r>
          </w:p>
        </w:tc>
        <w:tc>
          <w:tcPr>
            <w:tcW w:w="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(3)</w:t>
            </w: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110,489</w:t>
            </w:r>
          </w:p>
        </w:tc>
      </w:tr>
      <w:tr>
        <w:trPr>
          <w:trHeight w:val="20"/>
        </w:trPr>
        <w:tc>
          <w:tcPr>
            <w:tcW w:w="47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584"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20"/>
        <w:spacing w:after="0" w:line="316" w:lineRule="auto"/>
        <w:rPr>
          <w:sz w:val="20"/>
          <w:szCs w:val="20"/>
          <w:color w:val="auto"/>
        </w:rPr>
      </w:pPr>
      <w:r>
        <w:rPr>
          <w:rFonts w:ascii="Arial" w:cs="Arial" w:eastAsia="Arial" w:hAnsi="Arial"/>
          <w:sz w:val="16"/>
          <w:szCs w:val="16"/>
          <w:color w:val="auto"/>
        </w:rPr>
        <w:t>Sales revenue: furniture &amp; accessories Cost of furniture and accessories sold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Gross profit</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Notes to the gross profit by segment table:</w:t>
      </w:r>
    </w:p>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ind w:left="1740"/>
        <w:spacing w:after="0"/>
        <w:rPr>
          <w:sz w:val="20"/>
          <w:szCs w:val="20"/>
          <w:color w:val="auto"/>
        </w:rPr>
      </w:pPr>
      <w:r>
        <w:rPr>
          <w:rFonts w:ascii="Arial" w:cs="Arial" w:eastAsia="Arial" w:hAnsi="Arial"/>
          <w:sz w:val="18"/>
          <w:szCs w:val="18"/>
          <w:color w:val="auto"/>
        </w:rPr>
        <w:t>Six Months Ended May 30, 2020</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center"/>
              <w:ind w:right="30"/>
              <w:spacing w:after="0" w:line="195" w:lineRule="exact"/>
              <w:rPr>
                <w:sz w:val="20"/>
                <w:szCs w:val="20"/>
                <w:color w:val="auto"/>
              </w:rPr>
            </w:pPr>
            <w:r>
              <w:rPr>
                <w:rFonts w:ascii="Arial" w:cs="Arial" w:eastAsia="Arial" w:hAnsi="Arial"/>
                <w:sz w:val="18"/>
                <w:szCs w:val="18"/>
                <w:color w:val="auto"/>
                <w:w w:val="99"/>
              </w:rPr>
              <w:t>GAAP</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2740" w:type="dxa"/>
            <w:vAlign w:val="bottom"/>
            <w:gridSpan w:val="5"/>
          </w:tcPr>
          <w:p>
            <w:pPr>
              <w:ind w:left="300"/>
              <w:spacing w:after="0"/>
              <w:rPr>
                <w:sz w:val="20"/>
                <w:szCs w:val="20"/>
                <w:color w:val="auto"/>
              </w:rPr>
            </w:pPr>
            <w:r>
              <w:rPr>
                <w:rFonts w:ascii="Arial" w:cs="Arial" w:eastAsia="Arial" w:hAnsi="Arial"/>
                <w:sz w:val="18"/>
                <w:szCs w:val="18"/>
                <w:color w:val="auto"/>
              </w:rPr>
              <w:t>Non-GAAP Presentation</w:t>
            </w:r>
          </w:p>
        </w:tc>
        <w:tc>
          <w:tcPr>
            <w:tcW w:w="140" w:type="dxa"/>
            <w:vAlign w:val="bottom"/>
          </w:tcPr>
          <w:p>
            <w:pPr>
              <w:spacing w:after="0"/>
              <w:rPr>
                <w:sz w:val="20"/>
                <w:szCs w:val="20"/>
                <w:color w:val="auto"/>
              </w:rPr>
            </w:pPr>
          </w:p>
        </w:tc>
        <w:tc>
          <w:tcPr>
            <w:tcW w:w="1220" w:type="dxa"/>
            <w:vAlign w:val="bottom"/>
            <w:gridSpan w:val="2"/>
            <w:vMerge w:val="restart"/>
          </w:tcPr>
          <w:p>
            <w:pPr>
              <w:jc w:val="right"/>
              <w:ind w:right="280"/>
              <w:spacing w:after="0"/>
              <w:rPr>
                <w:sz w:val="20"/>
                <w:szCs w:val="20"/>
                <w:color w:val="auto"/>
              </w:rPr>
            </w:pPr>
            <w:r>
              <w:rPr>
                <w:rFonts w:ascii="Arial" w:cs="Arial" w:eastAsia="Arial" w:hAnsi="Arial"/>
                <w:sz w:val="18"/>
                <w:szCs w:val="18"/>
                <w:color w:val="auto"/>
                <w:w w:val="94"/>
              </w:rPr>
              <w:t>Eliminations</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8"/>
                <w:szCs w:val="18"/>
                <w:color w:val="auto"/>
                <w:w w:val="89"/>
              </w:rPr>
              <w:t>Presentation</w:t>
            </w:r>
          </w:p>
        </w:tc>
        <w:tc>
          <w:tcPr>
            <w:tcW w:w="0" w:type="dxa"/>
            <w:vAlign w:val="bottom"/>
          </w:tcPr>
          <w:p>
            <w:pPr>
              <w:spacing w:after="0"/>
              <w:rPr>
                <w:sz w:val="1"/>
                <w:szCs w:val="1"/>
                <w:color w:val="auto"/>
              </w:rPr>
            </w:pPr>
          </w:p>
        </w:tc>
      </w:tr>
      <w:tr>
        <w:trPr>
          <w:trHeight w:val="210"/>
        </w:trPr>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7"/>
              </w:rPr>
              <w:t>Wholesale</w:t>
            </w:r>
          </w:p>
        </w:tc>
        <w:tc>
          <w:tcPr>
            <w:tcW w:w="200" w:type="dxa"/>
            <w:vAlign w:val="bottom"/>
            <w:tcBorders>
              <w:top w:val="single" w:sz="8" w:color="auto"/>
              <w:bottom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rPr>
              <w:t>Retail</w:t>
            </w:r>
          </w:p>
        </w:tc>
        <w:tc>
          <w:tcPr>
            <w:tcW w:w="1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vMerge w:val="continue"/>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Consolidated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18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line="195" w:lineRule="exact"/>
              <w:rPr>
                <w:sz w:val="20"/>
                <w:szCs w:val="20"/>
                <w:color w:val="auto"/>
              </w:rPr>
            </w:pPr>
            <w:r>
              <w:rPr>
                <w:rFonts w:ascii="Arial" w:cs="Arial" w:eastAsia="Arial" w:hAnsi="Arial"/>
                <w:sz w:val="18"/>
                <w:szCs w:val="18"/>
                <w:color w:val="auto"/>
              </w:rPr>
              <w:t>98,145</w:t>
            </w:r>
          </w:p>
        </w:tc>
        <w:tc>
          <w:tcPr>
            <w:tcW w:w="440" w:type="dxa"/>
            <w:vAlign w:val="bottom"/>
            <w:gridSpan w:val="2"/>
          </w:tcPr>
          <w:p>
            <w:pPr>
              <w:jc w:val="right"/>
              <w:ind w:right="87"/>
              <w:spacing w:after="0" w:line="195" w:lineRule="exact"/>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80"/>
              <w:spacing w:after="0" w:line="195" w:lineRule="exact"/>
              <w:rPr>
                <w:sz w:val="20"/>
                <w:szCs w:val="20"/>
                <w:color w:val="auto"/>
              </w:rPr>
            </w:pPr>
            <w:r>
              <w:rPr>
                <w:rFonts w:ascii="Arial" w:cs="Arial" w:eastAsia="Arial" w:hAnsi="Arial"/>
                <w:sz w:val="18"/>
                <w:szCs w:val="18"/>
                <w:color w:val="auto"/>
              </w:rPr>
              <w:t>99,017</w:t>
            </w:r>
          </w:p>
        </w:tc>
        <w:tc>
          <w:tcPr>
            <w:tcW w:w="14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40"/>
              <w:spacing w:after="0" w:line="195" w:lineRule="exact"/>
              <w:rPr>
                <w:sz w:val="20"/>
                <w:szCs w:val="20"/>
                <w:color w:val="auto"/>
              </w:rPr>
            </w:pPr>
            <w:r>
              <w:rPr>
                <w:rFonts w:ascii="Arial" w:cs="Arial" w:eastAsia="Arial" w:hAnsi="Arial"/>
                <w:sz w:val="18"/>
                <w:szCs w:val="18"/>
                <w:color w:val="auto"/>
              </w:rPr>
              <w:t>(45,220)</w:t>
            </w:r>
          </w:p>
        </w:tc>
        <w:tc>
          <w:tcPr>
            <w:tcW w:w="340" w:type="dxa"/>
            <w:vAlign w:val="bottom"/>
          </w:tcPr>
          <w:p>
            <w:pPr>
              <w:jc w:val="right"/>
              <w:ind w:right="10"/>
              <w:spacing w:after="0" w:line="195" w:lineRule="exact"/>
              <w:rPr>
                <w:sz w:val="20"/>
                <w:szCs w:val="20"/>
                <w:color w:val="auto"/>
              </w:rPr>
            </w:pPr>
            <w:r>
              <w:rPr>
                <w:rFonts w:ascii="Arial" w:cs="Arial" w:eastAsia="Arial" w:hAnsi="Arial"/>
                <w:sz w:val="18"/>
                <w:szCs w:val="18"/>
                <w:color w:val="auto"/>
                <w:w w:val="99"/>
              </w:rPr>
              <w:t>(1)</w:t>
            </w:r>
          </w:p>
        </w:tc>
        <w:tc>
          <w:tcPr>
            <w:tcW w:w="12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line="195" w:lineRule="exact"/>
              <w:rPr>
                <w:sz w:val="20"/>
                <w:szCs w:val="20"/>
                <w:color w:val="auto"/>
              </w:rPr>
            </w:pPr>
            <w:r>
              <w:rPr>
                <w:rFonts w:ascii="Arial" w:cs="Arial" w:eastAsia="Arial" w:hAnsi="Arial"/>
                <w:sz w:val="18"/>
                <w:szCs w:val="18"/>
                <w:color w:val="auto"/>
              </w:rPr>
              <w:t>151,942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71,177</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50,394</w:t>
            </w:r>
          </w:p>
        </w:tc>
        <w:tc>
          <w:tcPr>
            <w:tcW w:w="140" w:type="dxa"/>
            <w:vAlign w:val="bottom"/>
          </w:tcPr>
          <w:p>
            <w:pPr>
              <w:spacing w:after="0"/>
              <w:rPr>
                <w:sz w:val="20"/>
                <w:szCs w:val="20"/>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(46,849)</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120" w:type="dxa"/>
            <w:vAlign w:val="bottom"/>
          </w:tcPr>
          <w:p>
            <w:pPr>
              <w:spacing w:after="0"/>
              <w:rPr>
                <w:sz w:val="20"/>
                <w:szCs w:val="20"/>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74,722</w:t>
            </w:r>
          </w:p>
        </w:tc>
        <w:tc>
          <w:tcPr>
            <w:tcW w:w="0" w:type="dxa"/>
            <w:vAlign w:val="bottom"/>
          </w:tcPr>
          <w:p>
            <w:pPr>
              <w:spacing w:after="0"/>
              <w:rPr>
                <w:sz w:val="1"/>
                <w:szCs w:val="1"/>
                <w:color w:val="auto"/>
              </w:rPr>
            </w:pPr>
          </w:p>
        </w:tc>
      </w:tr>
      <w:tr>
        <w:trPr>
          <w:trHeight w:val="210"/>
        </w:trPr>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26,968</w:t>
            </w:r>
          </w:p>
        </w:tc>
        <w:tc>
          <w:tcPr>
            <w:tcW w:w="200" w:type="dxa"/>
            <w:vAlign w:val="bottom"/>
          </w:tcPr>
          <w:p>
            <w:pPr>
              <w:spacing w:after="0"/>
              <w:rPr>
                <w:sz w:val="18"/>
                <w:szCs w:val="18"/>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48,623</w:t>
            </w:r>
          </w:p>
        </w:tc>
        <w:tc>
          <w:tcPr>
            <w:tcW w:w="1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1,629</w:t>
            </w:r>
          </w:p>
        </w:tc>
        <w:tc>
          <w:tcPr>
            <w:tcW w:w="100" w:type="dxa"/>
            <w:vAlign w:val="bottom"/>
          </w:tcPr>
          <w:p>
            <w:pPr>
              <w:spacing w:after="0"/>
              <w:rPr>
                <w:sz w:val="18"/>
                <w:szCs w:val="18"/>
                <w:color w:val="auto"/>
              </w:rPr>
            </w:pP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77,220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-2978785</wp:posOffset>
            </wp:positionH>
            <wp:positionV relativeFrom="paragraph">
              <wp:posOffset>-445135</wp:posOffset>
            </wp:positionV>
            <wp:extent cx="6772275" cy="137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772275" cy="13716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-161925</wp:posOffset>
            </wp:positionV>
            <wp:extent cx="6772275" cy="1625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772275" cy="162560"/>
                    </a:xfrm>
                    <a:prstGeom prst="rect">
                      <a:avLst/>
                    </a:prstGeom>
                    <a:noFill/>
                  </pic:spPr>
                </pic:pic>
              </a:graphicData>
            </a:graphic>
          </wp:anchor>
        </w:drawing>
      </w:r>
    </w:p>
    <w:p>
      <w:pPr>
        <w:spacing w:after="0" w:line="585" w:lineRule="exact"/>
        <w:rPr>
          <w:sz w:val="20"/>
          <w:szCs w:val="20"/>
          <w:color w:val="auto"/>
        </w:rPr>
      </w:pPr>
    </w:p>
    <w:p>
      <w:pPr>
        <w:sectPr>
          <w:pgSz w:w="11900" w:h="16838" w:orient="portrait"/>
          <w:cols w:equalWidth="0" w:num="2">
            <w:col w:w="3980" w:space="720"/>
            <w:col w:w="6540"/>
          </w:cols>
          <w:pgMar w:left="320" w:top="584" w:right="339" w:bottom="1440" w:gutter="0" w:footer="0" w:header="0"/>
          <w:type w:val="continuous"/>
        </w:sectPr>
      </w:pPr>
    </w:p>
    <w:p>
      <w:pPr>
        <w:spacing w:after="0" w:line="48"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the elimination of sales from our wholesale segment to our Company-owned BHF stores.</w:t>
      </w:r>
    </w:p>
    <w:p>
      <w:pPr>
        <w:spacing w:after="0" w:line="23" w:lineRule="exact"/>
        <w:rPr>
          <w:rFonts w:ascii="Arial" w:cs="Arial" w:eastAsia="Arial" w:hAnsi="Arial"/>
          <w:sz w:val="18"/>
          <w:szCs w:val="18"/>
          <w:color w:val="auto"/>
        </w:rPr>
      </w:pPr>
    </w:p>
    <w:p>
      <w:pPr>
        <w:ind w:left="340" w:right="20" w:hanging="332"/>
        <w:spacing w:after="0" w:line="25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the elimination of purchases by our Company-owned BHF stores from our wholesale segment, as well as the change for the period in the elimination of intercompany profit in ending retail inventory.</w:t>
      </w: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Represents the change for the period in the elimination of intercompany profit in ending retail inventory.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type w:val="continuous"/>
        </w:sectPr>
      </w:pPr>
    </w:p>
    <w:bookmarkStart w:id="30" w:name="page31"/>
    <w:bookmarkEnd w:id="30"/>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Wholesale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wholesale segment for the periods ended May 29, 2021 and May 30, 2020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0" w:type="dxa"/>
            <w:vAlign w:val="bottom"/>
            <w:gridSpan w:val="4"/>
          </w:tcPr>
          <w:p>
            <w:pPr>
              <w:jc w:val="right"/>
              <w:ind w:right="448"/>
              <w:spacing w:after="0"/>
              <w:rPr>
                <w:sz w:val="20"/>
                <w:szCs w:val="20"/>
                <w:color w:val="auto"/>
              </w:rPr>
            </w:pPr>
            <w:r>
              <w:rPr>
                <w:rFonts w:ascii="Arial" w:cs="Arial" w:eastAsia="Arial" w:hAnsi="Arial"/>
                <w:sz w:val="14"/>
                <w:szCs w:val="14"/>
                <w:color w:val="auto"/>
              </w:rPr>
              <w:t>Quarter Ended</w:t>
            </w: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3"/>
          </w:tcPr>
          <w:p>
            <w:pPr>
              <w:jc w:val="right"/>
              <w:ind w:right="660"/>
              <w:spacing w:after="0"/>
              <w:rPr>
                <w:sz w:val="20"/>
                <w:szCs w:val="20"/>
                <w:color w:val="auto"/>
              </w:rPr>
            </w:pPr>
            <w:r>
              <w:rPr>
                <w:rFonts w:ascii="Arial" w:cs="Arial" w:eastAsia="Arial" w:hAnsi="Arial"/>
                <w:sz w:val="14"/>
                <w:szCs w:val="14"/>
                <w:color w:val="auto"/>
              </w:rPr>
              <w:t>Change</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20" w:type="dxa"/>
            <w:vAlign w:val="bottom"/>
            <w:gridSpan w:val="4"/>
          </w:tcPr>
          <w:p>
            <w:pPr>
              <w:jc w:val="right"/>
              <w:ind w:right="308"/>
              <w:spacing w:after="0"/>
              <w:rPr>
                <w:sz w:val="20"/>
                <w:szCs w:val="20"/>
                <w:color w:val="auto"/>
              </w:rPr>
            </w:pPr>
            <w:r>
              <w:rPr>
                <w:rFonts w:ascii="Arial" w:cs="Arial" w:eastAsia="Arial" w:hAnsi="Arial"/>
                <w:sz w:val="14"/>
                <w:szCs w:val="14"/>
                <w:color w:val="auto"/>
              </w:rPr>
              <w:t>Six Months Ended</w:t>
            </w: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3"/>
          </w:tcPr>
          <w:p>
            <w:pPr>
              <w:jc w:val="right"/>
              <w:ind w:right="560"/>
              <w:spacing w:after="0"/>
              <w:rPr>
                <w:sz w:val="20"/>
                <w:szCs w:val="20"/>
                <w:color w:val="auto"/>
              </w:rPr>
            </w:pPr>
            <w:r>
              <w:rPr>
                <w:rFonts w:ascii="Arial" w:cs="Arial" w:eastAsia="Arial" w:hAnsi="Arial"/>
                <w:sz w:val="14"/>
                <w:szCs w:val="14"/>
                <w:color w:val="auto"/>
              </w:rPr>
              <w:t>Change</w:t>
            </w:r>
          </w:p>
        </w:tc>
      </w:tr>
      <w:tr>
        <w:trPr>
          <w:trHeight w:val="142"/>
        </w:trPr>
        <w:tc>
          <w:tcPr>
            <w:tcW w:w="1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gridSpan w:val="3"/>
          </w:tcPr>
          <w:p>
            <w:pPr>
              <w:jc w:val="right"/>
              <w:ind w:right="520"/>
              <w:spacing w:after="0" w:line="142" w:lineRule="exact"/>
              <w:rPr>
                <w:sz w:val="20"/>
                <w:szCs w:val="20"/>
                <w:color w:val="auto"/>
              </w:rPr>
            </w:pPr>
            <w:r>
              <w:rPr>
                <w:rFonts w:ascii="Arial" w:cs="Arial" w:eastAsia="Arial" w:hAnsi="Arial"/>
                <w:sz w:val="14"/>
                <w:szCs w:val="14"/>
                <w:color w:val="auto"/>
              </w:rPr>
              <w:t>May 29, 2021</w:t>
            </w:r>
          </w:p>
        </w:tc>
        <w:tc>
          <w:tcPr>
            <w:tcW w:w="12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2"/>
          </w:tcPr>
          <w:p>
            <w:pPr>
              <w:ind w:left="14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680" w:type="dxa"/>
            <w:vAlign w:val="bottom"/>
            <w:tcBorders>
              <w:top w:val="single" w:sz="8" w:color="auto"/>
            </w:tcBorders>
            <w:gridSpan w:val="2"/>
          </w:tcPr>
          <w:p>
            <w:pPr>
              <w:jc w:val="right"/>
              <w:ind w:right="128"/>
              <w:spacing w:after="0" w:line="142" w:lineRule="exact"/>
              <w:rPr>
                <w:sz w:val="20"/>
                <w:szCs w:val="20"/>
                <w:color w:val="auto"/>
              </w:rPr>
            </w:pPr>
            <w:r>
              <w:rPr>
                <w:rFonts w:ascii="Arial" w:cs="Arial" w:eastAsia="Arial" w:hAnsi="Arial"/>
                <w:sz w:val="14"/>
                <w:szCs w:val="14"/>
                <w:color w:val="auto"/>
              </w:rPr>
              <w:t>Dollars</w:t>
            </w: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480" w:type="dxa"/>
            <w:vAlign w:val="bottom"/>
            <w:tcBorders>
              <w:top w:val="single" w:sz="8" w:color="auto"/>
            </w:tcBorders>
            <w:gridSpan w:val="3"/>
          </w:tcPr>
          <w:p>
            <w:pPr>
              <w:jc w:val="right"/>
              <w:ind w:right="500"/>
              <w:spacing w:after="0" w:line="142" w:lineRule="exact"/>
              <w:rPr>
                <w:sz w:val="20"/>
                <w:szCs w:val="20"/>
                <w:color w:val="auto"/>
              </w:rPr>
            </w:pPr>
            <w:r>
              <w:rPr>
                <w:rFonts w:ascii="Arial" w:cs="Arial" w:eastAsia="Arial" w:hAnsi="Arial"/>
                <w:sz w:val="14"/>
                <w:szCs w:val="14"/>
                <w:color w:val="auto"/>
              </w:rPr>
              <w:t>May 29, 2021</w:t>
            </w:r>
          </w:p>
        </w:tc>
        <w:tc>
          <w:tcPr>
            <w:tcW w:w="12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2"/>
          </w:tcPr>
          <w:p>
            <w:pPr>
              <w:ind w:left="14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680" w:type="dxa"/>
            <w:vAlign w:val="bottom"/>
            <w:tcBorders>
              <w:top w:val="single" w:sz="8" w:color="auto"/>
            </w:tcBorders>
            <w:gridSpan w:val="2"/>
          </w:tcPr>
          <w:p>
            <w:pPr>
              <w:jc w:val="right"/>
              <w:ind w:right="128"/>
              <w:spacing w:after="0" w:line="142" w:lineRule="exact"/>
              <w:rPr>
                <w:sz w:val="20"/>
                <w:szCs w:val="20"/>
                <w:color w:val="auto"/>
              </w:rPr>
            </w:pPr>
            <w:r>
              <w:rPr>
                <w:rFonts w:ascii="Arial" w:cs="Arial" w:eastAsia="Arial" w:hAnsi="Arial"/>
                <w:sz w:val="14"/>
                <w:szCs w:val="14"/>
                <w:color w:val="auto"/>
              </w:rPr>
              <w:t>Dollars</w:t>
            </w: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r>
      <w:tr>
        <w:trPr>
          <w:trHeight w:val="142"/>
        </w:trPr>
        <w:tc>
          <w:tcPr>
            <w:tcW w:w="1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149"/>
        </w:trPr>
        <w:tc>
          <w:tcPr>
            <w:tcW w:w="1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sales</w:t>
            </w: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76,034</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33,128</w:t>
            </w: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w w:val="97"/>
              </w:rPr>
              <w:t>42,906</w:t>
            </w:r>
          </w:p>
        </w:tc>
        <w:tc>
          <w:tcPr>
            <w:tcW w:w="86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129.5%</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w w:val="90"/>
              </w:rPr>
              <w:t>146,298</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98,145</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ind w:right="2"/>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w w:val="93"/>
              </w:rPr>
              <w:t>48,153</w:t>
            </w:r>
          </w:p>
        </w:tc>
        <w:tc>
          <w:tcPr>
            <w:tcW w:w="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49.1%</w:t>
            </w:r>
          </w:p>
        </w:tc>
      </w:tr>
      <w:tr>
        <w:trPr>
          <w:trHeight w:val="20"/>
        </w:trPr>
        <w:tc>
          <w:tcPr>
            <w:tcW w:w="18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r>
      <w:tr>
        <w:trPr>
          <w:trHeight w:val="142"/>
        </w:trPr>
        <w:tc>
          <w:tcPr>
            <w:tcW w:w="1840" w:type="dxa"/>
            <w:vAlign w:val="bottom"/>
          </w:tcPr>
          <w:p>
            <w:pPr>
              <w:spacing w:after="0" w:line="142" w:lineRule="exact"/>
              <w:rPr>
                <w:sz w:val="20"/>
                <w:szCs w:val="20"/>
                <w:color w:val="auto"/>
              </w:rPr>
            </w:pPr>
            <w:r>
              <w:rPr>
                <w:rFonts w:ascii="Arial" w:cs="Arial" w:eastAsia="Arial" w:hAnsi="Arial"/>
                <w:sz w:val="14"/>
                <w:szCs w:val="14"/>
                <w:color w:val="auto"/>
              </w:rPr>
              <w:t>Gross profit*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ind w:right="168"/>
              <w:spacing w:after="0" w:line="142" w:lineRule="exact"/>
              <w:rPr>
                <w:sz w:val="20"/>
                <w:szCs w:val="20"/>
                <w:color w:val="auto"/>
              </w:rPr>
            </w:pPr>
            <w:r>
              <w:rPr>
                <w:rFonts w:ascii="Arial" w:cs="Arial" w:eastAsia="Arial" w:hAnsi="Arial"/>
                <w:sz w:val="14"/>
                <w:szCs w:val="14"/>
                <w:color w:val="auto"/>
              </w:rPr>
              <w:t>25,176</w:t>
            </w: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33.1%</w:t>
            </w:r>
          </w:p>
        </w:tc>
        <w:tc>
          <w:tcPr>
            <w:tcW w:w="120" w:type="dxa"/>
            <w:vAlign w:val="bottom"/>
          </w:tcPr>
          <w:p>
            <w:pPr>
              <w:spacing w:after="0"/>
              <w:rPr>
                <w:sz w:val="12"/>
                <w:szCs w:val="12"/>
                <w:color w:val="auto"/>
              </w:rPr>
            </w:pPr>
          </w:p>
        </w:tc>
        <w:tc>
          <w:tcPr>
            <w:tcW w:w="680" w:type="dxa"/>
            <w:vAlign w:val="bottom"/>
          </w:tcPr>
          <w:p>
            <w:pPr>
              <w:jc w:val="right"/>
              <w:ind w:right="168"/>
              <w:spacing w:after="0" w:line="142" w:lineRule="exact"/>
              <w:rPr>
                <w:sz w:val="20"/>
                <w:szCs w:val="20"/>
                <w:color w:val="auto"/>
              </w:rPr>
            </w:pPr>
            <w:r>
              <w:rPr>
                <w:rFonts w:ascii="Arial" w:cs="Arial" w:eastAsia="Arial" w:hAnsi="Arial"/>
                <w:sz w:val="14"/>
                <w:szCs w:val="14"/>
                <w:color w:val="auto"/>
              </w:rPr>
              <w:t>5,828</w:t>
            </w:r>
          </w:p>
        </w:tc>
        <w:tc>
          <w:tcPr>
            <w:tcW w:w="7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17.6%</w:t>
            </w:r>
          </w:p>
        </w:tc>
        <w:tc>
          <w:tcPr>
            <w:tcW w:w="100" w:type="dxa"/>
            <w:vAlign w:val="bottom"/>
          </w:tcPr>
          <w:p>
            <w:pPr>
              <w:spacing w:after="0"/>
              <w:rPr>
                <w:sz w:val="12"/>
                <w:szCs w:val="12"/>
                <w:color w:val="auto"/>
              </w:rPr>
            </w:pPr>
          </w:p>
        </w:tc>
        <w:tc>
          <w:tcPr>
            <w:tcW w:w="580" w:type="dxa"/>
            <w:vAlign w:val="bottom"/>
          </w:tcPr>
          <w:p>
            <w:pPr>
              <w:jc w:val="right"/>
              <w:ind w:right="68"/>
              <w:spacing w:after="0" w:line="142" w:lineRule="exact"/>
              <w:rPr>
                <w:sz w:val="20"/>
                <w:szCs w:val="20"/>
                <w:color w:val="auto"/>
              </w:rPr>
            </w:pPr>
            <w:r>
              <w:rPr>
                <w:rFonts w:ascii="Arial" w:cs="Arial" w:eastAsia="Arial" w:hAnsi="Arial"/>
                <w:sz w:val="14"/>
                <w:szCs w:val="14"/>
                <w:color w:val="auto"/>
                <w:w w:val="97"/>
              </w:rPr>
              <w:t>19,348</w:t>
            </w:r>
          </w:p>
        </w:tc>
        <w:tc>
          <w:tcPr>
            <w:tcW w:w="86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332.0%</w:t>
            </w:r>
          </w:p>
        </w:tc>
        <w:tc>
          <w:tcPr>
            <w:tcW w:w="100" w:type="dxa"/>
            <w:vAlign w:val="bottom"/>
          </w:tcPr>
          <w:p>
            <w:pPr>
              <w:spacing w:after="0"/>
              <w:rPr>
                <w:sz w:val="12"/>
                <w:szCs w:val="12"/>
                <w:color w:val="auto"/>
              </w:rPr>
            </w:pPr>
          </w:p>
        </w:tc>
        <w:tc>
          <w:tcPr>
            <w:tcW w:w="660" w:type="dxa"/>
            <w:vAlign w:val="bottom"/>
          </w:tcPr>
          <w:p>
            <w:pPr>
              <w:jc w:val="right"/>
              <w:ind w:right="108"/>
              <w:spacing w:after="0" w:line="142" w:lineRule="exact"/>
              <w:rPr>
                <w:sz w:val="20"/>
                <w:szCs w:val="20"/>
                <w:color w:val="auto"/>
              </w:rPr>
            </w:pPr>
            <w:r>
              <w:rPr>
                <w:rFonts w:ascii="Arial" w:cs="Arial" w:eastAsia="Arial" w:hAnsi="Arial"/>
                <w:sz w:val="14"/>
                <w:szCs w:val="14"/>
                <w:color w:val="auto"/>
              </w:rPr>
              <w:t>48,152</w:t>
            </w:r>
          </w:p>
        </w:tc>
        <w:tc>
          <w:tcPr>
            <w:tcW w:w="82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32.9%</w:t>
            </w:r>
          </w:p>
        </w:tc>
        <w:tc>
          <w:tcPr>
            <w:tcW w:w="120" w:type="dxa"/>
            <w:vAlign w:val="bottom"/>
          </w:tcPr>
          <w:p>
            <w:pPr>
              <w:spacing w:after="0"/>
              <w:rPr>
                <w:sz w:val="12"/>
                <w:szCs w:val="12"/>
                <w:color w:val="auto"/>
              </w:rPr>
            </w:pPr>
          </w:p>
        </w:tc>
        <w:tc>
          <w:tcPr>
            <w:tcW w:w="680" w:type="dxa"/>
            <w:vAlign w:val="bottom"/>
          </w:tcPr>
          <w:p>
            <w:pPr>
              <w:jc w:val="right"/>
              <w:ind w:right="168"/>
              <w:spacing w:after="0" w:line="142" w:lineRule="exact"/>
              <w:rPr>
                <w:sz w:val="20"/>
                <w:szCs w:val="20"/>
                <w:color w:val="auto"/>
              </w:rPr>
            </w:pPr>
            <w:r>
              <w:rPr>
                <w:rFonts w:ascii="Arial" w:cs="Arial" w:eastAsia="Arial" w:hAnsi="Arial"/>
                <w:sz w:val="14"/>
                <w:szCs w:val="14"/>
                <w:color w:val="auto"/>
                <w:w w:val="97"/>
              </w:rPr>
              <w:t>26,968</w:t>
            </w:r>
          </w:p>
        </w:tc>
        <w:tc>
          <w:tcPr>
            <w:tcW w:w="7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27.5%</w:t>
            </w:r>
          </w:p>
        </w:tc>
        <w:tc>
          <w:tcPr>
            <w:tcW w:w="120" w:type="dxa"/>
            <w:vAlign w:val="bottom"/>
          </w:tcPr>
          <w:p>
            <w:pPr>
              <w:spacing w:after="0"/>
              <w:rPr>
                <w:sz w:val="12"/>
                <w:szCs w:val="12"/>
                <w:color w:val="auto"/>
              </w:rPr>
            </w:pPr>
          </w:p>
        </w:tc>
        <w:tc>
          <w:tcPr>
            <w:tcW w:w="560" w:type="dxa"/>
            <w:vAlign w:val="bottom"/>
          </w:tcPr>
          <w:p>
            <w:pPr>
              <w:jc w:val="right"/>
              <w:ind w:right="68"/>
              <w:spacing w:after="0" w:line="142" w:lineRule="exact"/>
              <w:rPr>
                <w:sz w:val="20"/>
                <w:szCs w:val="20"/>
                <w:color w:val="auto"/>
              </w:rPr>
            </w:pPr>
            <w:r>
              <w:rPr>
                <w:rFonts w:ascii="Arial" w:cs="Arial" w:eastAsia="Arial" w:hAnsi="Arial"/>
                <w:sz w:val="14"/>
                <w:szCs w:val="14"/>
                <w:color w:val="auto"/>
                <w:w w:val="93"/>
              </w:rPr>
              <w:t>21,184</w:t>
            </w:r>
          </w:p>
        </w:tc>
        <w:tc>
          <w:tcPr>
            <w:tcW w:w="76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78.6%</w:t>
            </w:r>
          </w:p>
        </w:tc>
      </w:tr>
      <w:tr>
        <w:trPr>
          <w:trHeight w:val="148"/>
        </w:trPr>
        <w:tc>
          <w:tcPr>
            <w:tcW w:w="18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SG&amp;A expenses</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19,817</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26.1%</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13,209</w:t>
            </w: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39.9%</w:t>
            </w: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6,608</w:t>
            </w:r>
          </w:p>
        </w:tc>
        <w:tc>
          <w:tcPr>
            <w:tcW w:w="86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37,996</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26.0%</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31,636</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32.2%</w:t>
            </w: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6,360</w:t>
            </w:r>
          </w:p>
        </w:tc>
        <w:tc>
          <w:tcPr>
            <w:tcW w:w="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20.1%</w:t>
            </w:r>
          </w:p>
        </w:tc>
      </w:tr>
      <w:tr>
        <w:trPr>
          <w:trHeight w:val="142"/>
        </w:trPr>
        <w:tc>
          <w:tcPr>
            <w:tcW w:w="1840" w:type="dxa"/>
            <w:vAlign w:val="bottom"/>
            <w:tcBorders>
              <w:top w:val="single" w:sz="8" w:color="CCEEFF"/>
            </w:tcBorders>
          </w:tcPr>
          <w:p>
            <w:pPr>
              <w:spacing w:after="0"/>
              <w:rPr>
                <w:sz w:val="12"/>
                <w:szCs w:val="12"/>
                <w:color w:val="auto"/>
              </w:rPr>
            </w:pPr>
          </w:p>
        </w:tc>
        <w:tc>
          <w:tcPr>
            <w:tcW w:w="10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24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Borders>
              <w:top w:val="single" w:sz="8" w:color="CCEEFF"/>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220" w:type="dxa"/>
            <w:vAlign w:val="bottom"/>
            <w:tcBorders>
              <w:top w:val="single" w:sz="8" w:color="CCEEFF"/>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2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r>
      <w:tr>
        <w:trPr>
          <w:trHeight w:val="168"/>
        </w:trPr>
        <w:tc>
          <w:tcPr>
            <w:tcW w:w="184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w w:val="98"/>
              </w:rPr>
              <w:t>Income (loss) from operations</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168"/>
              <w:spacing w:after="0" w:line="129" w:lineRule="exact"/>
              <w:rPr>
                <w:sz w:val="20"/>
                <w:szCs w:val="20"/>
                <w:color w:val="auto"/>
              </w:rPr>
            </w:pPr>
            <w:r>
              <w:rPr>
                <w:rFonts w:ascii="Arial" w:cs="Arial" w:eastAsia="Arial" w:hAnsi="Arial"/>
                <w:sz w:val="14"/>
                <w:szCs w:val="14"/>
                <w:color w:val="auto"/>
              </w:rPr>
              <w:t>5,359</w:t>
            </w:r>
          </w:p>
        </w:tc>
        <w:tc>
          <w:tcPr>
            <w:tcW w:w="800" w:type="dxa"/>
            <w:vAlign w:val="bottom"/>
            <w:tcBorders>
              <w:right w:val="single" w:sz="8" w:color="CCEEFF"/>
            </w:tcBorders>
            <w:gridSpan w:val="2"/>
            <w:shd w:val="clear" w:color="auto" w:fill="CCEEFF"/>
          </w:tcPr>
          <w:p>
            <w:pPr>
              <w:jc w:val="right"/>
              <w:ind w:right="120"/>
              <w:spacing w:after="0" w:line="129" w:lineRule="exact"/>
              <w:rPr>
                <w:sz w:val="20"/>
                <w:szCs w:val="20"/>
                <w:color w:val="auto"/>
              </w:rPr>
            </w:pPr>
            <w:r>
              <w:rPr>
                <w:rFonts w:ascii="Arial" w:cs="Arial" w:eastAsia="Arial" w:hAnsi="Arial"/>
                <w:sz w:val="14"/>
                <w:szCs w:val="14"/>
                <w:color w:val="auto"/>
              </w:rPr>
              <w:t>7.0%</w:t>
            </w: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128"/>
              <w:spacing w:after="0" w:line="129" w:lineRule="exact"/>
              <w:rPr>
                <w:sz w:val="20"/>
                <w:szCs w:val="20"/>
                <w:color w:val="auto"/>
              </w:rPr>
            </w:pPr>
            <w:r>
              <w:rPr>
                <w:rFonts w:ascii="Arial" w:cs="Arial" w:eastAsia="Arial" w:hAnsi="Arial"/>
                <w:sz w:val="14"/>
                <w:szCs w:val="14"/>
                <w:color w:val="auto"/>
              </w:rPr>
              <w:t>(7,381)</w:t>
            </w:r>
          </w:p>
        </w:tc>
        <w:tc>
          <w:tcPr>
            <w:tcW w:w="760" w:type="dxa"/>
            <w:vAlign w:val="bottom"/>
            <w:gridSpan w:val="2"/>
            <w:shd w:val="clear" w:color="auto" w:fill="CCEEFF"/>
          </w:tcPr>
          <w:p>
            <w:pPr>
              <w:jc w:val="right"/>
              <w:ind w:right="120"/>
              <w:spacing w:after="0" w:line="129" w:lineRule="exact"/>
              <w:rPr>
                <w:sz w:val="20"/>
                <w:szCs w:val="20"/>
                <w:color w:val="auto"/>
              </w:rPr>
            </w:pPr>
            <w:r>
              <w:rPr>
                <w:rFonts w:ascii="Arial" w:cs="Arial" w:eastAsia="Arial" w:hAnsi="Arial"/>
                <w:sz w:val="14"/>
                <w:szCs w:val="14"/>
                <w:color w:val="auto"/>
              </w:rPr>
              <w:t>-22.3%</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ind w:right="68"/>
              <w:spacing w:after="0" w:line="129" w:lineRule="exact"/>
              <w:rPr>
                <w:sz w:val="20"/>
                <w:szCs w:val="20"/>
                <w:color w:val="auto"/>
              </w:rPr>
            </w:pPr>
            <w:r>
              <w:rPr>
                <w:rFonts w:ascii="Arial" w:cs="Arial" w:eastAsia="Arial" w:hAnsi="Arial"/>
                <w:sz w:val="14"/>
                <w:szCs w:val="14"/>
                <w:color w:val="auto"/>
                <w:w w:val="97"/>
              </w:rPr>
              <w:t>12,740</w:t>
            </w:r>
          </w:p>
        </w:tc>
        <w:tc>
          <w:tcPr>
            <w:tcW w:w="64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N/M</w:t>
            </w:r>
          </w:p>
        </w:tc>
        <w:tc>
          <w:tcPr>
            <w:tcW w:w="22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08"/>
              <w:spacing w:after="0" w:line="129" w:lineRule="exact"/>
              <w:rPr>
                <w:sz w:val="20"/>
                <w:szCs w:val="20"/>
                <w:color w:val="auto"/>
              </w:rPr>
            </w:pPr>
            <w:r>
              <w:rPr>
                <w:rFonts w:ascii="Arial" w:cs="Arial" w:eastAsia="Arial" w:hAnsi="Arial"/>
                <w:sz w:val="14"/>
                <w:szCs w:val="14"/>
                <w:color w:val="auto"/>
              </w:rPr>
              <w:t>10,156</w:t>
            </w:r>
          </w:p>
        </w:tc>
        <w:tc>
          <w:tcPr>
            <w:tcW w:w="820" w:type="dxa"/>
            <w:vAlign w:val="bottom"/>
            <w:gridSpan w:val="2"/>
            <w:shd w:val="clear" w:color="auto" w:fill="CCEEFF"/>
          </w:tcPr>
          <w:p>
            <w:pPr>
              <w:jc w:val="right"/>
              <w:ind w:right="100"/>
              <w:spacing w:after="0" w:line="129" w:lineRule="exact"/>
              <w:rPr>
                <w:sz w:val="20"/>
                <w:szCs w:val="20"/>
                <w:color w:val="auto"/>
              </w:rPr>
            </w:pPr>
            <w:r>
              <w:rPr>
                <w:rFonts w:ascii="Arial" w:cs="Arial" w:eastAsia="Arial" w:hAnsi="Arial"/>
                <w:sz w:val="14"/>
                <w:szCs w:val="14"/>
                <w:color w:val="auto"/>
              </w:rPr>
              <w:t>6.9%</w:t>
            </w: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128"/>
              <w:spacing w:after="0" w:line="129" w:lineRule="exact"/>
              <w:rPr>
                <w:sz w:val="20"/>
                <w:szCs w:val="20"/>
                <w:color w:val="auto"/>
              </w:rPr>
            </w:pPr>
            <w:r>
              <w:rPr>
                <w:rFonts w:ascii="Arial" w:cs="Arial" w:eastAsia="Arial" w:hAnsi="Arial"/>
                <w:sz w:val="14"/>
                <w:szCs w:val="14"/>
                <w:color w:val="auto"/>
              </w:rPr>
              <w:t>(4,668)</w:t>
            </w:r>
          </w:p>
        </w:tc>
        <w:tc>
          <w:tcPr>
            <w:tcW w:w="760" w:type="dxa"/>
            <w:vAlign w:val="bottom"/>
            <w:tcBorders>
              <w:right w:val="single" w:sz="8" w:color="CCEEFF"/>
            </w:tcBorders>
            <w:gridSpan w:val="2"/>
            <w:shd w:val="clear" w:color="auto" w:fill="CCEEFF"/>
          </w:tcPr>
          <w:p>
            <w:pPr>
              <w:jc w:val="right"/>
              <w:ind w:right="120"/>
              <w:spacing w:after="0" w:line="129" w:lineRule="exact"/>
              <w:rPr>
                <w:sz w:val="20"/>
                <w:szCs w:val="20"/>
                <w:color w:val="auto"/>
              </w:rPr>
            </w:pPr>
            <w:r>
              <w:rPr>
                <w:rFonts w:ascii="Arial" w:cs="Arial" w:eastAsia="Arial" w:hAnsi="Arial"/>
                <w:sz w:val="14"/>
                <w:szCs w:val="14"/>
                <w:color w:val="auto"/>
              </w:rPr>
              <w:t>-4.8%</w:t>
            </w:r>
          </w:p>
        </w:tc>
        <w:tc>
          <w:tcPr>
            <w:tcW w:w="120" w:type="dxa"/>
            <w:vAlign w:val="bottom"/>
            <w:shd w:val="clear" w:color="auto" w:fill="CCEEFF"/>
          </w:tcPr>
          <w:p>
            <w:pPr>
              <w:jc w:val="right"/>
              <w:ind w:right="2"/>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ind w:right="68"/>
              <w:spacing w:after="0" w:line="129" w:lineRule="exact"/>
              <w:rPr>
                <w:sz w:val="20"/>
                <w:szCs w:val="20"/>
                <w:color w:val="auto"/>
              </w:rPr>
            </w:pPr>
            <w:r>
              <w:rPr>
                <w:rFonts w:ascii="Arial" w:cs="Arial" w:eastAsia="Arial" w:hAnsi="Arial"/>
                <w:sz w:val="14"/>
                <w:szCs w:val="14"/>
                <w:color w:val="auto"/>
                <w:w w:val="93"/>
              </w:rPr>
              <w:t>14,824</w:t>
            </w:r>
          </w:p>
        </w:tc>
        <w:tc>
          <w:tcPr>
            <w:tcW w:w="64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N/M</w:t>
            </w:r>
          </w:p>
        </w:tc>
        <w:tc>
          <w:tcPr>
            <w:tcW w:w="120" w:type="dxa"/>
            <w:vAlign w:val="bottom"/>
            <w:shd w:val="clear" w:color="auto" w:fill="CCEEFF"/>
          </w:tcPr>
          <w:p>
            <w:pPr>
              <w:spacing w:after="0"/>
              <w:rPr>
                <w:sz w:val="14"/>
                <w:szCs w:val="14"/>
                <w:color w:val="auto"/>
              </w:rPr>
            </w:pPr>
          </w:p>
        </w:tc>
      </w:tr>
      <w:tr>
        <w:trPr>
          <w:trHeight w:val="20"/>
        </w:trPr>
        <w:tc>
          <w:tcPr>
            <w:tcW w:w="18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ind w:left="660" w:right="20"/>
        <w:spacing w:after="0" w:line="308" w:lineRule="auto"/>
        <w:rPr>
          <w:sz w:val="20"/>
          <w:szCs w:val="20"/>
          <w:color w:val="auto"/>
        </w:rPr>
      </w:pPr>
      <w:r>
        <w:rPr>
          <w:rFonts w:ascii="Arial" w:cs="Arial" w:eastAsia="Arial" w:hAnsi="Arial"/>
          <w:sz w:val="17"/>
          <w:szCs w:val="17"/>
          <w:color w:val="auto"/>
        </w:rPr>
        <w:t>*Gross profit at the segment level is considered a Non-GAAP financial measure due to the included effects of intercompany transactions. Refer to the reconciliation of gross profit by segment to consolidated gross profit presented under Non-GAAP Financial Information above.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Wholesale sales by major product category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2"/>
          </w:tcPr>
          <w:p>
            <w:pPr>
              <w:jc w:val="center"/>
              <w:ind w:left="88"/>
              <w:spacing w:after="0"/>
              <w:rPr>
                <w:sz w:val="20"/>
                <w:szCs w:val="20"/>
                <w:color w:val="auto"/>
              </w:rPr>
            </w:pPr>
            <w:r>
              <w:rPr>
                <w:rFonts w:ascii="Arial" w:cs="Arial" w:eastAsia="Arial" w:hAnsi="Arial"/>
                <w:sz w:val="14"/>
                <w:szCs w:val="14"/>
                <w:color w:val="auto"/>
                <w:w w:val="93"/>
              </w:rPr>
              <w:t>Quarter Ended</w:t>
            </w:r>
          </w:p>
        </w:tc>
        <w:tc>
          <w:tcPr>
            <w:tcW w:w="5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1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color w:val="auto"/>
              </w:rPr>
              <w:t>May 29, 2021</w:t>
            </w:r>
          </w:p>
        </w:tc>
        <w:tc>
          <w:tcPr>
            <w:tcW w:w="9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May 30, 2020</w:t>
            </w:r>
          </w:p>
        </w:tc>
        <w:tc>
          <w:tcPr>
            <w:tcW w:w="9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gridSpan w:val="2"/>
          </w:tcPr>
          <w:p>
            <w:pPr>
              <w:ind w:left="380"/>
              <w:spacing w:after="0" w:line="142" w:lineRule="exact"/>
              <w:rPr>
                <w:sz w:val="20"/>
                <w:szCs w:val="20"/>
                <w:color w:val="auto"/>
              </w:rPr>
            </w:pPr>
            <w:r>
              <w:rPr>
                <w:rFonts w:ascii="Arial" w:cs="Arial" w:eastAsia="Arial" w:hAnsi="Arial"/>
                <w:sz w:val="14"/>
                <w:szCs w:val="14"/>
                <w:color w:val="auto"/>
              </w:rPr>
              <w:t>Total Change</w:t>
            </w:r>
          </w:p>
        </w:tc>
        <w:tc>
          <w:tcPr>
            <w:tcW w:w="120" w:type="dxa"/>
            <w:vAlign w:val="bottom"/>
          </w:tcPr>
          <w:p>
            <w:pPr>
              <w:spacing w:after="0"/>
              <w:rPr>
                <w:sz w:val="12"/>
                <w:szCs w:val="12"/>
                <w:color w:val="auto"/>
              </w:rPr>
            </w:pPr>
          </w:p>
        </w:tc>
      </w:tr>
      <w:tr>
        <w:trPr>
          <w:trHeight w:val="142"/>
        </w:trPr>
        <w:tc>
          <w:tcPr>
            <w:tcW w:w="1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color w:val="auto"/>
                <w:w w:val="97"/>
              </w:rPr>
              <w:t>External</w:t>
            </w:r>
          </w:p>
        </w:tc>
        <w:tc>
          <w:tcPr>
            <w:tcW w:w="1060" w:type="dxa"/>
            <w:vAlign w:val="bottom"/>
            <w:tcBorders>
              <w:bottom w:val="single" w:sz="8" w:color="auto"/>
            </w:tcBorders>
            <w:gridSpan w:val="3"/>
          </w:tcPr>
          <w:p>
            <w:pPr>
              <w:ind w:left="140"/>
              <w:spacing w:after="0" w:line="142" w:lineRule="exact"/>
              <w:rPr>
                <w:sz w:val="20"/>
                <w:szCs w:val="20"/>
                <w:color w:val="auto"/>
              </w:rPr>
            </w:pPr>
            <w:r>
              <w:rPr>
                <w:rFonts w:ascii="Arial" w:cs="Arial" w:eastAsia="Arial" w:hAnsi="Arial"/>
                <w:sz w:val="14"/>
                <w:szCs w:val="14"/>
                <w:color w:val="auto"/>
              </w:rPr>
              <w:t>Intercompany</w:t>
            </w:r>
          </w:p>
        </w:tc>
        <w:tc>
          <w:tcPr>
            <w:tcW w:w="12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148"/>
              <w:spacing w:after="0" w:line="142" w:lineRule="exact"/>
              <w:rPr>
                <w:sz w:val="20"/>
                <w:szCs w:val="20"/>
                <w:color w:val="auto"/>
              </w:rPr>
            </w:pPr>
            <w:r>
              <w:rPr>
                <w:rFonts w:ascii="Arial" w:cs="Arial" w:eastAsia="Arial" w:hAnsi="Arial"/>
                <w:sz w:val="14"/>
                <w:szCs w:val="14"/>
                <w:color w:val="auto"/>
              </w:rPr>
              <w:t>Total</w:t>
            </w: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color w:val="auto"/>
                <w:w w:val="97"/>
              </w:rPr>
              <w:t>External</w:t>
            </w:r>
          </w:p>
        </w:tc>
        <w:tc>
          <w:tcPr>
            <w:tcW w:w="1020" w:type="dxa"/>
            <w:vAlign w:val="bottom"/>
            <w:tcBorders>
              <w:bottom w:val="single" w:sz="8" w:color="auto"/>
            </w:tcBorders>
            <w:gridSpan w:val="2"/>
          </w:tcPr>
          <w:p>
            <w:pPr>
              <w:ind w:left="100"/>
              <w:spacing w:after="0" w:line="142" w:lineRule="exact"/>
              <w:rPr>
                <w:sz w:val="20"/>
                <w:szCs w:val="20"/>
                <w:color w:val="auto"/>
              </w:rPr>
            </w:pPr>
            <w:r>
              <w:rPr>
                <w:rFonts w:ascii="Arial" w:cs="Arial" w:eastAsia="Arial" w:hAnsi="Arial"/>
                <w:sz w:val="14"/>
                <w:szCs w:val="14"/>
                <w:color w:val="auto"/>
              </w:rPr>
              <w:t>Intercompany</w:t>
            </w:r>
          </w:p>
        </w:tc>
        <w:tc>
          <w:tcPr>
            <w:tcW w:w="42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color w:val="auto"/>
              </w:rPr>
              <w:t>Total</w:t>
            </w: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88"/>
              <w:spacing w:after="0" w:line="142" w:lineRule="exact"/>
              <w:rPr>
                <w:sz w:val="20"/>
                <w:szCs w:val="20"/>
                <w:color w:val="auto"/>
              </w:rPr>
            </w:pPr>
            <w:r>
              <w:rPr>
                <w:rFonts w:ascii="Arial" w:cs="Arial" w:eastAsia="Arial" w:hAnsi="Arial"/>
                <w:sz w:val="14"/>
                <w:szCs w:val="14"/>
                <w:color w:val="auto"/>
              </w:rPr>
              <w:t>Dollars</w:t>
            </w:r>
          </w:p>
        </w:tc>
        <w:tc>
          <w:tcPr>
            <w:tcW w:w="800" w:type="dxa"/>
            <w:vAlign w:val="bottom"/>
            <w:tcBorders>
              <w:bottom w:val="single" w:sz="8" w:color="auto"/>
            </w:tcBorders>
          </w:tcPr>
          <w:p>
            <w:pPr>
              <w:ind w:left="200"/>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r>
      <w:tr>
        <w:trPr>
          <w:trHeight w:val="123"/>
        </w:trPr>
        <w:tc>
          <w:tcPr>
            <w:tcW w:w="1180" w:type="dxa"/>
            <w:vAlign w:val="bottom"/>
            <w:shd w:val="clear" w:color="auto" w:fill="CCEEFF"/>
          </w:tcPr>
          <w:p>
            <w:pPr>
              <w:spacing w:after="0" w:line="123" w:lineRule="exact"/>
              <w:rPr>
                <w:sz w:val="20"/>
                <w:szCs w:val="20"/>
                <w:color w:val="auto"/>
              </w:rPr>
            </w:pPr>
            <w:r>
              <w:rPr>
                <w:rFonts w:ascii="Arial" w:cs="Arial" w:eastAsia="Arial" w:hAnsi="Arial"/>
                <w:sz w:val="14"/>
                <w:szCs w:val="14"/>
                <w:color w:val="auto"/>
              </w:rPr>
              <w:t>Bassett Custom</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3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96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9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20" w:type="dxa"/>
            <w:vAlign w:val="bottom"/>
            <w:tcBorders>
              <w:right w:val="single" w:sz="8" w:color="CCEEFF"/>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r>
      <w:tr>
        <w:trPr>
          <w:trHeight w:val="167"/>
        </w:trPr>
        <w:tc>
          <w:tcPr>
            <w:tcW w:w="1180" w:type="dxa"/>
            <w:vAlign w:val="bottom"/>
            <w:shd w:val="clear" w:color="auto" w:fill="CCEEFF"/>
          </w:tcPr>
          <w:p>
            <w:pPr>
              <w:spacing w:after="0"/>
              <w:rPr>
                <w:sz w:val="20"/>
                <w:szCs w:val="20"/>
                <w:color w:val="auto"/>
              </w:rPr>
            </w:pPr>
            <w:r>
              <w:rPr>
                <w:rFonts w:ascii="Arial" w:cs="Arial" w:eastAsia="Arial" w:hAnsi="Arial"/>
                <w:sz w:val="14"/>
                <w:szCs w:val="14"/>
                <w:color w:val="auto"/>
              </w:rPr>
              <w:t>Upholstery</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25,960</w:t>
            </w:r>
          </w:p>
        </w:tc>
        <w:tc>
          <w:tcPr>
            <w:tcW w:w="3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17,070</w:t>
            </w:r>
          </w:p>
        </w:tc>
        <w:tc>
          <w:tcPr>
            <w:tcW w:w="420" w:type="dxa"/>
            <w:vAlign w:val="bottom"/>
            <w:gridSpan w:val="2"/>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43,030</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56.6%</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11,728</w:t>
            </w:r>
          </w:p>
        </w:tc>
        <w:tc>
          <w:tcPr>
            <w:tcW w:w="4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7,506</w:t>
            </w:r>
          </w:p>
        </w:tc>
        <w:tc>
          <w:tcPr>
            <w:tcW w:w="4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w w:val="97"/>
              </w:rPr>
              <w:t>19,234</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58.1%</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23,796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123.7%</w:t>
            </w:r>
          </w:p>
        </w:tc>
      </w:tr>
      <w:tr>
        <w:trPr>
          <w:trHeight w:val="148"/>
        </w:trPr>
        <w:tc>
          <w:tcPr>
            <w:tcW w:w="1180" w:type="dxa"/>
            <w:vAlign w:val="bottom"/>
          </w:tcPr>
          <w:p>
            <w:pPr>
              <w:spacing w:after="0" w:line="149" w:lineRule="exact"/>
              <w:rPr>
                <w:sz w:val="20"/>
                <w:szCs w:val="20"/>
                <w:color w:val="auto"/>
              </w:rPr>
            </w:pPr>
            <w:r>
              <w:rPr>
                <w:rFonts w:ascii="Arial" w:cs="Arial" w:eastAsia="Arial" w:hAnsi="Arial"/>
                <w:sz w:val="14"/>
                <w:szCs w:val="14"/>
                <w:color w:val="auto"/>
              </w:rPr>
              <w:t>Bassett Leather</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jc w:val="right"/>
              <w:ind w:right="48"/>
              <w:spacing w:after="0" w:line="149" w:lineRule="exact"/>
              <w:rPr>
                <w:sz w:val="20"/>
                <w:szCs w:val="20"/>
                <w:color w:val="auto"/>
              </w:rPr>
            </w:pPr>
            <w:r>
              <w:rPr>
                <w:rFonts w:ascii="Arial" w:cs="Arial" w:eastAsia="Arial" w:hAnsi="Arial"/>
                <w:sz w:val="14"/>
                <w:szCs w:val="14"/>
                <w:color w:val="auto"/>
              </w:rPr>
              <w:t>10,201</w:t>
            </w:r>
          </w:p>
        </w:tc>
        <w:tc>
          <w:tcPr>
            <w:tcW w:w="3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16</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10,217</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13.4%</w:t>
            </w:r>
          </w:p>
        </w:tc>
        <w:tc>
          <w:tcPr>
            <w:tcW w:w="100" w:type="dxa"/>
            <w:vAlign w:val="bottom"/>
          </w:tcPr>
          <w:p>
            <w:pPr>
              <w:spacing w:after="0"/>
              <w:rPr>
                <w:sz w:val="12"/>
                <w:szCs w:val="12"/>
                <w:color w:val="auto"/>
              </w:rPr>
            </w:pPr>
          </w:p>
        </w:tc>
        <w:tc>
          <w:tcPr>
            <w:tcW w:w="780" w:type="dxa"/>
            <w:vAlign w:val="bottom"/>
          </w:tcPr>
          <w:p>
            <w:pPr>
              <w:jc w:val="right"/>
              <w:ind w:right="28"/>
              <w:spacing w:after="0" w:line="149" w:lineRule="exact"/>
              <w:rPr>
                <w:sz w:val="20"/>
                <w:szCs w:val="20"/>
                <w:color w:val="auto"/>
              </w:rPr>
            </w:pPr>
            <w:r>
              <w:rPr>
                <w:rFonts w:ascii="Arial" w:cs="Arial" w:eastAsia="Arial" w:hAnsi="Arial"/>
                <w:sz w:val="14"/>
                <w:szCs w:val="14"/>
                <w:color w:val="auto"/>
              </w:rPr>
              <w:t>2,881</w:t>
            </w:r>
          </w:p>
        </w:tc>
        <w:tc>
          <w:tcPr>
            <w:tcW w:w="480" w:type="dxa"/>
            <w:vAlign w:val="bottom"/>
          </w:tcPr>
          <w:p>
            <w:pPr>
              <w:spacing w:after="0"/>
              <w:rPr>
                <w:sz w:val="12"/>
                <w:szCs w:val="12"/>
                <w:color w:val="auto"/>
              </w:rPr>
            </w:pPr>
          </w:p>
        </w:tc>
        <w:tc>
          <w:tcPr>
            <w:tcW w:w="540" w:type="dxa"/>
            <w:vAlign w:val="bottom"/>
          </w:tcPr>
          <w:p>
            <w:pPr>
              <w:jc w:val="right"/>
              <w:ind w:right="48"/>
              <w:spacing w:after="0" w:line="149" w:lineRule="exact"/>
              <w:rPr>
                <w:sz w:val="20"/>
                <w:szCs w:val="20"/>
                <w:color w:val="auto"/>
              </w:rPr>
            </w:pPr>
            <w:r>
              <w:rPr>
                <w:rFonts w:ascii="Arial" w:cs="Arial" w:eastAsia="Arial" w:hAnsi="Arial"/>
                <w:sz w:val="14"/>
                <w:szCs w:val="14"/>
                <w:color w:val="auto"/>
              </w:rPr>
              <w:t>174</w:t>
            </w:r>
          </w:p>
        </w:tc>
        <w:tc>
          <w:tcPr>
            <w:tcW w:w="420" w:type="dxa"/>
            <w:vAlign w:val="bottom"/>
          </w:tcPr>
          <w:p>
            <w:pPr>
              <w:spacing w:after="0"/>
              <w:rPr>
                <w:sz w:val="12"/>
                <w:szCs w:val="12"/>
                <w:color w:val="auto"/>
              </w:rPr>
            </w:pPr>
          </w:p>
        </w:tc>
        <w:tc>
          <w:tcPr>
            <w:tcW w:w="90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3,055</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9.2%</w:t>
            </w:r>
          </w:p>
        </w:tc>
        <w:tc>
          <w:tcPr>
            <w:tcW w:w="120" w:type="dxa"/>
            <w:vAlign w:val="bottom"/>
          </w:tcPr>
          <w:p>
            <w:pPr>
              <w:spacing w:after="0"/>
              <w:rPr>
                <w:sz w:val="12"/>
                <w:szCs w:val="12"/>
                <w:color w:val="auto"/>
              </w:rPr>
            </w:pPr>
          </w:p>
        </w:tc>
        <w:tc>
          <w:tcPr>
            <w:tcW w:w="8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7,162</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234.4%</w:t>
            </w:r>
          </w:p>
        </w:tc>
      </w:tr>
      <w:tr>
        <w:trPr>
          <w:trHeight w:val="130"/>
        </w:trPr>
        <w:tc>
          <w:tcPr>
            <w:tcW w:w="11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Bassett Custom</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r>
      <w:tr>
        <w:trPr>
          <w:trHeight w:val="167"/>
        </w:trPr>
        <w:tc>
          <w:tcPr>
            <w:tcW w:w="1180" w:type="dxa"/>
            <w:vAlign w:val="bottom"/>
            <w:shd w:val="clear" w:color="auto" w:fill="CCEEFF"/>
          </w:tcPr>
          <w:p>
            <w:pPr>
              <w:spacing w:after="0"/>
              <w:rPr>
                <w:sz w:val="20"/>
                <w:szCs w:val="20"/>
                <w:color w:val="auto"/>
              </w:rPr>
            </w:pPr>
            <w:r>
              <w:rPr>
                <w:rFonts w:ascii="Arial" w:cs="Arial" w:eastAsia="Arial" w:hAnsi="Arial"/>
                <w:sz w:val="14"/>
                <w:szCs w:val="14"/>
                <w:color w:val="auto"/>
              </w:rPr>
              <w:t>Wood</w:t>
            </w: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6,839</w:t>
            </w:r>
          </w:p>
        </w:tc>
        <w:tc>
          <w:tcPr>
            <w:tcW w:w="38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6,461</w:t>
            </w: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6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13,300</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17.5%</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3,053</w:t>
            </w:r>
          </w:p>
        </w:tc>
        <w:tc>
          <w:tcPr>
            <w:tcW w:w="48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2,579</w:t>
            </w:r>
          </w:p>
        </w:tc>
        <w:tc>
          <w:tcPr>
            <w:tcW w:w="420" w:type="dxa"/>
            <w:vAlign w:val="bottom"/>
            <w:shd w:val="clear" w:color="auto" w:fill="CCEEFF"/>
          </w:tcPr>
          <w:p>
            <w:pPr>
              <w:spacing w:after="0"/>
              <w:rPr>
                <w:sz w:val="14"/>
                <w:szCs w:val="14"/>
                <w:color w:val="auto"/>
              </w:rPr>
            </w:pPr>
          </w:p>
        </w:tc>
        <w:tc>
          <w:tcPr>
            <w:tcW w:w="90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5,632</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7,668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136.2%</w:t>
            </w:r>
          </w:p>
        </w:tc>
      </w:tr>
      <w:tr>
        <w:trPr>
          <w:trHeight w:val="149"/>
        </w:trPr>
        <w:tc>
          <w:tcPr>
            <w:tcW w:w="1180" w:type="dxa"/>
            <w:vAlign w:val="bottom"/>
          </w:tcPr>
          <w:p>
            <w:pPr>
              <w:spacing w:after="0" w:line="149" w:lineRule="exact"/>
              <w:rPr>
                <w:sz w:val="20"/>
                <w:szCs w:val="20"/>
                <w:color w:val="auto"/>
              </w:rPr>
            </w:pPr>
            <w:r>
              <w:rPr>
                <w:rFonts w:ascii="Arial" w:cs="Arial" w:eastAsia="Arial" w:hAnsi="Arial"/>
                <w:sz w:val="14"/>
                <w:szCs w:val="14"/>
                <w:color w:val="auto"/>
                <w:w w:val="95"/>
              </w:rPr>
              <w:t>Bassett Casegoods</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jc w:val="right"/>
              <w:ind w:right="48"/>
              <w:spacing w:after="0" w:line="149" w:lineRule="exact"/>
              <w:rPr>
                <w:sz w:val="20"/>
                <w:szCs w:val="20"/>
                <w:color w:val="auto"/>
              </w:rPr>
            </w:pPr>
            <w:r>
              <w:rPr>
                <w:rFonts w:ascii="Arial" w:cs="Arial" w:eastAsia="Arial" w:hAnsi="Arial"/>
                <w:sz w:val="14"/>
                <w:szCs w:val="14"/>
                <w:color w:val="auto"/>
              </w:rPr>
              <w:t>4,514</w:t>
            </w:r>
          </w:p>
        </w:tc>
        <w:tc>
          <w:tcPr>
            <w:tcW w:w="3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4,973</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9,487</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12.5%</w:t>
            </w:r>
          </w:p>
        </w:tc>
        <w:tc>
          <w:tcPr>
            <w:tcW w:w="100" w:type="dxa"/>
            <w:vAlign w:val="bottom"/>
          </w:tcPr>
          <w:p>
            <w:pPr>
              <w:spacing w:after="0"/>
              <w:rPr>
                <w:sz w:val="12"/>
                <w:szCs w:val="12"/>
                <w:color w:val="auto"/>
              </w:rPr>
            </w:pPr>
          </w:p>
        </w:tc>
        <w:tc>
          <w:tcPr>
            <w:tcW w:w="780" w:type="dxa"/>
            <w:vAlign w:val="bottom"/>
          </w:tcPr>
          <w:p>
            <w:pPr>
              <w:jc w:val="right"/>
              <w:ind w:right="28"/>
              <w:spacing w:after="0" w:line="149" w:lineRule="exact"/>
              <w:rPr>
                <w:sz w:val="20"/>
                <w:szCs w:val="20"/>
                <w:color w:val="auto"/>
              </w:rPr>
            </w:pPr>
            <w:r>
              <w:rPr>
                <w:rFonts w:ascii="Arial" w:cs="Arial" w:eastAsia="Arial" w:hAnsi="Arial"/>
                <w:sz w:val="14"/>
                <w:szCs w:val="14"/>
                <w:color w:val="auto"/>
              </w:rPr>
              <w:t>2,167</w:t>
            </w:r>
          </w:p>
        </w:tc>
        <w:tc>
          <w:tcPr>
            <w:tcW w:w="480" w:type="dxa"/>
            <w:vAlign w:val="bottom"/>
          </w:tcPr>
          <w:p>
            <w:pPr>
              <w:spacing w:after="0"/>
              <w:rPr>
                <w:sz w:val="12"/>
                <w:szCs w:val="12"/>
                <w:color w:val="auto"/>
              </w:rPr>
            </w:pPr>
          </w:p>
        </w:tc>
        <w:tc>
          <w:tcPr>
            <w:tcW w:w="540" w:type="dxa"/>
            <w:vAlign w:val="bottom"/>
          </w:tcPr>
          <w:p>
            <w:pPr>
              <w:jc w:val="right"/>
              <w:ind w:right="48"/>
              <w:spacing w:after="0" w:line="149" w:lineRule="exact"/>
              <w:rPr>
                <w:sz w:val="20"/>
                <w:szCs w:val="20"/>
                <w:color w:val="auto"/>
              </w:rPr>
            </w:pPr>
            <w:r>
              <w:rPr>
                <w:rFonts w:ascii="Arial" w:cs="Arial" w:eastAsia="Arial" w:hAnsi="Arial"/>
                <w:sz w:val="14"/>
                <w:szCs w:val="14"/>
                <w:color w:val="auto"/>
              </w:rPr>
              <w:t>3,040</w:t>
            </w:r>
          </w:p>
        </w:tc>
        <w:tc>
          <w:tcPr>
            <w:tcW w:w="420" w:type="dxa"/>
            <w:vAlign w:val="bottom"/>
          </w:tcPr>
          <w:p>
            <w:pPr>
              <w:spacing w:after="0"/>
              <w:rPr>
                <w:sz w:val="12"/>
                <w:szCs w:val="12"/>
                <w:color w:val="auto"/>
              </w:rPr>
            </w:pPr>
          </w:p>
        </w:tc>
        <w:tc>
          <w:tcPr>
            <w:tcW w:w="90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5,207</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15.7%</w:t>
            </w:r>
          </w:p>
        </w:tc>
        <w:tc>
          <w:tcPr>
            <w:tcW w:w="120" w:type="dxa"/>
            <w:vAlign w:val="bottom"/>
          </w:tcPr>
          <w:p>
            <w:pPr>
              <w:spacing w:after="0"/>
              <w:rPr>
                <w:sz w:val="12"/>
                <w:szCs w:val="12"/>
                <w:color w:val="auto"/>
              </w:rPr>
            </w:pPr>
          </w:p>
        </w:tc>
        <w:tc>
          <w:tcPr>
            <w:tcW w:w="8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4,280</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82.2%</w:t>
            </w:r>
          </w:p>
        </w:tc>
      </w:tr>
      <w:tr>
        <w:trPr>
          <w:trHeight w:val="20"/>
        </w:trPr>
        <w:tc>
          <w:tcPr>
            <w:tcW w:w="1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82"/>
        </w:trPr>
        <w:tc>
          <w:tcPr>
            <w:tcW w:w="11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48"/>
              <w:spacing w:after="0" w:line="129" w:lineRule="exact"/>
              <w:rPr>
                <w:sz w:val="20"/>
                <w:szCs w:val="20"/>
                <w:color w:val="auto"/>
              </w:rPr>
            </w:pPr>
            <w:r>
              <w:rPr>
                <w:rFonts w:ascii="Arial" w:cs="Arial" w:eastAsia="Arial" w:hAnsi="Arial"/>
                <w:sz w:val="14"/>
                <w:szCs w:val="14"/>
                <w:color w:val="auto"/>
              </w:rPr>
              <w:t>47,514</w:t>
            </w:r>
          </w:p>
        </w:tc>
        <w:tc>
          <w:tcPr>
            <w:tcW w:w="380" w:type="dxa"/>
            <w:vAlign w:val="bottom"/>
            <w:shd w:val="clear" w:color="auto" w:fill="CCEEFF"/>
          </w:tcPr>
          <w:p>
            <w:pPr>
              <w:ind w:left="120"/>
              <w:spacing w:after="0" w:line="12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120"/>
              <w:spacing w:after="0" w:line="129" w:lineRule="exact"/>
              <w:rPr>
                <w:sz w:val="20"/>
                <w:szCs w:val="20"/>
                <w:color w:val="auto"/>
              </w:rPr>
            </w:pPr>
            <w:r>
              <w:rPr>
                <w:rFonts w:ascii="Arial" w:cs="Arial" w:eastAsia="Arial" w:hAnsi="Arial"/>
                <w:sz w:val="14"/>
                <w:szCs w:val="14"/>
                <w:color w:val="auto"/>
              </w:rPr>
              <w:t>28,520</w:t>
            </w:r>
          </w:p>
        </w:tc>
        <w:tc>
          <w:tcPr>
            <w:tcW w:w="420" w:type="dxa"/>
            <w:vAlign w:val="bottom"/>
            <w:gridSpan w:val="2"/>
            <w:shd w:val="clear" w:color="auto" w:fill="CCEEFF"/>
          </w:tcPr>
          <w:p>
            <w:pPr>
              <w:jc w:val="right"/>
              <w:ind w:right="148"/>
              <w:spacing w:after="0" w:line="129" w:lineRule="exact"/>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388"/>
              <w:spacing w:after="0" w:line="129" w:lineRule="exact"/>
              <w:rPr>
                <w:sz w:val="20"/>
                <w:szCs w:val="20"/>
                <w:color w:val="auto"/>
              </w:rPr>
            </w:pPr>
            <w:r>
              <w:rPr>
                <w:rFonts w:ascii="Arial" w:cs="Arial" w:eastAsia="Arial" w:hAnsi="Arial"/>
                <w:sz w:val="14"/>
                <w:szCs w:val="14"/>
                <w:color w:val="auto"/>
              </w:rPr>
              <w:t>76,034</w:t>
            </w:r>
          </w:p>
        </w:tc>
        <w:tc>
          <w:tcPr>
            <w:tcW w:w="760" w:type="dxa"/>
            <w:vAlign w:val="bottom"/>
            <w:gridSpan w:val="2"/>
            <w:shd w:val="clear" w:color="auto" w:fill="CCEEFF"/>
          </w:tcPr>
          <w:p>
            <w:pPr>
              <w:jc w:val="right"/>
              <w:ind w:right="100"/>
              <w:spacing w:after="0" w:line="12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28"/>
              <w:spacing w:after="0" w:line="129" w:lineRule="exact"/>
              <w:rPr>
                <w:sz w:val="20"/>
                <w:szCs w:val="20"/>
                <w:color w:val="auto"/>
              </w:rPr>
            </w:pPr>
            <w:r>
              <w:rPr>
                <w:rFonts w:ascii="Arial" w:cs="Arial" w:eastAsia="Arial" w:hAnsi="Arial"/>
                <w:sz w:val="14"/>
                <w:szCs w:val="14"/>
                <w:color w:val="auto"/>
              </w:rPr>
              <w:t>19,829</w:t>
            </w:r>
          </w:p>
        </w:tc>
        <w:tc>
          <w:tcPr>
            <w:tcW w:w="480" w:type="dxa"/>
            <w:vAlign w:val="bottom"/>
            <w:shd w:val="clear" w:color="auto" w:fill="CCEEFF"/>
          </w:tcPr>
          <w:p>
            <w:pPr>
              <w:ind w:left="100"/>
              <w:spacing w:after="0" w:line="12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48"/>
              <w:spacing w:after="0" w:line="129" w:lineRule="exact"/>
              <w:rPr>
                <w:sz w:val="20"/>
                <w:szCs w:val="20"/>
                <w:color w:val="auto"/>
              </w:rPr>
            </w:pPr>
            <w:r>
              <w:rPr>
                <w:rFonts w:ascii="Arial" w:cs="Arial" w:eastAsia="Arial" w:hAnsi="Arial"/>
                <w:sz w:val="14"/>
                <w:szCs w:val="14"/>
                <w:color w:val="auto"/>
                <w:w w:val="93"/>
              </w:rPr>
              <w:t>13,299</w:t>
            </w:r>
          </w:p>
        </w:tc>
        <w:tc>
          <w:tcPr>
            <w:tcW w:w="420" w:type="dxa"/>
            <w:vAlign w:val="bottom"/>
            <w:shd w:val="clear" w:color="auto" w:fill="CCEEFF"/>
          </w:tcPr>
          <w:p>
            <w:pPr>
              <w:jc w:val="right"/>
              <w:ind w:right="168"/>
              <w:spacing w:after="0" w:line="12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388"/>
              <w:spacing w:after="0" w:line="129" w:lineRule="exact"/>
              <w:rPr>
                <w:sz w:val="20"/>
                <w:szCs w:val="20"/>
                <w:color w:val="auto"/>
              </w:rPr>
            </w:pPr>
            <w:r>
              <w:rPr>
                <w:rFonts w:ascii="Arial" w:cs="Arial" w:eastAsia="Arial" w:hAnsi="Arial"/>
                <w:sz w:val="14"/>
                <w:szCs w:val="14"/>
                <w:color w:val="auto"/>
                <w:w w:val="97"/>
              </w:rPr>
              <w:t>33,128</w:t>
            </w:r>
          </w:p>
        </w:tc>
        <w:tc>
          <w:tcPr>
            <w:tcW w:w="760" w:type="dxa"/>
            <w:vAlign w:val="bottom"/>
            <w:tcBorders>
              <w:right w:val="single" w:sz="8" w:color="CCEEFF"/>
            </w:tcBorders>
            <w:gridSpan w:val="2"/>
            <w:shd w:val="clear" w:color="auto" w:fill="CCEEFF"/>
          </w:tcPr>
          <w:p>
            <w:pPr>
              <w:jc w:val="right"/>
              <w:ind w:right="100"/>
              <w:spacing w:after="0" w:line="12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08"/>
              <w:spacing w:after="0" w:line="129" w:lineRule="exact"/>
              <w:rPr>
                <w:sz w:val="20"/>
                <w:szCs w:val="20"/>
                <w:color w:val="auto"/>
              </w:rPr>
            </w:pPr>
            <w:r>
              <w:rPr>
                <w:rFonts w:ascii="Arial" w:cs="Arial" w:eastAsia="Arial" w:hAnsi="Arial"/>
                <w:sz w:val="14"/>
                <w:szCs w:val="14"/>
                <w:color w:val="auto"/>
              </w:rPr>
              <w:t>42,906</w:t>
            </w:r>
          </w:p>
        </w:tc>
        <w:tc>
          <w:tcPr>
            <w:tcW w:w="9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129.5%</w:t>
            </w:r>
          </w:p>
        </w:tc>
      </w:tr>
      <w:tr>
        <w:trPr>
          <w:trHeight w:val="372"/>
        </w:trPr>
        <w:tc>
          <w:tcPr>
            <w:tcW w:w="118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38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960" w:type="dxa"/>
            <w:vAlign w:val="bottom"/>
            <w:tcBorders>
              <w:top w:val="single" w:sz="8" w:color="auto"/>
              <w:bottom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1260" w:type="dxa"/>
            <w:vAlign w:val="bottom"/>
            <w:tcBorders>
              <w:top w:val="single" w:sz="8" w:color="auto"/>
              <w:bottom w:val="single" w:sz="8" w:color="auto"/>
            </w:tcBorders>
            <w:gridSpan w:val="2"/>
          </w:tcPr>
          <w:p>
            <w:pPr>
              <w:jc w:val="center"/>
              <w:ind w:left="88"/>
              <w:spacing w:after="0"/>
              <w:rPr>
                <w:sz w:val="20"/>
                <w:szCs w:val="20"/>
                <w:color w:val="auto"/>
              </w:rPr>
            </w:pPr>
            <w:r>
              <w:rPr>
                <w:rFonts w:ascii="Arial" w:cs="Arial" w:eastAsia="Arial" w:hAnsi="Arial"/>
                <w:sz w:val="14"/>
                <w:szCs w:val="14"/>
                <w:color w:val="auto"/>
                <w:w w:val="93"/>
              </w:rPr>
              <w:t>Six Months Ended</w:t>
            </w:r>
          </w:p>
        </w:tc>
        <w:tc>
          <w:tcPr>
            <w:tcW w:w="54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900" w:type="dxa"/>
            <w:vAlign w:val="bottom"/>
            <w:tcBorders>
              <w:top w:val="single" w:sz="8" w:color="auto"/>
              <w:bottom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r>
      <w:tr>
        <w:trPr>
          <w:trHeight w:val="142"/>
        </w:trPr>
        <w:tc>
          <w:tcPr>
            <w:tcW w:w="1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gridSpan w:val="4"/>
          </w:tcPr>
          <w:p>
            <w:pPr>
              <w:jc w:val="right"/>
              <w:spacing w:after="0" w:line="142" w:lineRule="exact"/>
              <w:rPr>
                <w:sz w:val="20"/>
                <w:szCs w:val="20"/>
                <w:color w:val="auto"/>
              </w:rPr>
            </w:pPr>
            <w:r>
              <w:rPr>
                <w:rFonts w:ascii="Arial" w:cs="Arial" w:eastAsia="Arial" w:hAnsi="Arial"/>
                <w:sz w:val="14"/>
                <w:szCs w:val="14"/>
                <w:color w:val="auto"/>
              </w:rPr>
              <w:t>May 29, 2021</w:t>
            </w:r>
          </w:p>
        </w:tc>
        <w:tc>
          <w:tcPr>
            <w:tcW w:w="9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May 30, 2020</w:t>
            </w:r>
          </w:p>
        </w:tc>
        <w:tc>
          <w:tcPr>
            <w:tcW w:w="9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gridSpan w:val="2"/>
          </w:tcPr>
          <w:p>
            <w:pPr>
              <w:ind w:left="380"/>
              <w:spacing w:after="0" w:line="142" w:lineRule="exact"/>
              <w:rPr>
                <w:sz w:val="20"/>
                <w:szCs w:val="20"/>
                <w:color w:val="auto"/>
              </w:rPr>
            </w:pPr>
            <w:r>
              <w:rPr>
                <w:rFonts w:ascii="Arial" w:cs="Arial" w:eastAsia="Arial" w:hAnsi="Arial"/>
                <w:sz w:val="14"/>
                <w:szCs w:val="14"/>
                <w:color w:val="auto"/>
              </w:rPr>
              <w:t>Total Change</w:t>
            </w:r>
          </w:p>
        </w:tc>
        <w:tc>
          <w:tcPr>
            <w:tcW w:w="120" w:type="dxa"/>
            <w:vAlign w:val="bottom"/>
          </w:tcPr>
          <w:p>
            <w:pPr>
              <w:spacing w:after="0"/>
              <w:rPr>
                <w:sz w:val="12"/>
                <w:szCs w:val="12"/>
                <w:color w:val="auto"/>
              </w:rPr>
            </w:pPr>
          </w:p>
        </w:tc>
      </w:tr>
      <w:tr>
        <w:trPr>
          <w:trHeight w:val="142"/>
        </w:trPr>
        <w:tc>
          <w:tcPr>
            <w:tcW w:w="1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208"/>
              <w:spacing w:after="0" w:line="142" w:lineRule="exact"/>
              <w:rPr>
                <w:sz w:val="20"/>
                <w:szCs w:val="20"/>
                <w:color w:val="auto"/>
              </w:rPr>
            </w:pPr>
            <w:r>
              <w:rPr>
                <w:rFonts w:ascii="Arial" w:cs="Arial" w:eastAsia="Arial" w:hAnsi="Arial"/>
                <w:sz w:val="14"/>
                <w:szCs w:val="14"/>
                <w:color w:val="auto"/>
                <w:w w:val="97"/>
              </w:rPr>
              <w:t>External</w:t>
            </w:r>
          </w:p>
        </w:tc>
        <w:tc>
          <w:tcPr>
            <w:tcW w:w="1060" w:type="dxa"/>
            <w:vAlign w:val="bottom"/>
            <w:tcBorders>
              <w:bottom w:val="single" w:sz="8" w:color="auto"/>
            </w:tcBorders>
            <w:gridSpan w:val="3"/>
          </w:tcPr>
          <w:p>
            <w:pPr>
              <w:ind w:left="140"/>
              <w:spacing w:after="0" w:line="142" w:lineRule="exact"/>
              <w:rPr>
                <w:sz w:val="20"/>
                <w:szCs w:val="20"/>
                <w:color w:val="auto"/>
              </w:rPr>
            </w:pPr>
            <w:r>
              <w:rPr>
                <w:rFonts w:ascii="Arial" w:cs="Arial" w:eastAsia="Arial" w:hAnsi="Arial"/>
                <w:sz w:val="14"/>
                <w:szCs w:val="14"/>
                <w:color w:val="auto"/>
              </w:rPr>
              <w:t>Intercompany</w:t>
            </w:r>
          </w:p>
        </w:tc>
        <w:tc>
          <w:tcPr>
            <w:tcW w:w="12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960" w:type="dxa"/>
            <w:vAlign w:val="bottom"/>
            <w:tcBorders>
              <w:bottom w:val="single" w:sz="8" w:color="auto"/>
            </w:tcBorders>
          </w:tcPr>
          <w:p>
            <w:pPr>
              <w:jc w:val="right"/>
              <w:ind w:right="148"/>
              <w:spacing w:after="0" w:line="142" w:lineRule="exact"/>
              <w:rPr>
                <w:sz w:val="20"/>
                <w:szCs w:val="20"/>
                <w:color w:val="auto"/>
              </w:rPr>
            </w:pPr>
            <w:r>
              <w:rPr>
                <w:rFonts w:ascii="Arial" w:cs="Arial" w:eastAsia="Arial" w:hAnsi="Arial"/>
                <w:sz w:val="14"/>
                <w:szCs w:val="14"/>
                <w:color w:val="auto"/>
              </w:rPr>
              <w:t>Total</w:t>
            </w: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color w:val="auto"/>
                <w:w w:val="97"/>
              </w:rPr>
              <w:t>External</w:t>
            </w:r>
          </w:p>
        </w:tc>
        <w:tc>
          <w:tcPr>
            <w:tcW w:w="1020" w:type="dxa"/>
            <w:vAlign w:val="bottom"/>
            <w:tcBorders>
              <w:bottom w:val="single" w:sz="8" w:color="auto"/>
            </w:tcBorders>
            <w:gridSpan w:val="2"/>
          </w:tcPr>
          <w:p>
            <w:pPr>
              <w:ind w:left="100"/>
              <w:spacing w:after="0" w:line="142" w:lineRule="exact"/>
              <w:rPr>
                <w:sz w:val="20"/>
                <w:szCs w:val="20"/>
                <w:color w:val="auto"/>
              </w:rPr>
            </w:pPr>
            <w:r>
              <w:rPr>
                <w:rFonts w:ascii="Arial" w:cs="Arial" w:eastAsia="Arial" w:hAnsi="Arial"/>
                <w:sz w:val="14"/>
                <w:szCs w:val="14"/>
                <w:color w:val="auto"/>
              </w:rPr>
              <w:t>Intercompany</w:t>
            </w:r>
          </w:p>
        </w:tc>
        <w:tc>
          <w:tcPr>
            <w:tcW w:w="42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128"/>
              <w:spacing w:after="0" w:line="142" w:lineRule="exact"/>
              <w:rPr>
                <w:sz w:val="20"/>
                <w:szCs w:val="20"/>
                <w:color w:val="auto"/>
              </w:rPr>
            </w:pPr>
            <w:r>
              <w:rPr>
                <w:rFonts w:ascii="Arial" w:cs="Arial" w:eastAsia="Arial" w:hAnsi="Arial"/>
                <w:sz w:val="14"/>
                <w:szCs w:val="14"/>
                <w:color w:val="auto"/>
              </w:rPr>
              <w:t>Total</w:t>
            </w:r>
          </w:p>
        </w:tc>
        <w:tc>
          <w:tcPr>
            <w:tcW w:w="540" w:type="dxa"/>
            <w:vAlign w:val="bottom"/>
            <w:tcBorders>
              <w:bottom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288"/>
              <w:spacing w:after="0" w:line="142" w:lineRule="exact"/>
              <w:rPr>
                <w:sz w:val="20"/>
                <w:szCs w:val="20"/>
                <w:color w:val="auto"/>
              </w:rPr>
            </w:pPr>
            <w:r>
              <w:rPr>
                <w:rFonts w:ascii="Arial" w:cs="Arial" w:eastAsia="Arial" w:hAnsi="Arial"/>
                <w:sz w:val="14"/>
                <w:szCs w:val="14"/>
                <w:color w:val="auto"/>
              </w:rPr>
              <w:t>Dollars</w:t>
            </w:r>
          </w:p>
        </w:tc>
        <w:tc>
          <w:tcPr>
            <w:tcW w:w="800" w:type="dxa"/>
            <w:vAlign w:val="bottom"/>
            <w:tcBorders>
              <w:bottom w:val="single" w:sz="8" w:color="auto"/>
            </w:tcBorders>
          </w:tcPr>
          <w:p>
            <w:pPr>
              <w:ind w:left="200"/>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r>
      <w:tr>
        <w:trPr>
          <w:trHeight w:val="123"/>
        </w:trPr>
        <w:tc>
          <w:tcPr>
            <w:tcW w:w="1180" w:type="dxa"/>
            <w:vAlign w:val="bottom"/>
            <w:shd w:val="clear" w:color="auto" w:fill="CCEEFF"/>
          </w:tcPr>
          <w:p>
            <w:pPr>
              <w:spacing w:after="0" w:line="123" w:lineRule="exact"/>
              <w:rPr>
                <w:sz w:val="20"/>
                <w:szCs w:val="20"/>
                <w:color w:val="auto"/>
              </w:rPr>
            </w:pPr>
            <w:r>
              <w:rPr>
                <w:rFonts w:ascii="Arial" w:cs="Arial" w:eastAsia="Arial" w:hAnsi="Arial"/>
                <w:sz w:val="14"/>
                <w:szCs w:val="14"/>
                <w:color w:val="auto"/>
              </w:rPr>
              <w:t>Bassett Custom</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380" w:type="dxa"/>
            <w:vAlign w:val="bottom"/>
            <w:shd w:val="clear" w:color="auto" w:fill="CCEEFF"/>
          </w:tcPr>
          <w:p>
            <w:pPr>
              <w:spacing w:after="0"/>
              <w:rPr>
                <w:sz w:val="10"/>
                <w:szCs w:val="10"/>
                <w:color w:val="auto"/>
              </w:rPr>
            </w:pPr>
          </w:p>
        </w:tc>
        <w:tc>
          <w:tcPr>
            <w:tcW w:w="5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96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9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20" w:type="dxa"/>
            <w:vAlign w:val="bottom"/>
            <w:tcBorders>
              <w:right w:val="single" w:sz="8" w:color="CCEEFF"/>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8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r>
      <w:tr>
        <w:trPr>
          <w:trHeight w:val="167"/>
        </w:trPr>
        <w:tc>
          <w:tcPr>
            <w:tcW w:w="1180" w:type="dxa"/>
            <w:vAlign w:val="bottom"/>
            <w:shd w:val="clear" w:color="auto" w:fill="CCEEFF"/>
          </w:tcPr>
          <w:p>
            <w:pPr>
              <w:spacing w:after="0"/>
              <w:rPr>
                <w:sz w:val="20"/>
                <w:szCs w:val="20"/>
                <w:color w:val="auto"/>
              </w:rPr>
            </w:pPr>
            <w:r>
              <w:rPr>
                <w:rFonts w:ascii="Arial" w:cs="Arial" w:eastAsia="Arial" w:hAnsi="Arial"/>
                <w:sz w:val="14"/>
                <w:szCs w:val="14"/>
                <w:color w:val="auto"/>
              </w:rPr>
              <w:t>Upholstery</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50,858</w:t>
            </w:r>
          </w:p>
        </w:tc>
        <w:tc>
          <w:tcPr>
            <w:tcW w:w="3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35,526</w:t>
            </w:r>
          </w:p>
        </w:tc>
        <w:tc>
          <w:tcPr>
            <w:tcW w:w="420" w:type="dxa"/>
            <w:vAlign w:val="bottom"/>
            <w:gridSpan w:val="2"/>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86,384</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59.0%</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31,905</w:t>
            </w:r>
          </w:p>
        </w:tc>
        <w:tc>
          <w:tcPr>
            <w:tcW w:w="480" w:type="dxa"/>
            <w:vAlign w:val="bottom"/>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93"/>
              </w:rPr>
              <w:t>27,362</w:t>
            </w:r>
          </w:p>
        </w:tc>
        <w:tc>
          <w:tcPr>
            <w:tcW w:w="4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w w:val="97"/>
              </w:rPr>
              <w:t>59,267</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60.4%</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27,117</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45.8%</w:t>
            </w:r>
          </w:p>
        </w:tc>
      </w:tr>
      <w:tr>
        <w:trPr>
          <w:trHeight w:val="149"/>
        </w:trPr>
        <w:tc>
          <w:tcPr>
            <w:tcW w:w="1180" w:type="dxa"/>
            <w:vAlign w:val="bottom"/>
          </w:tcPr>
          <w:p>
            <w:pPr>
              <w:spacing w:after="0" w:line="149" w:lineRule="exact"/>
              <w:rPr>
                <w:sz w:val="20"/>
                <w:szCs w:val="20"/>
                <w:color w:val="auto"/>
              </w:rPr>
            </w:pPr>
            <w:r>
              <w:rPr>
                <w:rFonts w:ascii="Arial" w:cs="Arial" w:eastAsia="Arial" w:hAnsi="Arial"/>
                <w:sz w:val="14"/>
                <w:szCs w:val="14"/>
                <w:color w:val="auto"/>
              </w:rPr>
              <w:t>Bassett Leather</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jc w:val="right"/>
              <w:ind w:right="48"/>
              <w:spacing w:after="0" w:line="149" w:lineRule="exact"/>
              <w:rPr>
                <w:sz w:val="20"/>
                <w:szCs w:val="20"/>
                <w:color w:val="auto"/>
              </w:rPr>
            </w:pPr>
            <w:r>
              <w:rPr>
                <w:rFonts w:ascii="Arial" w:cs="Arial" w:eastAsia="Arial" w:hAnsi="Arial"/>
                <w:sz w:val="14"/>
                <w:szCs w:val="14"/>
                <w:color w:val="auto"/>
              </w:rPr>
              <w:t>17,756</w:t>
            </w:r>
          </w:p>
        </w:tc>
        <w:tc>
          <w:tcPr>
            <w:tcW w:w="3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45</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17,801</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12.2%</w:t>
            </w:r>
          </w:p>
        </w:tc>
        <w:tc>
          <w:tcPr>
            <w:tcW w:w="100" w:type="dxa"/>
            <w:vAlign w:val="bottom"/>
          </w:tcPr>
          <w:p>
            <w:pPr>
              <w:spacing w:after="0"/>
              <w:rPr>
                <w:sz w:val="12"/>
                <w:szCs w:val="12"/>
                <w:color w:val="auto"/>
              </w:rPr>
            </w:pPr>
          </w:p>
        </w:tc>
        <w:tc>
          <w:tcPr>
            <w:tcW w:w="780" w:type="dxa"/>
            <w:vAlign w:val="bottom"/>
          </w:tcPr>
          <w:p>
            <w:pPr>
              <w:jc w:val="right"/>
              <w:ind w:right="28"/>
              <w:spacing w:after="0" w:line="149" w:lineRule="exact"/>
              <w:rPr>
                <w:sz w:val="20"/>
                <w:szCs w:val="20"/>
                <w:color w:val="auto"/>
              </w:rPr>
            </w:pPr>
            <w:r>
              <w:rPr>
                <w:rFonts w:ascii="Arial" w:cs="Arial" w:eastAsia="Arial" w:hAnsi="Arial"/>
                <w:sz w:val="14"/>
                <w:szCs w:val="14"/>
                <w:color w:val="auto"/>
              </w:rPr>
              <w:t>7,047</w:t>
            </w:r>
          </w:p>
        </w:tc>
        <w:tc>
          <w:tcPr>
            <w:tcW w:w="480" w:type="dxa"/>
            <w:vAlign w:val="bottom"/>
          </w:tcPr>
          <w:p>
            <w:pPr>
              <w:spacing w:after="0"/>
              <w:rPr>
                <w:sz w:val="12"/>
                <w:szCs w:val="12"/>
                <w:color w:val="auto"/>
              </w:rPr>
            </w:pPr>
          </w:p>
        </w:tc>
        <w:tc>
          <w:tcPr>
            <w:tcW w:w="540" w:type="dxa"/>
            <w:vAlign w:val="bottom"/>
          </w:tcPr>
          <w:p>
            <w:pPr>
              <w:jc w:val="right"/>
              <w:ind w:right="48"/>
              <w:spacing w:after="0" w:line="149" w:lineRule="exact"/>
              <w:rPr>
                <w:sz w:val="20"/>
                <w:szCs w:val="20"/>
                <w:color w:val="auto"/>
              </w:rPr>
            </w:pPr>
            <w:r>
              <w:rPr>
                <w:rFonts w:ascii="Arial" w:cs="Arial" w:eastAsia="Arial" w:hAnsi="Arial"/>
                <w:sz w:val="14"/>
                <w:szCs w:val="14"/>
                <w:color w:val="auto"/>
              </w:rPr>
              <w:t>708</w:t>
            </w:r>
          </w:p>
        </w:tc>
        <w:tc>
          <w:tcPr>
            <w:tcW w:w="420" w:type="dxa"/>
            <w:vAlign w:val="bottom"/>
          </w:tcPr>
          <w:p>
            <w:pPr>
              <w:spacing w:after="0"/>
              <w:rPr>
                <w:sz w:val="12"/>
                <w:szCs w:val="12"/>
                <w:color w:val="auto"/>
              </w:rPr>
            </w:pPr>
          </w:p>
        </w:tc>
        <w:tc>
          <w:tcPr>
            <w:tcW w:w="90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7,755</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7.9%</w:t>
            </w:r>
          </w:p>
        </w:tc>
        <w:tc>
          <w:tcPr>
            <w:tcW w:w="120" w:type="dxa"/>
            <w:vAlign w:val="bottom"/>
          </w:tcPr>
          <w:p>
            <w:pPr>
              <w:spacing w:after="0"/>
              <w:rPr>
                <w:sz w:val="12"/>
                <w:szCs w:val="12"/>
                <w:color w:val="auto"/>
              </w:rPr>
            </w:pPr>
          </w:p>
        </w:tc>
        <w:tc>
          <w:tcPr>
            <w:tcW w:w="8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10,046</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129.5%</w:t>
            </w:r>
          </w:p>
        </w:tc>
      </w:tr>
      <w:tr>
        <w:trPr>
          <w:trHeight w:val="130"/>
        </w:trPr>
        <w:tc>
          <w:tcPr>
            <w:tcW w:w="118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Bassett Custom</w:t>
            </w:r>
          </w:p>
        </w:tc>
        <w:tc>
          <w:tcPr>
            <w:tcW w:w="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r>
      <w:tr>
        <w:trPr>
          <w:trHeight w:val="167"/>
        </w:trPr>
        <w:tc>
          <w:tcPr>
            <w:tcW w:w="1180" w:type="dxa"/>
            <w:vAlign w:val="bottom"/>
            <w:shd w:val="clear" w:color="auto" w:fill="CCEEFF"/>
          </w:tcPr>
          <w:p>
            <w:pPr>
              <w:spacing w:after="0"/>
              <w:rPr>
                <w:sz w:val="20"/>
                <w:szCs w:val="20"/>
                <w:color w:val="auto"/>
              </w:rPr>
            </w:pPr>
            <w:r>
              <w:rPr>
                <w:rFonts w:ascii="Arial" w:cs="Arial" w:eastAsia="Arial" w:hAnsi="Arial"/>
                <w:sz w:val="14"/>
                <w:szCs w:val="14"/>
                <w:color w:val="auto"/>
              </w:rPr>
              <w:t>Wood</w:t>
            </w: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12,176</w:t>
            </w:r>
          </w:p>
        </w:tc>
        <w:tc>
          <w:tcPr>
            <w:tcW w:w="38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12,666</w:t>
            </w: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6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rPr>
              <w:t>24,842</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17.0%</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8,254</w:t>
            </w:r>
          </w:p>
        </w:tc>
        <w:tc>
          <w:tcPr>
            <w:tcW w:w="48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8,668</w:t>
            </w:r>
          </w:p>
        </w:tc>
        <w:tc>
          <w:tcPr>
            <w:tcW w:w="420" w:type="dxa"/>
            <w:vAlign w:val="bottom"/>
            <w:shd w:val="clear" w:color="auto" w:fill="CCEEFF"/>
          </w:tcPr>
          <w:p>
            <w:pPr>
              <w:spacing w:after="0"/>
              <w:rPr>
                <w:sz w:val="14"/>
                <w:szCs w:val="14"/>
                <w:color w:val="auto"/>
              </w:rPr>
            </w:pPr>
          </w:p>
        </w:tc>
        <w:tc>
          <w:tcPr>
            <w:tcW w:w="900" w:type="dxa"/>
            <w:vAlign w:val="bottom"/>
            <w:shd w:val="clear" w:color="auto" w:fill="CCEEFF"/>
          </w:tcPr>
          <w:p>
            <w:pPr>
              <w:jc w:val="right"/>
              <w:ind w:right="388"/>
              <w:spacing w:after="0"/>
              <w:rPr>
                <w:sz w:val="20"/>
                <w:szCs w:val="20"/>
                <w:color w:val="auto"/>
              </w:rPr>
            </w:pPr>
            <w:r>
              <w:rPr>
                <w:rFonts w:ascii="Arial" w:cs="Arial" w:eastAsia="Arial" w:hAnsi="Arial"/>
                <w:sz w:val="14"/>
                <w:szCs w:val="14"/>
                <w:color w:val="auto"/>
                <w:w w:val="97"/>
              </w:rPr>
              <w:t>16,922</w:t>
            </w:r>
          </w:p>
        </w:tc>
        <w:tc>
          <w:tcPr>
            <w:tcW w:w="76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17.2%</w:t>
            </w: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7,920</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46.8%</w:t>
            </w:r>
          </w:p>
        </w:tc>
      </w:tr>
      <w:tr>
        <w:trPr>
          <w:trHeight w:val="148"/>
        </w:trPr>
        <w:tc>
          <w:tcPr>
            <w:tcW w:w="1180" w:type="dxa"/>
            <w:vAlign w:val="bottom"/>
          </w:tcPr>
          <w:p>
            <w:pPr>
              <w:spacing w:after="0" w:line="149" w:lineRule="exact"/>
              <w:rPr>
                <w:sz w:val="20"/>
                <w:szCs w:val="20"/>
                <w:color w:val="auto"/>
              </w:rPr>
            </w:pPr>
            <w:r>
              <w:rPr>
                <w:rFonts w:ascii="Arial" w:cs="Arial" w:eastAsia="Arial" w:hAnsi="Arial"/>
                <w:sz w:val="14"/>
                <w:szCs w:val="14"/>
                <w:color w:val="auto"/>
                <w:w w:val="95"/>
              </w:rPr>
              <w:t>Bassett Casegoods</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jc w:val="right"/>
              <w:ind w:right="48"/>
              <w:spacing w:after="0" w:line="149" w:lineRule="exact"/>
              <w:rPr>
                <w:sz w:val="20"/>
                <w:szCs w:val="20"/>
                <w:color w:val="auto"/>
              </w:rPr>
            </w:pPr>
            <w:r>
              <w:rPr>
                <w:rFonts w:ascii="Arial" w:cs="Arial" w:eastAsia="Arial" w:hAnsi="Arial"/>
                <w:sz w:val="14"/>
                <w:szCs w:val="14"/>
                <w:color w:val="auto"/>
              </w:rPr>
              <w:t>7,984</w:t>
            </w:r>
          </w:p>
        </w:tc>
        <w:tc>
          <w:tcPr>
            <w:tcW w:w="380" w:type="dxa"/>
            <w:vAlign w:val="bottom"/>
          </w:tcPr>
          <w:p>
            <w:pPr>
              <w:spacing w:after="0"/>
              <w:rPr>
                <w:sz w:val="12"/>
                <w:szCs w:val="12"/>
                <w:color w:val="auto"/>
              </w:rPr>
            </w:pP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9,287</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tcPr>
          <w:p>
            <w:pPr>
              <w:jc w:val="right"/>
              <w:ind w:right="388"/>
              <w:spacing w:after="0" w:line="149" w:lineRule="exact"/>
              <w:rPr>
                <w:sz w:val="20"/>
                <w:szCs w:val="20"/>
                <w:color w:val="auto"/>
              </w:rPr>
            </w:pPr>
            <w:r>
              <w:rPr>
                <w:rFonts w:ascii="Arial" w:cs="Arial" w:eastAsia="Arial" w:hAnsi="Arial"/>
                <w:sz w:val="14"/>
                <w:szCs w:val="14"/>
                <w:color w:val="auto"/>
              </w:rPr>
              <w:t>17,271</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11.8%</w:t>
            </w:r>
          </w:p>
        </w:tc>
        <w:tc>
          <w:tcPr>
            <w:tcW w:w="100" w:type="dxa"/>
            <w:vAlign w:val="bottom"/>
          </w:tcPr>
          <w:p>
            <w:pPr>
              <w:spacing w:after="0"/>
              <w:rPr>
                <w:sz w:val="12"/>
                <w:szCs w:val="12"/>
                <w:color w:val="auto"/>
              </w:rPr>
            </w:pPr>
          </w:p>
        </w:tc>
        <w:tc>
          <w:tcPr>
            <w:tcW w:w="780" w:type="dxa"/>
            <w:vAlign w:val="bottom"/>
          </w:tcPr>
          <w:p>
            <w:pPr>
              <w:jc w:val="right"/>
              <w:ind w:right="28"/>
              <w:spacing w:after="0" w:line="149" w:lineRule="exact"/>
              <w:rPr>
                <w:sz w:val="20"/>
                <w:szCs w:val="20"/>
                <w:color w:val="auto"/>
              </w:rPr>
            </w:pPr>
            <w:r>
              <w:rPr>
                <w:rFonts w:ascii="Arial" w:cs="Arial" w:eastAsia="Arial" w:hAnsi="Arial"/>
                <w:sz w:val="14"/>
                <w:szCs w:val="14"/>
                <w:color w:val="auto"/>
              </w:rPr>
              <w:t>5,719</w:t>
            </w:r>
          </w:p>
        </w:tc>
        <w:tc>
          <w:tcPr>
            <w:tcW w:w="480" w:type="dxa"/>
            <w:vAlign w:val="bottom"/>
          </w:tcPr>
          <w:p>
            <w:pPr>
              <w:spacing w:after="0"/>
              <w:rPr>
                <w:sz w:val="12"/>
                <w:szCs w:val="12"/>
                <w:color w:val="auto"/>
              </w:rPr>
            </w:pPr>
          </w:p>
        </w:tc>
        <w:tc>
          <w:tcPr>
            <w:tcW w:w="540" w:type="dxa"/>
            <w:vAlign w:val="bottom"/>
          </w:tcPr>
          <w:p>
            <w:pPr>
              <w:jc w:val="right"/>
              <w:ind w:right="48"/>
              <w:spacing w:after="0" w:line="149" w:lineRule="exact"/>
              <w:rPr>
                <w:sz w:val="20"/>
                <w:szCs w:val="20"/>
                <w:color w:val="auto"/>
              </w:rPr>
            </w:pPr>
            <w:r>
              <w:rPr>
                <w:rFonts w:ascii="Arial" w:cs="Arial" w:eastAsia="Arial" w:hAnsi="Arial"/>
                <w:sz w:val="14"/>
                <w:szCs w:val="14"/>
                <w:color w:val="auto"/>
              </w:rPr>
              <w:t>8,482</w:t>
            </w:r>
          </w:p>
        </w:tc>
        <w:tc>
          <w:tcPr>
            <w:tcW w:w="420" w:type="dxa"/>
            <w:vAlign w:val="bottom"/>
          </w:tcPr>
          <w:p>
            <w:pPr>
              <w:spacing w:after="0"/>
              <w:rPr>
                <w:sz w:val="12"/>
                <w:szCs w:val="12"/>
                <w:color w:val="auto"/>
              </w:rPr>
            </w:pPr>
          </w:p>
        </w:tc>
        <w:tc>
          <w:tcPr>
            <w:tcW w:w="900" w:type="dxa"/>
            <w:vAlign w:val="bottom"/>
          </w:tcPr>
          <w:p>
            <w:pPr>
              <w:jc w:val="right"/>
              <w:ind w:right="388"/>
              <w:spacing w:after="0" w:line="149" w:lineRule="exact"/>
              <w:rPr>
                <w:sz w:val="20"/>
                <w:szCs w:val="20"/>
                <w:color w:val="auto"/>
              </w:rPr>
            </w:pPr>
            <w:r>
              <w:rPr>
                <w:rFonts w:ascii="Arial" w:cs="Arial" w:eastAsia="Arial" w:hAnsi="Arial"/>
                <w:sz w:val="14"/>
                <w:szCs w:val="14"/>
                <w:color w:val="auto"/>
                <w:w w:val="97"/>
              </w:rPr>
              <w:t>14,201</w:t>
            </w: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14.5%</w:t>
            </w:r>
          </w:p>
        </w:tc>
        <w:tc>
          <w:tcPr>
            <w:tcW w:w="120" w:type="dxa"/>
            <w:vAlign w:val="bottom"/>
          </w:tcPr>
          <w:p>
            <w:pPr>
              <w:spacing w:after="0"/>
              <w:rPr>
                <w:sz w:val="12"/>
                <w:szCs w:val="12"/>
                <w:color w:val="auto"/>
              </w:rPr>
            </w:pPr>
          </w:p>
        </w:tc>
        <w:tc>
          <w:tcPr>
            <w:tcW w:w="84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3,070</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21.6%</w:t>
            </w:r>
          </w:p>
        </w:tc>
      </w:tr>
      <w:tr>
        <w:trPr>
          <w:trHeight w:val="20"/>
        </w:trPr>
        <w:tc>
          <w:tcPr>
            <w:tcW w:w="1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62"/>
        </w:trPr>
        <w:tc>
          <w:tcPr>
            <w:tcW w:w="118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Total</w:t>
            </w: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48"/>
              <w:spacing w:after="0" w:line="129" w:lineRule="exact"/>
              <w:rPr>
                <w:sz w:val="20"/>
                <w:szCs w:val="20"/>
                <w:color w:val="auto"/>
              </w:rPr>
            </w:pPr>
            <w:r>
              <w:rPr>
                <w:rFonts w:ascii="Arial" w:cs="Arial" w:eastAsia="Arial" w:hAnsi="Arial"/>
                <w:sz w:val="14"/>
                <w:szCs w:val="14"/>
                <w:color w:val="auto"/>
              </w:rPr>
              <w:t>88,774</w:t>
            </w:r>
          </w:p>
        </w:tc>
        <w:tc>
          <w:tcPr>
            <w:tcW w:w="380" w:type="dxa"/>
            <w:vAlign w:val="bottom"/>
            <w:shd w:val="clear" w:color="auto" w:fill="CCEEFF"/>
          </w:tcPr>
          <w:p>
            <w:pPr>
              <w:ind w:left="120"/>
              <w:spacing w:after="0" w:line="12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rPr>
              <w:t>57,524</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jc w:val="right"/>
              <w:ind w:right="148"/>
              <w:spacing w:after="0" w:line="129" w:lineRule="exact"/>
              <w:rPr>
                <w:sz w:val="20"/>
                <w:szCs w:val="20"/>
                <w:color w:val="auto"/>
              </w:rPr>
            </w:pPr>
            <w:r>
              <w:rPr>
                <w:rFonts w:ascii="Arial" w:cs="Arial" w:eastAsia="Arial" w:hAnsi="Arial"/>
                <w:sz w:val="14"/>
                <w:szCs w:val="14"/>
                <w:color w:val="auto"/>
                <w:w w:val="76"/>
              </w:rPr>
              <w:t>$</w:t>
            </w:r>
          </w:p>
        </w:tc>
        <w:tc>
          <w:tcPr>
            <w:tcW w:w="960" w:type="dxa"/>
            <w:vAlign w:val="bottom"/>
            <w:shd w:val="clear" w:color="auto" w:fill="CCEEFF"/>
          </w:tcPr>
          <w:p>
            <w:pPr>
              <w:jc w:val="right"/>
              <w:ind w:right="388"/>
              <w:spacing w:after="0" w:line="129" w:lineRule="exact"/>
              <w:rPr>
                <w:sz w:val="20"/>
                <w:szCs w:val="20"/>
                <w:color w:val="auto"/>
              </w:rPr>
            </w:pPr>
            <w:r>
              <w:rPr>
                <w:rFonts w:ascii="Arial" w:cs="Arial" w:eastAsia="Arial" w:hAnsi="Arial"/>
                <w:sz w:val="14"/>
                <w:szCs w:val="14"/>
                <w:color w:val="auto"/>
                <w:w w:val="94"/>
              </w:rPr>
              <w:t>146,298</w:t>
            </w:r>
          </w:p>
        </w:tc>
        <w:tc>
          <w:tcPr>
            <w:tcW w:w="760" w:type="dxa"/>
            <w:vAlign w:val="bottom"/>
            <w:gridSpan w:val="2"/>
            <w:shd w:val="clear" w:color="auto" w:fill="CCEEFF"/>
          </w:tcPr>
          <w:p>
            <w:pPr>
              <w:jc w:val="right"/>
              <w:ind w:right="100"/>
              <w:spacing w:after="0" w:line="12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ind w:right="28"/>
              <w:spacing w:after="0" w:line="129" w:lineRule="exact"/>
              <w:rPr>
                <w:sz w:val="20"/>
                <w:szCs w:val="20"/>
                <w:color w:val="auto"/>
              </w:rPr>
            </w:pPr>
            <w:r>
              <w:rPr>
                <w:rFonts w:ascii="Arial" w:cs="Arial" w:eastAsia="Arial" w:hAnsi="Arial"/>
                <w:sz w:val="14"/>
                <w:szCs w:val="14"/>
                <w:color w:val="auto"/>
              </w:rPr>
              <w:t>52,925</w:t>
            </w:r>
          </w:p>
        </w:tc>
        <w:tc>
          <w:tcPr>
            <w:tcW w:w="480" w:type="dxa"/>
            <w:vAlign w:val="bottom"/>
            <w:shd w:val="clear" w:color="auto" w:fill="CCEEFF"/>
          </w:tcPr>
          <w:p>
            <w:pPr>
              <w:ind w:left="100"/>
              <w:spacing w:after="0" w:line="12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48"/>
              <w:spacing w:after="0" w:line="129" w:lineRule="exact"/>
              <w:rPr>
                <w:sz w:val="20"/>
                <w:szCs w:val="20"/>
                <w:color w:val="auto"/>
              </w:rPr>
            </w:pPr>
            <w:r>
              <w:rPr>
                <w:rFonts w:ascii="Arial" w:cs="Arial" w:eastAsia="Arial" w:hAnsi="Arial"/>
                <w:sz w:val="14"/>
                <w:szCs w:val="14"/>
                <w:color w:val="auto"/>
                <w:w w:val="93"/>
              </w:rPr>
              <w:t>45,220</w:t>
            </w:r>
          </w:p>
        </w:tc>
        <w:tc>
          <w:tcPr>
            <w:tcW w:w="420" w:type="dxa"/>
            <w:vAlign w:val="bottom"/>
            <w:shd w:val="clear" w:color="auto" w:fill="CCEEFF"/>
          </w:tcPr>
          <w:p>
            <w:pPr>
              <w:jc w:val="right"/>
              <w:ind w:right="168"/>
              <w:spacing w:after="0" w:line="12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388"/>
              <w:spacing w:after="0" w:line="129" w:lineRule="exact"/>
              <w:rPr>
                <w:sz w:val="20"/>
                <w:szCs w:val="20"/>
                <w:color w:val="auto"/>
              </w:rPr>
            </w:pPr>
            <w:r>
              <w:rPr>
                <w:rFonts w:ascii="Arial" w:cs="Arial" w:eastAsia="Arial" w:hAnsi="Arial"/>
                <w:sz w:val="14"/>
                <w:szCs w:val="14"/>
                <w:color w:val="auto"/>
                <w:w w:val="97"/>
              </w:rPr>
              <w:t>98,145</w:t>
            </w:r>
          </w:p>
        </w:tc>
        <w:tc>
          <w:tcPr>
            <w:tcW w:w="760" w:type="dxa"/>
            <w:vAlign w:val="bottom"/>
            <w:tcBorders>
              <w:right w:val="single" w:sz="8" w:color="CCEEFF"/>
            </w:tcBorders>
            <w:gridSpan w:val="2"/>
            <w:shd w:val="clear" w:color="auto" w:fill="CCEEFF"/>
          </w:tcPr>
          <w:p>
            <w:pPr>
              <w:jc w:val="right"/>
              <w:ind w:right="100"/>
              <w:spacing w:after="0" w:line="12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line="129" w:lineRule="exact"/>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08"/>
              <w:spacing w:after="0" w:line="129" w:lineRule="exact"/>
              <w:rPr>
                <w:sz w:val="20"/>
                <w:szCs w:val="20"/>
                <w:color w:val="auto"/>
              </w:rPr>
            </w:pPr>
            <w:r>
              <w:rPr>
                <w:rFonts w:ascii="Arial" w:cs="Arial" w:eastAsia="Arial" w:hAnsi="Arial"/>
                <w:sz w:val="14"/>
                <w:szCs w:val="14"/>
                <w:color w:val="auto"/>
              </w:rPr>
              <w:t>48,153</w:t>
            </w:r>
          </w:p>
        </w:tc>
        <w:tc>
          <w:tcPr>
            <w:tcW w:w="920" w:type="dxa"/>
            <w:vAlign w:val="bottom"/>
            <w:gridSpan w:val="2"/>
            <w:shd w:val="clear" w:color="auto" w:fill="CCEEFF"/>
          </w:tcPr>
          <w:p>
            <w:pPr>
              <w:jc w:val="right"/>
              <w:spacing w:after="0" w:line="129" w:lineRule="exact"/>
              <w:rPr>
                <w:sz w:val="20"/>
                <w:szCs w:val="20"/>
                <w:color w:val="auto"/>
              </w:rPr>
            </w:pPr>
            <w:r>
              <w:rPr>
                <w:rFonts w:ascii="Arial" w:cs="Arial" w:eastAsia="Arial" w:hAnsi="Arial"/>
                <w:sz w:val="14"/>
                <w:szCs w:val="14"/>
                <w:color w:val="auto"/>
              </w:rPr>
              <w:t>49.1%</w:t>
            </w:r>
          </w:p>
        </w:tc>
      </w:tr>
      <w:tr>
        <w:trPr>
          <w:trHeight w:val="20"/>
        </w:trPr>
        <w:tc>
          <w:tcPr>
            <w:tcW w:w="1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Analysis of Results - Wholesale</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Net sales for the three and six months ended May 29, 2021 increased $42,906 and $48,153, respectively, from the prior year periods due primarily to the major impact of the COVID-19 pandemic on our operations during fiscal 2020, which forced a nearly total shut-down of our manufacturing and retail operations from late March through early May of last year, followed by an exceptionally strong recovery in demand for home furnishings that has continued into the first half of fiscal 2021. The increase in orders resulting from this surge in demand, coupled with continuing supply chain disruptions in the wake of the pandemic, has resulted in a wholesale backlog of $86,693 at May 29, 2021 as compared to $54,874 at November 28, 2020 and $17,270 at May 30, 2020. As previously discussed, Bassett and most of the home furnishings industry has been faced with continuing logistical challenges from COVID-related labor shortages and supply chain disruptions creating significant delays in order fulfillment and increasing backlogs. Gross margins for the three and six months ended May 29, 2021 improved significantly over prior year periods, primarily due to improved leverage on fixed costs during the second quarter of fiscal 2021 versus the prior year period when our operations were temporarily shut down due to the pandemic. SG&amp;A expenses as a percentage of sales for the three and six months ended May 29, 2021 decreased significantly from the comparable fiscal 2020 periods due to increased leverage of fixed costs due to higher sales volume coupled with various expense reductions implemented in the second and third quarters of fiscal 2020 in response to the COVID-19 pandemic.</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1" w:name="page32"/>
    <w:bookmarkEnd w:id="31"/>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Because of the significant adverse impact that the COVID-19 pandemic had on our operations during the second quarter of fiscal 2020, we believe that a better understanding of the revenue growth that has resulted from our product and marketing initiatives is obtained by comparing our current year revenues to the pre-pandemic levels of fiscal 2019. For the three and six months ended June 1, 2019, wholesale sales were $63,131 and $135,912, respectively. Compared to fiscal 2019, wholesale sales for the three and six months ended May 29, 2021 increased $12,903 or 20.4% and $10,386, or 7.6%, respectively, over the corresponding quarter and year-to-date periods of fiscal 2019. Shipments to the BHF store network grew 4.8% for the second quarter of fiscal 2021 over the second quarter of fiscal 2019 while shipments for the first half of fiscal 2021 declined 1.5% from the first half of fiscal 2019. Growth in shipments to the BHF store network of the Bassett Outdoor line of outdoor furniture, introduced in fiscal 2020, was offset by lower retail sales from the closure of six Company-owned stores since the end of the second quarter of 2019. Shipments to the open market (independent dealers outside of the BHF store network) increased 52.1% and 36.2% for the three and six months ended May 29, 2021, respectively, over the comparable fiscal 2019 periods primarily due to increases from existing dealers along with an expansion of the dealer base. Shipments of our Lane Venture line of outdoor furniture increased 39.5% and 41.8% for the three and six months ended May 29, 2021, respectively, over the comparable fiscal 2019 periods. In addition, wholesale orders for the three and six months ended May 29, 2021, increased 51% and 36%, respectively, over the corresponding quarter and year-to-date periods of fiscal 2019. Wholesale orders from independent dealers increased 126% and 93% for the three and six month periods driven by increases from existing dealers along with an expansion of the dealer base. Also, orders from the Bassett Home Furnishings store network increased 7.8% and 2.0% over the quarter and year-to-date periods of 2019, respectively, in spite of having six fewer stores in the fleet during 2021. Lane Venture orders increased by 92% and 95%, respectively, for those same periods.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 xml:space="preserve">Retail </w:t>
      </w:r>
      <w:r>
        <w:rPr>
          <w:rFonts w:ascii="Arial" w:cs="Arial" w:eastAsia="Arial" w:hAnsi="Arial"/>
          <w:sz w:val="18"/>
          <w:szCs w:val="18"/>
          <w:u w:val="single" w:color="auto"/>
          <w:color w:val="auto"/>
        </w:rPr>
        <w:t>–</w:t>
      </w:r>
      <w:r>
        <w:rPr>
          <w:rFonts w:ascii="Arial" w:cs="Arial" w:eastAsia="Arial" w:hAnsi="Arial"/>
          <w:sz w:val="18"/>
          <w:szCs w:val="18"/>
          <w:b w:val="1"/>
          <w:bCs w:val="1"/>
          <w:u w:val="single" w:color="auto"/>
          <w:color w:val="auto"/>
        </w:rPr>
        <w:t xml:space="preserve"> Company-owned Stores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the retail segment for the periods ended May 29, 2021 and May 30, 2020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0" w:type="dxa"/>
            <w:vAlign w:val="bottom"/>
            <w:gridSpan w:val="4"/>
          </w:tcPr>
          <w:p>
            <w:pPr>
              <w:jc w:val="right"/>
              <w:ind w:right="448"/>
              <w:spacing w:after="0"/>
              <w:rPr>
                <w:sz w:val="20"/>
                <w:szCs w:val="20"/>
                <w:color w:val="auto"/>
              </w:rPr>
            </w:pPr>
            <w:r>
              <w:rPr>
                <w:rFonts w:ascii="Arial" w:cs="Arial" w:eastAsia="Arial" w:hAnsi="Arial"/>
                <w:sz w:val="14"/>
                <w:szCs w:val="14"/>
                <w:color w:val="auto"/>
              </w:rPr>
              <w:t>Quarter Ended</w:t>
            </w: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3"/>
          </w:tcPr>
          <w:p>
            <w:pPr>
              <w:jc w:val="right"/>
              <w:ind w:right="660"/>
              <w:spacing w:after="0"/>
              <w:rPr>
                <w:sz w:val="20"/>
                <w:szCs w:val="20"/>
                <w:color w:val="auto"/>
              </w:rPr>
            </w:pPr>
            <w:r>
              <w:rPr>
                <w:rFonts w:ascii="Arial" w:cs="Arial" w:eastAsia="Arial" w:hAnsi="Arial"/>
                <w:sz w:val="14"/>
                <w:szCs w:val="14"/>
                <w:color w:val="auto"/>
              </w:rPr>
              <w:t>Change</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20" w:type="dxa"/>
            <w:vAlign w:val="bottom"/>
            <w:gridSpan w:val="4"/>
          </w:tcPr>
          <w:p>
            <w:pPr>
              <w:jc w:val="right"/>
              <w:ind w:right="308"/>
              <w:spacing w:after="0"/>
              <w:rPr>
                <w:sz w:val="20"/>
                <w:szCs w:val="20"/>
                <w:color w:val="auto"/>
              </w:rPr>
            </w:pPr>
            <w:r>
              <w:rPr>
                <w:rFonts w:ascii="Arial" w:cs="Arial" w:eastAsia="Arial" w:hAnsi="Arial"/>
                <w:sz w:val="14"/>
                <w:szCs w:val="14"/>
                <w:color w:val="auto"/>
              </w:rPr>
              <w:t>Six Months Ended</w:t>
            </w:r>
          </w:p>
        </w:tc>
        <w:tc>
          <w:tcPr>
            <w:tcW w:w="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3"/>
          </w:tcPr>
          <w:p>
            <w:pPr>
              <w:jc w:val="right"/>
              <w:ind w:right="560"/>
              <w:spacing w:after="0"/>
              <w:rPr>
                <w:sz w:val="20"/>
                <w:szCs w:val="20"/>
                <w:color w:val="auto"/>
              </w:rPr>
            </w:pPr>
            <w:r>
              <w:rPr>
                <w:rFonts w:ascii="Arial" w:cs="Arial" w:eastAsia="Arial" w:hAnsi="Arial"/>
                <w:sz w:val="14"/>
                <w:szCs w:val="14"/>
                <w:color w:val="auto"/>
              </w:rPr>
              <w:t>Change</w:t>
            </w:r>
          </w:p>
        </w:tc>
      </w:tr>
      <w:tr>
        <w:trPr>
          <w:trHeight w:val="142"/>
        </w:trPr>
        <w:tc>
          <w:tcPr>
            <w:tcW w:w="19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gridSpan w:val="3"/>
          </w:tcPr>
          <w:p>
            <w:pPr>
              <w:jc w:val="right"/>
              <w:ind w:right="520"/>
              <w:spacing w:after="0" w:line="142" w:lineRule="exact"/>
              <w:rPr>
                <w:sz w:val="20"/>
                <w:szCs w:val="20"/>
                <w:color w:val="auto"/>
              </w:rPr>
            </w:pPr>
            <w:r>
              <w:rPr>
                <w:rFonts w:ascii="Arial" w:cs="Arial" w:eastAsia="Arial" w:hAnsi="Arial"/>
                <w:sz w:val="14"/>
                <w:szCs w:val="14"/>
                <w:color w:val="auto"/>
              </w:rPr>
              <w:t>May 29, 2021</w:t>
            </w:r>
          </w:p>
        </w:tc>
        <w:tc>
          <w:tcPr>
            <w:tcW w:w="12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2"/>
          </w:tcPr>
          <w:p>
            <w:pPr>
              <w:ind w:left="14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680" w:type="dxa"/>
            <w:vAlign w:val="bottom"/>
            <w:tcBorders>
              <w:top w:val="single" w:sz="8" w:color="auto"/>
            </w:tcBorders>
            <w:gridSpan w:val="2"/>
          </w:tcPr>
          <w:p>
            <w:pPr>
              <w:jc w:val="right"/>
              <w:ind w:right="128"/>
              <w:spacing w:after="0" w:line="142" w:lineRule="exact"/>
              <w:rPr>
                <w:sz w:val="20"/>
                <w:szCs w:val="20"/>
                <w:color w:val="auto"/>
              </w:rPr>
            </w:pPr>
            <w:r>
              <w:rPr>
                <w:rFonts w:ascii="Arial" w:cs="Arial" w:eastAsia="Arial" w:hAnsi="Arial"/>
                <w:sz w:val="14"/>
                <w:szCs w:val="14"/>
                <w:color w:val="auto"/>
              </w:rPr>
              <w:t>Dollars</w:t>
            </w: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480" w:type="dxa"/>
            <w:vAlign w:val="bottom"/>
            <w:tcBorders>
              <w:top w:val="single" w:sz="8" w:color="auto"/>
            </w:tcBorders>
            <w:gridSpan w:val="3"/>
          </w:tcPr>
          <w:p>
            <w:pPr>
              <w:jc w:val="right"/>
              <w:ind w:right="500"/>
              <w:spacing w:after="0" w:line="142" w:lineRule="exact"/>
              <w:rPr>
                <w:sz w:val="20"/>
                <w:szCs w:val="20"/>
                <w:color w:val="auto"/>
              </w:rPr>
            </w:pPr>
            <w:r>
              <w:rPr>
                <w:rFonts w:ascii="Arial" w:cs="Arial" w:eastAsia="Arial" w:hAnsi="Arial"/>
                <w:sz w:val="14"/>
                <w:szCs w:val="14"/>
                <w:color w:val="auto"/>
              </w:rPr>
              <w:t>May 29, 2021</w:t>
            </w:r>
          </w:p>
        </w:tc>
        <w:tc>
          <w:tcPr>
            <w:tcW w:w="100" w:type="dxa"/>
            <w:vAlign w:val="bottom"/>
            <w:tcBorders>
              <w:top w:val="single" w:sz="8" w:color="auto"/>
            </w:tcBorders>
          </w:tcPr>
          <w:p>
            <w:pPr>
              <w:spacing w:after="0"/>
              <w:rPr>
                <w:sz w:val="12"/>
                <w:szCs w:val="12"/>
                <w:color w:val="auto"/>
              </w:rPr>
            </w:pPr>
          </w:p>
        </w:tc>
        <w:tc>
          <w:tcPr>
            <w:tcW w:w="122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680" w:type="dxa"/>
            <w:vAlign w:val="bottom"/>
            <w:tcBorders>
              <w:top w:val="single" w:sz="8" w:color="auto"/>
            </w:tcBorders>
            <w:gridSpan w:val="2"/>
          </w:tcPr>
          <w:p>
            <w:pPr>
              <w:jc w:val="right"/>
              <w:ind w:right="128"/>
              <w:spacing w:after="0" w:line="142" w:lineRule="exact"/>
              <w:rPr>
                <w:sz w:val="20"/>
                <w:szCs w:val="20"/>
                <w:color w:val="auto"/>
              </w:rPr>
            </w:pPr>
            <w:r>
              <w:rPr>
                <w:rFonts w:ascii="Arial" w:cs="Arial" w:eastAsia="Arial" w:hAnsi="Arial"/>
                <w:sz w:val="14"/>
                <w:szCs w:val="14"/>
                <w:color w:val="auto"/>
              </w:rPr>
              <w:t>Dollars</w:t>
            </w:r>
          </w:p>
        </w:tc>
        <w:tc>
          <w:tcPr>
            <w:tcW w:w="6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r>
      <w:tr>
        <w:trPr>
          <w:trHeight w:val="142"/>
        </w:trPr>
        <w:tc>
          <w:tcPr>
            <w:tcW w:w="19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148"/>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sales</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62,483</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33,171</w:t>
            </w: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w w:val="97"/>
              </w:rPr>
              <w:t>29,312</w:t>
            </w:r>
          </w:p>
        </w:tc>
        <w:tc>
          <w:tcPr>
            <w:tcW w:w="86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88.4%</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w w:val="90"/>
              </w:rPr>
              <w:t>122,878</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99,017</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ind w:right="2"/>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w w:val="93"/>
              </w:rPr>
              <w:t>23,861</w:t>
            </w:r>
          </w:p>
        </w:tc>
        <w:tc>
          <w:tcPr>
            <w:tcW w:w="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24.1%</w:t>
            </w:r>
          </w:p>
        </w:tc>
      </w:tr>
      <w:tr>
        <w:trPr>
          <w:trHeight w:val="20"/>
        </w:trPr>
        <w:tc>
          <w:tcPr>
            <w:tcW w:w="194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r>
      <w:tr>
        <w:trPr>
          <w:trHeight w:val="142"/>
        </w:trPr>
        <w:tc>
          <w:tcPr>
            <w:tcW w:w="1940" w:type="dxa"/>
            <w:vAlign w:val="bottom"/>
          </w:tcPr>
          <w:p>
            <w:pPr>
              <w:spacing w:after="0" w:line="142" w:lineRule="exact"/>
              <w:rPr>
                <w:sz w:val="20"/>
                <w:szCs w:val="20"/>
                <w:color w:val="auto"/>
              </w:rPr>
            </w:pPr>
            <w:r>
              <w:rPr>
                <w:rFonts w:ascii="Arial" w:cs="Arial" w:eastAsia="Arial" w:hAnsi="Arial"/>
                <w:sz w:val="14"/>
                <w:szCs w:val="14"/>
                <w:color w:val="auto"/>
              </w:rPr>
              <w:t>Gross profit*</w:t>
            </w:r>
          </w:p>
        </w:tc>
        <w:tc>
          <w:tcPr>
            <w:tcW w:w="120" w:type="dxa"/>
            <w:vAlign w:val="bottom"/>
          </w:tcPr>
          <w:p>
            <w:pPr>
              <w:spacing w:after="0"/>
              <w:rPr>
                <w:sz w:val="12"/>
                <w:szCs w:val="12"/>
                <w:color w:val="auto"/>
              </w:rPr>
            </w:pPr>
          </w:p>
        </w:tc>
        <w:tc>
          <w:tcPr>
            <w:tcW w:w="700" w:type="dxa"/>
            <w:vAlign w:val="bottom"/>
          </w:tcPr>
          <w:p>
            <w:pPr>
              <w:jc w:val="right"/>
              <w:ind w:right="168"/>
              <w:spacing w:after="0" w:line="142" w:lineRule="exact"/>
              <w:rPr>
                <w:sz w:val="20"/>
                <w:szCs w:val="20"/>
                <w:color w:val="auto"/>
              </w:rPr>
            </w:pPr>
            <w:r>
              <w:rPr>
                <w:rFonts w:ascii="Arial" w:cs="Arial" w:eastAsia="Arial" w:hAnsi="Arial"/>
                <w:sz w:val="14"/>
                <w:szCs w:val="14"/>
                <w:color w:val="auto"/>
              </w:rPr>
              <w:t>32,164</w:t>
            </w:r>
          </w:p>
        </w:tc>
        <w:tc>
          <w:tcPr>
            <w:tcW w:w="8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51.5%</w:t>
            </w:r>
          </w:p>
        </w:tc>
        <w:tc>
          <w:tcPr>
            <w:tcW w:w="120" w:type="dxa"/>
            <w:vAlign w:val="bottom"/>
          </w:tcPr>
          <w:p>
            <w:pPr>
              <w:spacing w:after="0"/>
              <w:rPr>
                <w:sz w:val="12"/>
                <w:szCs w:val="12"/>
                <w:color w:val="auto"/>
              </w:rPr>
            </w:pPr>
          </w:p>
        </w:tc>
        <w:tc>
          <w:tcPr>
            <w:tcW w:w="680" w:type="dxa"/>
            <w:vAlign w:val="bottom"/>
          </w:tcPr>
          <w:p>
            <w:pPr>
              <w:jc w:val="right"/>
              <w:ind w:right="168"/>
              <w:spacing w:after="0" w:line="142" w:lineRule="exact"/>
              <w:rPr>
                <w:sz w:val="20"/>
                <w:szCs w:val="20"/>
                <w:color w:val="auto"/>
              </w:rPr>
            </w:pPr>
            <w:r>
              <w:rPr>
                <w:rFonts w:ascii="Arial" w:cs="Arial" w:eastAsia="Arial" w:hAnsi="Arial"/>
                <w:sz w:val="14"/>
                <w:szCs w:val="14"/>
                <w:color w:val="auto"/>
                <w:w w:val="97"/>
              </w:rPr>
              <w:t>15,683</w:t>
            </w:r>
          </w:p>
        </w:tc>
        <w:tc>
          <w:tcPr>
            <w:tcW w:w="7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47.3%</w:t>
            </w:r>
          </w:p>
        </w:tc>
        <w:tc>
          <w:tcPr>
            <w:tcW w:w="100" w:type="dxa"/>
            <w:vAlign w:val="bottom"/>
          </w:tcPr>
          <w:p>
            <w:pPr>
              <w:spacing w:after="0"/>
              <w:rPr>
                <w:sz w:val="12"/>
                <w:szCs w:val="12"/>
                <w:color w:val="auto"/>
              </w:rPr>
            </w:pPr>
          </w:p>
        </w:tc>
        <w:tc>
          <w:tcPr>
            <w:tcW w:w="580" w:type="dxa"/>
            <w:vAlign w:val="bottom"/>
          </w:tcPr>
          <w:p>
            <w:pPr>
              <w:jc w:val="right"/>
              <w:ind w:right="68"/>
              <w:spacing w:after="0" w:line="142" w:lineRule="exact"/>
              <w:rPr>
                <w:sz w:val="20"/>
                <w:szCs w:val="20"/>
                <w:color w:val="auto"/>
              </w:rPr>
            </w:pPr>
            <w:r>
              <w:rPr>
                <w:rFonts w:ascii="Arial" w:cs="Arial" w:eastAsia="Arial" w:hAnsi="Arial"/>
                <w:sz w:val="14"/>
                <w:szCs w:val="14"/>
                <w:color w:val="auto"/>
                <w:w w:val="97"/>
              </w:rPr>
              <w:t>16,481</w:t>
            </w:r>
          </w:p>
        </w:tc>
        <w:tc>
          <w:tcPr>
            <w:tcW w:w="86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105.1%</w:t>
            </w:r>
          </w:p>
        </w:tc>
        <w:tc>
          <w:tcPr>
            <w:tcW w:w="100" w:type="dxa"/>
            <w:vAlign w:val="bottom"/>
          </w:tcPr>
          <w:p>
            <w:pPr>
              <w:spacing w:after="0"/>
              <w:rPr>
                <w:sz w:val="12"/>
                <w:szCs w:val="12"/>
                <w:color w:val="auto"/>
              </w:rPr>
            </w:pPr>
          </w:p>
        </w:tc>
        <w:tc>
          <w:tcPr>
            <w:tcW w:w="660" w:type="dxa"/>
            <w:vAlign w:val="bottom"/>
          </w:tcPr>
          <w:p>
            <w:pPr>
              <w:jc w:val="right"/>
              <w:ind w:right="108"/>
              <w:spacing w:after="0" w:line="142" w:lineRule="exact"/>
              <w:rPr>
                <w:sz w:val="20"/>
                <w:szCs w:val="20"/>
                <w:color w:val="auto"/>
              </w:rPr>
            </w:pPr>
            <w:r>
              <w:rPr>
                <w:rFonts w:ascii="Arial" w:cs="Arial" w:eastAsia="Arial" w:hAnsi="Arial"/>
                <w:sz w:val="14"/>
                <w:szCs w:val="14"/>
                <w:color w:val="auto"/>
              </w:rPr>
              <w:t>63,250</w:t>
            </w:r>
          </w:p>
        </w:tc>
        <w:tc>
          <w:tcPr>
            <w:tcW w:w="82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51.5%</w:t>
            </w:r>
          </w:p>
        </w:tc>
        <w:tc>
          <w:tcPr>
            <w:tcW w:w="100" w:type="dxa"/>
            <w:vAlign w:val="bottom"/>
          </w:tcPr>
          <w:p>
            <w:pPr>
              <w:spacing w:after="0"/>
              <w:rPr>
                <w:sz w:val="12"/>
                <w:szCs w:val="12"/>
                <w:color w:val="auto"/>
              </w:rPr>
            </w:pPr>
          </w:p>
        </w:tc>
        <w:tc>
          <w:tcPr>
            <w:tcW w:w="700" w:type="dxa"/>
            <w:vAlign w:val="bottom"/>
          </w:tcPr>
          <w:p>
            <w:pPr>
              <w:jc w:val="right"/>
              <w:ind w:right="168"/>
              <w:spacing w:after="0" w:line="142" w:lineRule="exact"/>
              <w:rPr>
                <w:sz w:val="20"/>
                <w:szCs w:val="20"/>
                <w:color w:val="auto"/>
              </w:rPr>
            </w:pPr>
            <w:r>
              <w:rPr>
                <w:rFonts w:ascii="Arial" w:cs="Arial" w:eastAsia="Arial" w:hAnsi="Arial"/>
                <w:sz w:val="14"/>
                <w:szCs w:val="14"/>
                <w:color w:val="auto"/>
              </w:rPr>
              <w:t>48,623</w:t>
            </w:r>
          </w:p>
        </w:tc>
        <w:tc>
          <w:tcPr>
            <w:tcW w:w="7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49.1%</w:t>
            </w:r>
          </w:p>
        </w:tc>
        <w:tc>
          <w:tcPr>
            <w:tcW w:w="120" w:type="dxa"/>
            <w:vAlign w:val="bottom"/>
          </w:tcPr>
          <w:p>
            <w:pPr>
              <w:spacing w:after="0"/>
              <w:rPr>
                <w:sz w:val="12"/>
                <w:szCs w:val="12"/>
                <w:color w:val="auto"/>
              </w:rPr>
            </w:pPr>
          </w:p>
        </w:tc>
        <w:tc>
          <w:tcPr>
            <w:tcW w:w="560" w:type="dxa"/>
            <w:vAlign w:val="bottom"/>
          </w:tcPr>
          <w:p>
            <w:pPr>
              <w:jc w:val="right"/>
              <w:ind w:right="68"/>
              <w:spacing w:after="0" w:line="142" w:lineRule="exact"/>
              <w:rPr>
                <w:sz w:val="20"/>
                <w:szCs w:val="20"/>
                <w:color w:val="auto"/>
              </w:rPr>
            </w:pPr>
            <w:r>
              <w:rPr>
                <w:rFonts w:ascii="Arial" w:cs="Arial" w:eastAsia="Arial" w:hAnsi="Arial"/>
                <w:sz w:val="14"/>
                <w:szCs w:val="14"/>
                <w:color w:val="auto"/>
                <w:w w:val="93"/>
              </w:rPr>
              <w:t>14,627</w:t>
            </w:r>
          </w:p>
        </w:tc>
        <w:tc>
          <w:tcPr>
            <w:tcW w:w="76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30.1%</w:t>
            </w:r>
          </w:p>
        </w:tc>
      </w:tr>
      <w:tr>
        <w:trPr>
          <w:trHeight w:val="148"/>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SG&amp;A expenses</w:t>
            </w: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30,512</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48.8%</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97"/>
              </w:rPr>
              <w:t>24,853</w:t>
            </w:r>
          </w:p>
        </w:tc>
        <w:tc>
          <w:tcPr>
            <w:tcW w:w="7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74.9%</w:t>
            </w: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5,659</w:t>
            </w:r>
          </w:p>
        </w:tc>
        <w:tc>
          <w:tcPr>
            <w:tcW w:w="86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22.8%</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60,504</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49.2%</w:t>
            </w:r>
          </w:p>
        </w:tc>
        <w:tc>
          <w:tcPr>
            <w:tcW w:w="10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59,042</w:t>
            </w:r>
          </w:p>
        </w:tc>
        <w:tc>
          <w:tcPr>
            <w:tcW w:w="76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59.6%</w:t>
            </w: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1,462</w:t>
            </w:r>
          </w:p>
        </w:tc>
        <w:tc>
          <w:tcPr>
            <w:tcW w:w="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2.5%</w:t>
            </w:r>
          </w:p>
        </w:tc>
      </w:tr>
      <w:tr>
        <w:trPr>
          <w:trHeight w:val="20"/>
        </w:trPr>
        <w:tc>
          <w:tcPr>
            <w:tcW w:w="194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r>
      <w:tr>
        <w:trPr>
          <w:trHeight w:val="142"/>
        </w:trPr>
        <w:tc>
          <w:tcPr>
            <w:tcW w:w="1940" w:type="dxa"/>
            <w:vAlign w:val="bottom"/>
          </w:tcPr>
          <w:p>
            <w:pPr>
              <w:spacing w:after="0" w:line="142" w:lineRule="exact"/>
              <w:rPr>
                <w:sz w:val="20"/>
                <w:szCs w:val="20"/>
                <w:color w:val="auto"/>
              </w:rPr>
            </w:pPr>
            <w:r>
              <w:rPr>
                <w:rFonts w:ascii="Arial" w:cs="Arial" w:eastAsia="Arial" w:hAnsi="Arial"/>
                <w:sz w:val="14"/>
                <w:szCs w:val="14"/>
                <w:color w:val="auto"/>
              </w:rPr>
              <w:t>Income (loss) from operations</w:t>
            </w:r>
          </w:p>
        </w:tc>
        <w:tc>
          <w:tcPr>
            <w:tcW w:w="12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ind w:right="168"/>
              <w:spacing w:after="0" w:line="129" w:lineRule="exact"/>
              <w:rPr>
                <w:sz w:val="20"/>
                <w:szCs w:val="20"/>
                <w:color w:val="auto"/>
              </w:rPr>
            </w:pPr>
            <w:r>
              <w:rPr>
                <w:rFonts w:ascii="Arial" w:cs="Arial" w:eastAsia="Arial" w:hAnsi="Arial"/>
                <w:sz w:val="14"/>
                <w:szCs w:val="14"/>
                <w:color w:val="auto"/>
              </w:rPr>
              <w:t>1,652</w:t>
            </w:r>
          </w:p>
        </w:tc>
        <w:tc>
          <w:tcPr>
            <w:tcW w:w="80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2.6%</w:t>
            </w:r>
          </w:p>
        </w:tc>
        <w:tc>
          <w:tcPr>
            <w:tcW w:w="12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ind w:right="128"/>
              <w:spacing w:after="0" w:line="129" w:lineRule="exact"/>
              <w:rPr>
                <w:sz w:val="20"/>
                <w:szCs w:val="20"/>
                <w:color w:val="auto"/>
              </w:rPr>
            </w:pPr>
            <w:r>
              <w:rPr>
                <w:rFonts w:ascii="Arial" w:cs="Arial" w:eastAsia="Arial" w:hAnsi="Arial"/>
                <w:sz w:val="14"/>
                <w:szCs w:val="14"/>
                <w:color w:val="auto"/>
              </w:rPr>
              <w:t>(9,170)</w:t>
            </w:r>
          </w:p>
        </w:tc>
        <w:tc>
          <w:tcPr>
            <w:tcW w:w="76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-27.6%</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580" w:type="dxa"/>
            <w:vAlign w:val="bottom"/>
          </w:tcPr>
          <w:p>
            <w:pPr>
              <w:jc w:val="right"/>
              <w:ind w:right="68"/>
              <w:spacing w:after="0" w:line="129" w:lineRule="exact"/>
              <w:rPr>
                <w:sz w:val="20"/>
                <w:szCs w:val="20"/>
                <w:color w:val="auto"/>
              </w:rPr>
            </w:pPr>
            <w:r>
              <w:rPr>
                <w:rFonts w:ascii="Arial" w:cs="Arial" w:eastAsia="Arial" w:hAnsi="Arial"/>
                <w:sz w:val="14"/>
                <w:szCs w:val="14"/>
                <w:color w:val="auto"/>
                <w:w w:val="97"/>
              </w:rPr>
              <w:t>10,822</w:t>
            </w:r>
          </w:p>
        </w:tc>
        <w:tc>
          <w:tcPr>
            <w:tcW w:w="640" w:type="dxa"/>
            <w:vAlign w:val="bottom"/>
          </w:tcPr>
          <w:p>
            <w:pPr>
              <w:jc w:val="right"/>
              <w:spacing w:after="0" w:line="129" w:lineRule="exact"/>
              <w:rPr>
                <w:sz w:val="20"/>
                <w:szCs w:val="20"/>
                <w:color w:val="auto"/>
              </w:rPr>
            </w:pPr>
            <w:r>
              <w:rPr>
                <w:rFonts w:ascii="Arial" w:cs="Arial" w:eastAsia="Arial" w:hAnsi="Arial"/>
                <w:sz w:val="14"/>
                <w:szCs w:val="14"/>
                <w:color w:val="auto"/>
              </w:rPr>
              <w:t>N/M</w:t>
            </w:r>
          </w:p>
        </w:tc>
        <w:tc>
          <w:tcPr>
            <w:tcW w:w="220" w:type="dxa"/>
            <w:vAlign w:val="bottom"/>
          </w:tcPr>
          <w:p>
            <w:pPr>
              <w:spacing w:after="0"/>
              <w:rPr>
                <w:sz w:val="12"/>
                <w:szCs w:val="12"/>
                <w:color w:val="auto"/>
              </w:rPr>
            </w:pP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ind w:right="108"/>
              <w:spacing w:after="0" w:line="129" w:lineRule="exact"/>
              <w:rPr>
                <w:sz w:val="20"/>
                <w:szCs w:val="20"/>
                <w:color w:val="auto"/>
              </w:rPr>
            </w:pPr>
            <w:r>
              <w:rPr>
                <w:rFonts w:ascii="Arial" w:cs="Arial" w:eastAsia="Arial" w:hAnsi="Arial"/>
                <w:sz w:val="14"/>
                <w:szCs w:val="14"/>
                <w:color w:val="auto"/>
              </w:rPr>
              <w:t>2,746</w:t>
            </w:r>
          </w:p>
        </w:tc>
        <w:tc>
          <w:tcPr>
            <w:tcW w:w="82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rPr>
              <w:t>2.2%</w:t>
            </w: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ind w:right="128"/>
              <w:spacing w:after="0" w:line="129" w:lineRule="exact"/>
              <w:rPr>
                <w:sz w:val="20"/>
                <w:szCs w:val="20"/>
                <w:color w:val="auto"/>
              </w:rPr>
            </w:pPr>
            <w:r>
              <w:rPr>
                <w:rFonts w:ascii="Arial" w:cs="Arial" w:eastAsia="Arial" w:hAnsi="Arial"/>
                <w:sz w:val="14"/>
                <w:szCs w:val="14"/>
                <w:color w:val="auto"/>
                <w:w w:val="91"/>
              </w:rPr>
              <w:t>(10,419)</w:t>
            </w:r>
          </w:p>
        </w:tc>
        <w:tc>
          <w:tcPr>
            <w:tcW w:w="76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-10.5%</w:t>
            </w:r>
          </w:p>
        </w:tc>
        <w:tc>
          <w:tcPr>
            <w:tcW w:w="120" w:type="dxa"/>
            <w:vAlign w:val="bottom"/>
          </w:tcPr>
          <w:p>
            <w:pPr>
              <w:jc w:val="right"/>
              <w:ind w:right="2"/>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ind w:right="68"/>
              <w:spacing w:after="0" w:line="129" w:lineRule="exact"/>
              <w:rPr>
                <w:sz w:val="20"/>
                <w:szCs w:val="20"/>
                <w:color w:val="auto"/>
              </w:rPr>
            </w:pPr>
            <w:r>
              <w:rPr>
                <w:rFonts w:ascii="Arial" w:cs="Arial" w:eastAsia="Arial" w:hAnsi="Arial"/>
                <w:sz w:val="14"/>
                <w:szCs w:val="14"/>
                <w:color w:val="auto"/>
                <w:w w:val="93"/>
              </w:rPr>
              <w:t>13,165</w:t>
            </w:r>
          </w:p>
        </w:tc>
        <w:tc>
          <w:tcPr>
            <w:tcW w:w="760" w:type="dxa"/>
            <w:vAlign w:val="bottom"/>
            <w:gridSpan w:val="2"/>
          </w:tcPr>
          <w:p>
            <w:pPr>
              <w:jc w:val="right"/>
              <w:spacing w:after="0" w:line="129" w:lineRule="exact"/>
              <w:rPr>
                <w:sz w:val="20"/>
                <w:szCs w:val="20"/>
                <w:color w:val="auto"/>
              </w:rPr>
            </w:pPr>
            <w:r>
              <w:rPr>
                <w:rFonts w:ascii="Arial" w:cs="Arial" w:eastAsia="Arial" w:hAnsi="Arial"/>
                <w:sz w:val="14"/>
                <w:szCs w:val="14"/>
                <w:color w:val="auto"/>
              </w:rPr>
              <w:t>-126.4%</w:t>
            </w:r>
          </w:p>
        </w:tc>
      </w:tr>
      <w:tr>
        <w:trPr>
          <w:trHeight w:val="20"/>
        </w:trPr>
        <w:tc>
          <w:tcPr>
            <w:tcW w:w="1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right="20"/>
        <w:spacing w:after="0" w:line="308" w:lineRule="auto"/>
        <w:rPr>
          <w:sz w:val="20"/>
          <w:szCs w:val="20"/>
          <w:color w:val="auto"/>
        </w:rPr>
      </w:pPr>
      <w:r>
        <w:rPr>
          <w:rFonts w:ascii="Arial" w:cs="Arial" w:eastAsia="Arial" w:hAnsi="Arial"/>
          <w:sz w:val="17"/>
          <w:szCs w:val="17"/>
          <w:color w:val="auto"/>
        </w:rPr>
        <w:t>*Gross profit at the segment level is considered a Non-GAAP financial measure due to the included effects of intercompany transactions. Refer to the reconciliation of gross profit by segment to consolidated gross profit presented under Non-GAAP Financial Information above.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Retail sales by major product category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580" w:type="dxa"/>
            <w:vAlign w:val="bottom"/>
            <w:gridSpan w:val="4"/>
          </w:tcPr>
          <w:p>
            <w:pPr>
              <w:jc w:val="right"/>
              <w:ind w:right="428"/>
              <w:spacing w:after="0"/>
              <w:rPr>
                <w:sz w:val="20"/>
                <w:szCs w:val="20"/>
                <w:color w:val="auto"/>
              </w:rPr>
            </w:pPr>
            <w:r>
              <w:rPr>
                <w:rFonts w:ascii="Arial" w:cs="Arial" w:eastAsia="Arial" w:hAnsi="Arial"/>
                <w:sz w:val="14"/>
                <w:szCs w:val="14"/>
                <w:color w:val="auto"/>
              </w:rPr>
              <w:t>Quarter Ended</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3"/>
          </w:tcPr>
          <w:p>
            <w:pPr>
              <w:jc w:val="right"/>
              <w:ind w:right="660"/>
              <w:spacing w:after="0"/>
              <w:rPr>
                <w:sz w:val="20"/>
                <w:szCs w:val="20"/>
                <w:color w:val="auto"/>
              </w:rPr>
            </w:pPr>
            <w:r>
              <w:rPr>
                <w:rFonts w:ascii="Arial" w:cs="Arial" w:eastAsia="Arial" w:hAnsi="Arial"/>
                <w:sz w:val="14"/>
                <w:szCs w:val="14"/>
                <w:color w:val="auto"/>
              </w:rPr>
              <w:t>Change</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0" w:type="dxa"/>
            <w:vAlign w:val="bottom"/>
            <w:gridSpan w:val="4"/>
          </w:tcPr>
          <w:p>
            <w:pPr>
              <w:jc w:val="right"/>
              <w:ind w:right="288"/>
              <w:spacing w:after="0"/>
              <w:rPr>
                <w:sz w:val="20"/>
                <w:szCs w:val="20"/>
                <w:color w:val="auto"/>
              </w:rPr>
            </w:pPr>
            <w:r>
              <w:rPr>
                <w:rFonts w:ascii="Arial" w:cs="Arial" w:eastAsia="Arial" w:hAnsi="Arial"/>
                <w:sz w:val="14"/>
                <w:szCs w:val="14"/>
                <w:color w:val="auto"/>
              </w:rPr>
              <w:t>Six Months Ended</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20" w:type="dxa"/>
            <w:vAlign w:val="bottom"/>
            <w:gridSpan w:val="3"/>
          </w:tcPr>
          <w:p>
            <w:pPr>
              <w:jc w:val="right"/>
              <w:ind w:right="560"/>
              <w:spacing w:after="0"/>
              <w:rPr>
                <w:sz w:val="20"/>
                <w:szCs w:val="20"/>
                <w:color w:val="auto"/>
              </w:rPr>
            </w:pPr>
            <w:r>
              <w:rPr>
                <w:rFonts w:ascii="Arial" w:cs="Arial" w:eastAsia="Arial" w:hAnsi="Arial"/>
                <w:sz w:val="14"/>
                <w:szCs w:val="14"/>
                <w:color w:val="auto"/>
              </w:rPr>
              <w:t>Change</w:t>
            </w:r>
          </w:p>
        </w:tc>
        <w:tc>
          <w:tcPr>
            <w:tcW w:w="0" w:type="dxa"/>
            <w:vAlign w:val="bottom"/>
          </w:tcPr>
          <w:p>
            <w:pPr>
              <w:spacing w:after="0"/>
              <w:rPr>
                <w:sz w:val="1"/>
                <w:szCs w:val="1"/>
                <w:color w:val="auto"/>
              </w:rPr>
            </w:pPr>
          </w:p>
        </w:tc>
      </w:tr>
      <w:tr>
        <w:trPr>
          <w:trHeight w:val="142"/>
        </w:trPr>
        <w:tc>
          <w:tcPr>
            <w:tcW w:w="19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500" w:type="dxa"/>
            <w:vAlign w:val="bottom"/>
            <w:tcBorders>
              <w:top w:val="single" w:sz="8" w:color="auto"/>
            </w:tcBorders>
            <w:gridSpan w:val="3"/>
          </w:tcPr>
          <w:p>
            <w:pPr>
              <w:jc w:val="right"/>
              <w:ind w:right="520"/>
              <w:spacing w:after="0" w:line="142" w:lineRule="exact"/>
              <w:rPr>
                <w:sz w:val="20"/>
                <w:szCs w:val="20"/>
                <w:color w:val="auto"/>
              </w:rPr>
            </w:pPr>
            <w:r>
              <w:rPr>
                <w:rFonts w:ascii="Arial" w:cs="Arial" w:eastAsia="Arial" w:hAnsi="Arial"/>
                <w:sz w:val="14"/>
                <w:szCs w:val="14"/>
                <w:color w:val="auto"/>
              </w:rPr>
              <w:t>May 29, 2021</w:t>
            </w:r>
          </w:p>
        </w:tc>
        <w:tc>
          <w:tcPr>
            <w:tcW w:w="12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2"/>
          </w:tcPr>
          <w:p>
            <w:pPr>
              <w:ind w:left="14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700" w:type="dxa"/>
            <w:vAlign w:val="bottom"/>
            <w:tcBorders>
              <w:top w:val="single" w:sz="8" w:color="auto"/>
            </w:tcBorders>
            <w:gridSpan w:val="2"/>
          </w:tcPr>
          <w:p>
            <w:pPr>
              <w:jc w:val="right"/>
              <w:ind w:right="148"/>
              <w:spacing w:after="0" w:line="142" w:lineRule="exact"/>
              <w:rPr>
                <w:sz w:val="20"/>
                <w:szCs w:val="20"/>
                <w:color w:val="auto"/>
              </w:rPr>
            </w:pPr>
            <w:r>
              <w:rPr>
                <w:rFonts w:ascii="Arial" w:cs="Arial" w:eastAsia="Arial" w:hAnsi="Arial"/>
                <w:sz w:val="14"/>
                <w:szCs w:val="14"/>
                <w:color w:val="auto"/>
              </w:rPr>
              <w:t>Dollars</w:t>
            </w:r>
          </w:p>
        </w:tc>
        <w:tc>
          <w:tcPr>
            <w:tcW w:w="6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480" w:type="dxa"/>
            <w:vAlign w:val="bottom"/>
            <w:tcBorders>
              <w:top w:val="single" w:sz="8" w:color="auto"/>
            </w:tcBorders>
            <w:gridSpan w:val="3"/>
          </w:tcPr>
          <w:p>
            <w:pPr>
              <w:jc w:val="right"/>
              <w:ind w:right="500"/>
              <w:spacing w:after="0" w:line="142" w:lineRule="exact"/>
              <w:rPr>
                <w:sz w:val="20"/>
                <w:szCs w:val="20"/>
                <w:color w:val="auto"/>
              </w:rPr>
            </w:pPr>
            <w:r>
              <w:rPr>
                <w:rFonts w:ascii="Arial" w:cs="Arial" w:eastAsia="Arial" w:hAnsi="Arial"/>
                <w:sz w:val="14"/>
                <w:szCs w:val="14"/>
                <w:color w:val="auto"/>
              </w:rPr>
              <w:t>May 29, 2021</w:t>
            </w:r>
          </w:p>
        </w:tc>
        <w:tc>
          <w:tcPr>
            <w:tcW w:w="12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2"/>
          </w:tcPr>
          <w:p>
            <w:pPr>
              <w:ind w:left="140"/>
              <w:spacing w:after="0" w:line="142" w:lineRule="exact"/>
              <w:rPr>
                <w:sz w:val="20"/>
                <w:szCs w:val="20"/>
                <w:color w:val="auto"/>
              </w:rPr>
            </w:pPr>
            <w:r>
              <w:rPr>
                <w:rFonts w:ascii="Arial" w:cs="Arial" w:eastAsia="Arial" w:hAnsi="Arial"/>
                <w:sz w:val="14"/>
                <w:szCs w:val="14"/>
                <w:color w:val="auto"/>
              </w:rPr>
              <w:t>May 30, 2020</w:t>
            </w:r>
          </w:p>
        </w:tc>
        <w:tc>
          <w:tcPr>
            <w:tcW w:w="240" w:type="dxa"/>
            <w:vAlign w:val="bottom"/>
          </w:tcPr>
          <w:p>
            <w:pPr>
              <w:spacing w:after="0"/>
              <w:rPr>
                <w:sz w:val="12"/>
                <w:szCs w:val="12"/>
                <w:color w:val="auto"/>
              </w:rPr>
            </w:pPr>
          </w:p>
        </w:tc>
        <w:tc>
          <w:tcPr>
            <w:tcW w:w="720" w:type="dxa"/>
            <w:vAlign w:val="bottom"/>
            <w:tcBorders>
              <w:top w:val="single" w:sz="8" w:color="auto"/>
            </w:tcBorders>
            <w:gridSpan w:val="2"/>
          </w:tcPr>
          <w:p>
            <w:pPr>
              <w:jc w:val="right"/>
              <w:ind w:right="168"/>
              <w:spacing w:after="0" w:line="142" w:lineRule="exact"/>
              <w:rPr>
                <w:sz w:val="20"/>
                <w:szCs w:val="20"/>
                <w:color w:val="auto"/>
              </w:rPr>
            </w:pPr>
            <w:r>
              <w:rPr>
                <w:rFonts w:ascii="Arial" w:cs="Arial" w:eastAsia="Arial" w:hAnsi="Arial"/>
                <w:sz w:val="14"/>
                <w:szCs w:val="14"/>
                <w:color w:val="auto"/>
              </w:rPr>
              <w:t>Dollars</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Percent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9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Bassett Custom Upholstery</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35,378</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56.6%</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w w:val="97"/>
              </w:rPr>
              <w:t>17,620</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53.1%</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w w:val="97"/>
              </w:rPr>
              <w:t>17,758</w:t>
            </w:r>
          </w:p>
        </w:tc>
        <w:tc>
          <w:tcPr>
            <w:tcW w:w="84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100.8%</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69,839</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56.8%</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w w:val="97"/>
              </w:rPr>
              <w:t>54,380</w:t>
            </w:r>
          </w:p>
        </w:tc>
        <w:tc>
          <w:tcPr>
            <w:tcW w:w="78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54.9%</w:t>
            </w:r>
          </w:p>
        </w:tc>
        <w:tc>
          <w:tcPr>
            <w:tcW w:w="120" w:type="dxa"/>
            <w:vAlign w:val="bottom"/>
            <w:shd w:val="clear" w:color="auto" w:fill="CCEEFF"/>
          </w:tcPr>
          <w:p>
            <w:pPr>
              <w:jc w:val="right"/>
              <w:ind w:right="2"/>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w w:val="93"/>
              </w:rPr>
              <w:t>15,459</w:t>
            </w: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28.4%</w:t>
            </w:r>
          </w:p>
        </w:tc>
        <w:tc>
          <w:tcPr>
            <w:tcW w:w="0" w:type="dxa"/>
            <w:vAlign w:val="bottom"/>
          </w:tcPr>
          <w:p>
            <w:pPr>
              <w:spacing w:after="0"/>
              <w:rPr>
                <w:sz w:val="1"/>
                <w:szCs w:val="1"/>
                <w:color w:val="auto"/>
              </w:rPr>
            </w:pPr>
          </w:p>
        </w:tc>
      </w:tr>
      <w:tr>
        <w:trPr>
          <w:trHeight w:val="148"/>
        </w:trPr>
        <w:tc>
          <w:tcPr>
            <w:tcW w:w="1940" w:type="dxa"/>
            <w:vAlign w:val="bottom"/>
          </w:tcPr>
          <w:p>
            <w:pPr>
              <w:spacing w:after="0" w:line="149" w:lineRule="exact"/>
              <w:rPr>
                <w:sz w:val="20"/>
                <w:szCs w:val="20"/>
                <w:color w:val="auto"/>
              </w:rPr>
            </w:pPr>
            <w:r>
              <w:rPr>
                <w:rFonts w:ascii="Arial" w:cs="Arial" w:eastAsia="Arial" w:hAnsi="Arial"/>
                <w:sz w:val="14"/>
                <w:szCs w:val="14"/>
                <w:color w:val="auto"/>
              </w:rPr>
              <w:t>Bassett Leather</w:t>
            </w:r>
          </w:p>
        </w:tc>
        <w:tc>
          <w:tcPr>
            <w:tcW w:w="120" w:type="dxa"/>
            <w:vAlign w:val="bottom"/>
          </w:tcPr>
          <w:p>
            <w:pPr>
              <w:spacing w:after="0"/>
              <w:rPr>
                <w:sz w:val="12"/>
                <w:szCs w:val="12"/>
                <w:color w:val="auto"/>
              </w:rPr>
            </w:pPr>
          </w:p>
        </w:tc>
        <w:tc>
          <w:tcPr>
            <w:tcW w:w="70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228</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0.4%</w:t>
            </w:r>
          </w:p>
        </w:tc>
        <w:tc>
          <w:tcPr>
            <w:tcW w:w="120" w:type="dxa"/>
            <w:vAlign w:val="bottom"/>
          </w:tcPr>
          <w:p>
            <w:pPr>
              <w:spacing w:after="0"/>
              <w:rPr>
                <w:sz w:val="12"/>
                <w:szCs w:val="12"/>
                <w:color w:val="auto"/>
              </w:rPr>
            </w:pPr>
          </w:p>
        </w:tc>
        <w:tc>
          <w:tcPr>
            <w:tcW w:w="6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681</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2.1%</w:t>
            </w:r>
          </w:p>
        </w:tc>
        <w:tc>
          <w:tcPr>
            <w:tcW w:w="100" w:type="dxa"/>
            <w:vAlign w:val="bottom"/>
          </w:tcPr>
          <w:p>
            <w:pPr>
              <w:spacing w:after="0"/>
              <w:rPr>
                <w:sz w:val="12"/>
                <w:szCs w:val="12"/>
                <w:color w:val="auto"/>
              </w:rPr>
            </w:pPr>
          </w:p>
        </w:tc>
        <w:tc>
          <w:tcPr>
            <w:tcW w:w="600" w:type="dxa"/>
            <w:vAlign w:val="bottom"/>
          </w:tcPr>
          <w:p>
            <w:pPr>
              <w:jc w:val="right"/>
              <w:ind w:right="28"/>
              <w:spacing w:after="0" w:line="149" w:lineRule="exact"/>
              <w:rPr>
                <w:sz w:val="20"/>
                <w:szCs w:val="20"/>
                <w:color w:val="auto"/>
              </w:rPr>
            </w:pPr>
            <w:r>
              <w:rPr>
                <w:rFonts w:ascii="Arial" w:cs="Arial" w:eastAsia="Arial" w:hAnsi="Arial"/>
                <w:sz w:val="14"/>
                <w:szCs w:val="14"/>
                <w:color w:val="auto"/>
              </w:rPr>
              <w:t>(453)</w:t>
            </w:r>
          </w:p>
        </w:tc>
        <w:tc>
          <w:tcPr>
            <w:tcW w:w="8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-66.5%</w:t>
            </w:r>
          </w:p>
        </w:tc>
        <w:tc>
          <w:tcPr>
            <w:tcW w:w="100" w:type="dxa"/>
            <w:vAlign w:val="bottom"/>
          </w:tcPr>
          <w:p>
            <w:pPr>
              <w:spacing w:after="0"/>
              <w:rPr>
                <w:sz w:val="12"/>
                <w:szCs w:val="12"/>
                <w:color w:val="auto"/>
              </w:rPr>
            </w:pPr>
          </w:p>
        </w:tc>
        <w:tc>
          <w:tcPr>
            <w:tcW w:w="66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480</w:t>
            </w:r>
          </w:p>
        </w:tc>
        <w:tc>
          <w:tcPr>
            <w:tcW w:w="8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0.4%</w:t>
            </w:r>
          </w:p>
        </w:tc>
        <w:tc>
          <w:tcPr>
            <w:tcW w:w="120" w:type="dxa"/>
            <w:vAlign w:val="bottom"/>
          </w:tcPr>
          <w:p>
            <w:pPr>
              <w:spacing w:after="0"/>
              <w:rPr>
                <w:sz w:val="12"/>
                <w:szCs w:val="12"/>
                <w:color w:val="auto"/>
              </w:rPr>
            </w:pPr>
          </w:p>
        </w:tc>
        <w:tc>
          <w:tcPr>
            <w:tcW w:w="6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1,453</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w:t>
            </w:r>
          </w:p>
        </w:tc>
        <w:tc>
          <w:tcPr>
            <w:tcW w:w="120" w:type="dxa"/>
            <w:vAlign w:val="bottom"/>
          </w:tcPr>
          <w:p>
            <w:pPr>
              <w:spacing w:after="0"/>
              <w:rPr>
                <w:sz w:val="12"/>
                <w:szCs w:val="12"/>
                <w:color w:val="auto"/>
              </w:rPr>
            </w:pPr>
          </w:p>
        </w:tc>
        <w:tc>
          <w:tcPr>
            <w:tcW w:w="600" w:type="dxa"/>
            <w:vAlign w:val="bottom"/>
          </w:tcPr>
          <w:p>
            <w:pPr>
              <w:jc w:val="right"/>
              <w:ind w:right="48"/>
              <w:spacing w:after="0" w:line="149" w:lineRule="exact"/>
              <w:rPr>
                <w:sz w:val="20"/>
                <w:szCs w:val="20"/>
                <w:color w:val="auto"/>
              </w:rPr>
            </w:pPr>
            <w:r>
              <w:rPr>
                <w:rFonts w:ascii="Arial" w:cs="Arial" w:eastAsia="Arial" w:hAnsi="Arial"/>
                <w:sz w:val="14"/>
                <w:szCs w:val="14"/>
                <w:color w:val="auto"/>
              </w:rPr>
              <w:t>(973)</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-67.0%</w:t>
            </w:r>
          </w:p>
        </w:tc>
        <w:tc>
          <w:tcPr>
            <w:tcW w:w="0" w:type="dxa"/>
            <w:vAlign w:val="bottom"/>
          </w:tcPr>
          <w:p>
            <w:pPr>
              <w:spacing w:after="0"/>
              <w:rPr>
                <w:sz w:val="1"/>
                <w:szCs w:val="1"/>
                <w:color w:val="auto"/>
              </w:rPr>
            </w:pPr>
          </w:p>
        </w:tc>
      </w:tr>
      <w:tr>
        <w:trPr>
          <w:trHeight w:val="149"/>
        </w:trPr>
        <w:tc>
          <w:tcPr>
            <w:tcW w:w="1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Bassett Custom Wood</w:t>
            </w: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rPr>
              <w:t>7,624</w:t>
            </w:r>
          </w:p>
        </w:tc>
        <w:tc>
          <w:tcPr>
            <w:tcW w:w="8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12.2%</w:t>
            </w: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3,054</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9.2%</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88"/>
              <w:spacing w:after="0" w:line="149" w:lineRule="exact"/>
              <w:rPr>
                <w:sz w:val="20"/>
                <w:szCs w:val="20"/>
                <w:color w:val="auto"/>
              </w:rPr>
            </w:pPr>
            <w:r>
              <w:rPr>
                <w:rFonts w:ascii="Arial" w:cs="Arial" w:eastAsia="Arial" w:hAnsi="Arial"/>
                <w:sz w:val="14"/>
                <w:szCs w:val="14"/>
                <w:color w:val="auto"/>
              </w:rPr>
              <w:t>4,570</w:t>
            </w:r>
          </w:p>
        </w:tc>
        <w:tc>
          <w:tcPr>
            <w:tcW w:w="840" w:type="dxa"/>
            <w:vAlign w:val="bottom"/>
            <w:tcBorders>
              <w:right w:val="single" w:sz="8" w:color="CCEEFF"/>
            </w:tcBorders>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149.6%</w:t>
            </w: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13,082</w:t>
            </w:r>
          </w:p>
        </w:tc>
        <w:tc>
          <w:tcPr>
            <w:tcW w:w="8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10.6%</w:t>
            </w: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8,168</w:t>
            </w:r>
          </w:p>
        </w:tc>
        <w:tc>
          <w:tcPr>
            <w:tcW w:w="78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8.2%</w:t>
            </w:r>
          </w:p>
        </w:tc>
        <w:tc>
          <w:tcPr>
            <w:tcW w:w="120" w:type="dxa"/>
            <w:vAlign w:val="bottom"/>
            <w:shd w:val="clear" w:color="auto" w:fill="CCEEFF"/>
          </w:tcPr>
          <w:p>
            <w:pPr>
              <w:spacing w:after="0"/>
              <w:rPr>
                <w:sz w:val="12"/>
                <w:szCs w:val="12"/>
                <w:color w:val="auto"/>
              </w:rPr>
            </w:pPr>
          </w:p>
        </w:tc>
        <w:tc>
          <w:tcPr>
            <w:tcW w:w="600" w:type="dxa"/>
            <w:vAlign w:val="bottom"/>
            <w:shd w:val="clear" w:color="auto" w:fill="CCEEFF"/>
          </w:tcPr>
          <w:p>
            <w:pPr>
              <w:jc w:val="right"/>
              <w:ind w:right="108"/>
              <w:spacing w:after="0" w:line="149" w:lineRule="exact"/>
              <w:rPr>
                <w:sz w:val="20"/>
                <w:szCs w:val="20"/>
                <w:color w:val="auto"/>
              </w:rPr>
            </w:pPr>
            <w:r>
              <w:rPr>
                <w:rFonts w:ascii="Arial" w:cs="Arial" w:eastAsia="Arial" w:hAnsi="Arial"/>
                <w:sz w:val="14"/>
                <w:szCs w:val="14"/>
                <w:color w:val="auto"/>
              </w:rPr>
              <w:t>4,914</w:t>
            </w: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60.2%</w:t>
            </w:r>
          </w:p>
        </w:tc>
        <w:tc>
          <w:tcPr>
            <w:tcW w:w="0" w:type="dxa"/>
            <w:vAlign w:val="bottom"/>
          </w:tcPr>
          <w:p>
            <w:pPr>
              <w:spacing w:after="0"/>
              <w:rPr>
                <w:sz w:val="1"/>
                <w:szCs w:val="1"/>
                <w:color w:val="auto"/>
              </w:rPr>
            </w:pPr>
          </w:p>
        </w:tc>
      </w:tr>
      <w:tr>
        <w:trPr>
          <w:trHeight w:val="148"/>
        </w:trPr>
        <w:tc>
          <w:tcPr>
            <w:tcW w:w="1940" w:type="dxa"/>
            <w:vAlign w:val="bottom"/>
          </w:tcPr>
          <w:p>
            <w:pPr>
              <w:spacing w:after="0" w:line="149" w:lineRule="exact"/>
              <w:rPr>
                <w:sz w:val="20"/>
                <w:szCs w:val="20"/>
                <w:color w:val="auto"/>
              </w:rPr>
            </w:pPr>
            <w:r>
              <w:rPr>
                <w:rFonts w:ascii="Arial" w:cs="Arial" w:eastAsia="Arial" w:hAnsi="Arial"/>
                <w:sz w:val="14"/>
                <w:szCs w:val="14"/>
                <w:color w:val="auto"/>
              </w:rPr>
              <w:t>Bassett Casegoods</w:t>
            </w:r>
          </w:p>
        </w:tc>
        <w:tc>
          <w:tcPr>
            <w:tcW w:w="120" w:type="dxa"/>
            <w:vAlign w:val="bottom"/>
          </w:tcPr>
          <w:p>
            <w:pPr>
              <w:spacing w:after="0"/>
              <w:rPr>
                <w:sz w:val="12"/>
                <w:szCs w:val="12"/>
                <w:color w:val="auto"/>
              </w:rPr>
            </w:pPr>
          </w:p>
        </w:tc>
        <w:tc>
          <w:tcPr>
            <w:tcW w:w="700" w:type="dxa"/>
            <w:vAlign w:val="bottom"/>
          </w:tcPr>
          <w:p>
            <w:pPr>
              <w:jc w:val="right"/>
              <w:ind w:right="168"/>
              <w:spacing w:after="0" w:line="149" w:lineRule="exact"/>
              <w:rPr>
                <w:sz w:val="20"/>
                <w:szCs w:val="20"/>
                <w:color w:val="auto"/>
              </w:rPr>
            </w:pPr>
            <w:r>
              <w:rPr>
                <w:rFonts w:ascii="Arial" w:cs="Arial" w:eastAsia="Arial" w:hAnsi="Arial"/>
                <w:sz w:val="14"/>
                <w:szCs w:val="14"/>
                <w:color w:val="auto"/>
              </w:rPr>
              <w:t>10,704</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17.1%</w:t>
            </w:r>
          </w:p>
        </w:tc>
        <w:tc>
          <w:tcPr>
            <w:tcW w:w="120" w:type="dxa"/>
            <w:vAlign w:val="bottom"/>
          </w:tcPr>
          <w:p>
            <w:pPr>
              <w:spacing w:after="0"/>
              <w:rPr>
                <w:sz w:val="12"/>
                <w:szCs w:val="12"/>
                <w:color w:val="auto"/>
              </w:rPr>
            </w:pPr>
          </w:p>
        </w:tc>
        <w:tc>
          <w:tcPr>
            <w:tcW w:w="6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6,809</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20.5%</w:t>
            </w:r>
          </w:p>
        </w:tc>
        <w:tc>
          <w:tcPr>
            <w:tcW w:w="100" w:type="dxa"/>
            <w:vAlign w:val="bottom"/>
          </w:tcPr>
          <w:p>
            <w:pPr>
              <w:spacing w:after="0"/>
              <w:rPr>
                <w:sz w:val="12"/>
                <w:szCs w:val="12"/>
                <w:color w:val="auto"/>
              </w:rPr>
            </w:pPr>
          </w:p>
        </w:tc>
        <w:tc>
          <w:tcPr>
            <w:tcW w:w="600" w:type="dxa"/>
            <w:vAlign w:val="bottom"/>
          </w:tcPr>
          <w:p>
            <w:pPr>
              <w:jc w:val="right"/>
              <w:ind w:right="88"/>
              <w:spacing w:after="0" w:line="149" w:lineRule="exact"/>
              <w:rPr>
                <w:sz w:val="20"/>
                <w:szCs w:val="20"/>
                <w:color w:val="auto"/>
              </w:rPr>
            </w:pPr>
            <w:r>
              <w:rPr>
                <w:rFonts w:ascii="Arial" w:cs="Arial" w:eastAsia="Arial" w:hAnsi="Arial"/>
                <w:sz w:val="14"/>
                <w:szCs w:val="14"/>
                <w:color w:val="auto"/>
              </w:rPr>
              <w:t>3,895</w:t>
            </w:r>
          </w:p>
        </w:tc>
        <w:tc>
          <w:tcPr>
            <w:tcW w:w="8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57.2%</w:t>
            </w:r>
          </w:p>
        </w:tc>
        <w:tc>
          <w:tcPr>
            <w:tcW w:w="100" w:type="dxa"/>
            <w:vAlign w:val="bottom"/>
          </w:tcPr>
          <w:p>
            <w:pPr>
              <w:spacing w:after="0"/>
              <w:rPr>
                <w:sz w:val="12"/>
                <w:szCs w:val="12"/>
                <w:color w:val="auto"/>
              </w:rPr>
            </w:pPr>
          </w:p>
        </w:tc>
        <w:tc>
          <w:tcPr>
            <w:tcW w:w="66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21,781</w:t>
            </w:r>
          </w:p>
        </w:tc>
        <w:tc>
          <w:tcPr>
            <w:tcW w:w="8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17.7%</w:t>
            </w:r>
          </w:p>
        </w:tc>
        <w:tc>
          <w:tcPr>
            <w:tcW w:w="120" w:type="dxa"/>
            <w:vAlign w:val="bottom"/>
          </w:tcPr>
          <w:p>
            <w:pPr>
              <w:spacing w:after="0"/>
              <w:rPr>
                <w:sz w:val="12"/>
                <w:szCs w:val="12"/>
                <w:color w:val="auto"/>
              </w:rPr>
            </w:pPr>
          </w:p>
        </w:tc>
        <w:tc>
          <w:tcPr>
            <w:tcW w:w="660" w:type="dxa"/>
            <w:vAlign w:val="bottom"/>
          </w:tcPr>
          <w:p>
            <w:pPr>
              <w:jc w:val="right"/>
              <w:ind w:right="148"/>
              <w:spacing w:after="0" w:line="149" w:lineRule="exact"/>
              <w:rPr>
                <w:sz w:val="20"/>
                <w:szCs w:val="20"/>
                <w:color w:val="auto"/>
              </w:rPr>
            </w:pPr>
            <w:r>
              <w:rPr>
                <w:rFonts w:ascii="Arial" w:cs="Arial" w:eastAsia="Arial" w:hAnsi="Arial"/>
                <w:sz w:val="14"/>
                <w:szCs w:val="14"/>
                <w:color w:val="auto"/>
                <w:w w:val="97"/>
              </w:rPr>
              <w:t>19,951</w:t>
            </w: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20.1%</w:t>
            </w:r>
          </w:p>
        </w:tc>
        <w:tc>
          <w:tcPr>
            <w:tcW w:w="120" w:type="dxa"/>
            <w:vAlign w:val="bottom"/>
          </w:tcPr>
          <w:p>
            <w:pPr>
              <w:spacing w:after="0"/>
              <w:rPr>
                <w:sz w:val="12"/>
                <w:szCs w:val="12"/>
                <w:color w:val="auto"/>
              </w:rPr>
            </w:pPr>
          </w:p>
        </w:tc>
        <w:tc>
          <w:tcPr>
            <w:tcW w:w="600" w:type="dxa"/>
            <w:vAlign w:val="bottom"/>
          </w:tcPr>
          <w:p>
            <w:pPr>
              <w:jc w:val="right"/>
              <w:ind w:right="108"/>
              <w:spacing w:after="0" w:line="149" w:lineRule="exact"/>
              <w:rPr>
                <w:sz w:val="20"/>
                <w:szCs w:val="20"/>
                <w:color w:val="auto"/>
              </w:rPr>
            </w:pPr>
            <w:r>
              <w:rPr>
                <w:rFonts w:ascii="Arial" w:cs="Arial" w:eastAsia="Arial" w:hAnsi="Arial"/>
                <w:sz w:val="14"/>
                <w:szCs w:val="14"/>
                <w:color w:val="auto"/>
              </w:rPr>
              <w:t>1,830</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9.2%</w:t>
            </w:r>
          </w:p>
        </w:tc>
        <w:tc>
          <w:tcPr>
            <w:tcW w:w="0" w:type="dxa"/>
            <w:vAlign w:val="bottom"/>
          </w:tcPr>
          <w:p>
            <w:pPr>
              <w:spacing w:after="0"/>
              <w:rPr>
                <w:sz w:val="1"/>
                <w:szCs w:val="1"/>
                <w:color w:val="auto"/>
              </w:rPr>
            </w:pPr>
          </w:p>
        </w:tc>
      </w:tr>
      <w:tr>
        <w:trPr>
          <w:trHeight w:val="130"/>
        </w:trPr>
        <w:tc>
          <w:tcPr>
            <w:tcW w:w="1940" w:type="dxa"/>
            <w:vAlign w:val="bottom"/>
            <w:shd w:val="clear" w:color="auto" w:fill="CCEEFF"/>
          </w:tcPr>
          <w:p>
            <w:pPr>
              <w:spacing w:after="0" w:line="130" w:lineRule="exact"/>
              <w:rPr>
                <w:sz w:val="20"/>
                <w:szCs w:val="20"/>
                <w:color w:val="auto"/>
              </w:rPr>
            </w:pPr>
            <w:r>
              <w:rPr>
                <w:rFonts w:ascii="Arial" w:cs="Arial" w:eastAsia="Arial" w:hAnsi="Arial"/>
                <w:sz w:val="14"/>
                <w:szCs w:val="14"/>
                <w:color w:val="auto"/>
              </w:rPr>
              <w:t>Accessories, mattresses and</w:t>
            </w: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8,549</w:t>
            </w:r>
          </w:p>
        </w:tc>
        <w:tc>
          <w:tcPr>
            <w:tcW w:w="80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13.7%</w:t>
            </w:r>
          </w:p>
        </w:tc>
        <w:tc>
          <w:tcPr>
            <w:tcW w:w="12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5,007</w:t>
            </w:r>
          </w:p>
        </w:tc>
        <w:tc>
          <w:tcPr>
            <w:tcW w:w="78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3,542</w:t>
            </w:r>
          </w:p>
        </w:tc>
        <w:tc>
          <w:tcPr>
            <w:tcW w:w="840" w:type="dxa"/>
            <w:vAlign w:val="bottom"/>
            <w:tcBorders>
              <w:right w:val="single" w:sz="8" w:color="CCEEFF"/>
            </w:tcBorders>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70.7%</w:t>
            </w:r>
          </w:p>
        </w:tc>
        <w:tc>
          <w:tcPr>
            <w:tcW w:w="10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17,696</w:t>
            </w:r>
          </w:p>
        </w:tc>
        <w:tc>
          <w:tcPr>
            <w:tcW w:w="8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14.4%</w:t>
            </w:r>
          </w:p>
        </w:tc>
        <w:tc>
          <w:tcPr>
            <w:tcW w:w="12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w w:val="97"/>
              </w:rPr>
              <w:t>15,065</w:t>
            </w:r>
          </w:p>
        </w:tc>
        <w:tc>
          <w:tcPr>
            <w:tcW w:w="78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15.2%</w:t>
            </w:r>
          </w:p>
        </w:tc>
        <w:tc>
          <w:tcPr>
            <w:tcW w:w="120" w:type="dxa"/>
            <w:vAlign w:val="bottom"/>
            <w:shd w:val="clear" w:color="auto" w:fill="CCEEFF"/>
          </w:tcPr>
          <w:p>
            <w:pPr>
              <w:spacing w:after="0"/>
              <w:rPr>
                <w:sz w:val="11"/>
                <w:szCs w:val="11"/>
                <w:color w:val="auto"/>
              </w:rPr>
            </w:pPr>
          </w:p>
        </w:tc>
        <w:tc>
          <w:tcPr>
            <w:tcW w:w="6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2,631</w:t>
            </w:r>
          </w:p>
        </w:tc>
        <w:tc>
          <w:tcPr>
            <w:tcW w:w="72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0" w:type="dxa"/>
            <w:vAlign w:val="bottom"/>
          </w:tcPr>
          <w:p>
            <w:pPr>
              <w:spacing w:after="0"/>
              <w:rPr>
                <w:sz w:val="1"/>
                <w:szCs w:val="1"/>
                <w:color w:val="auto"/>
              </w:rPr>
            </w:pPr>
          </w:p>
        </w:tc>
      </w:tr>
      <w:tr>
        <w:trPr>
          <w:trHeight w:val="154"/>
        </w:trPr>
        <w:tc>
          <w:tcPr>
            <w:tcW w:w="1940" w:type="dxa"/>
            <w:vAlign w:val="bottom"/>
            <w:shd w:val="clear" w:color="auto" w:fill="CCEEFF"/>
          </w:tcPr>
          <w:p>
            <w:pPr>
              <w:ind w:left="180"/>
              <w:spacing w:after="0" w:line="154" w:lineRule="exact"/>
              <w:rPr>
                <w:sz w:val="20"/>
                <w:szCs w:val="20"/>
                <w:color w:val="auto"/>
              </w:rPr>
            </w:pPr>
            <w:r>
              <w:rPr>
                <w:rFonts w:ascii="Arial" w:cs="Arial" w:eastAsia="Arial" w:hAnsi="Arial"/>
                <w:sz w:val="14"/>
                <w:szCs w:val="14"/>
                <w:color w:val="auto"/>
              </w:rPr>
              <w:t>other (1)</w:t>
            </w:r>
          </w:p>
        </w:tc>
        <w:tc>
          <w:tcPr>
            <w:tcW w:w="120" w:type="dxa"/>
            <w:vAlign w:val="bottom"/>
            <w:shd w:val="clear" w:color="auto" w:fill="CCEEFF"/>
          </w:tcPr>
          <w:p>
            <w:pPr>
              <w:spacing w:after="0"/>
              <w:rPr>
                <w:sz w:val="13"/>
                <w:szCs w:val="13"/>
                <w:color w:val="auto"/>
              </w:rPr>
            </w:pPr>
          </w:p>
        </w:tc>
        <w:tc>
          <w:tcPr>
            <w:tcW w:w="700" w:type="dxa"/>
            <w:vAlign w:val="bottom"/>
            <w:vMerge w:val="continue"/>
            <w:shd w:val="clear" w:color="auto" w:fill="CCEEFF"/>
          </w:tcPr>
          <w:p>
            <w:pPr>
              <w:spacing w:after="0"/>
              <w:rPr>
                <w:sz w:val="13"/>
                <w:szCs w:val="13"/>
                <w:color w:val="auto"/>
              </w:rPr>
            </w:pPr>
          </w:p>
        </w:tc>
        <w:tc>
          <w:tcPr>
            <w:tcW w:w="800" w:type="dxa"/>
            <w:vAlign w:val="bottom"/>
            <w:tcBorders>
              <w:right w:val="single" w:sz="8" w:color="CCEEFF"/>
            </w:tcBorders>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vMerge w:val="continue"/>
            <w:shd w:val="clear" w:color="auto" w:fill="CCEEFF"/>
          </w:tcPr>
          <w:p>
            <w:pPr>
              <w:spacing w:after="0"/>
              <w:rPr>
                <w:sz w:val="13"/>
                <w:szCs w:val="13"/>
                <w:color w:val="auto"/>
              </w:rPr>
            </w:pPr>
          </w:p>
        </w:tc>
        <w:tc>
          <w:tcPr>
            <w:tcW w:w="780" w:type="dxa"/>
            <w:vAlign w:val="bottom"/>
            <w:gridSpan w:val="2"/>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840" w:type="dxa"/>
            <w:vAlign w:val="bottom"/>
            <w:tcBorders>
              <w:right w:val="single" w:sz="8" w:color="CCEEFF"/>
            </w:tcBorders>
            <w:gridSpan w:val="2"/>
            <w:vMerge w:val="continue"/>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60" w:type="dxa"/>
            <w:vAlign w:val="bottom"/>
            <w:vMerge w:val="continue"/>
            <w:shd w:val="clear" w:color="auto" w:fill="CCEEFF"/>
          </w:tcPr>
          <w:p>
            <w:pPr>
              <w:spacing w:after="0"/>
              <w:rPr>
                <w:sz w:val="13"/>
                <w:szCs w:val="13"/>
                <w:color w:val="auto"/>
              </w:rPr>
            </w:pPr>
          </w:p>
        </w:tc>
        <w:tc>
          <w:tcPr>
            <w:tcW w:w="820" w:type="dxa"/>
            <w:vAlign w:val="bottom"/>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vMerge w:val="continue"/>
            <w:shd w:val="clear" w:color="auto" w:fill="CCEEFF"/>
          </w:tcPr>
          <w:p>
            <w:pPr>
              <w:spacing w:after="0"/>
              <w:rPr>
                <w:sz w:val="13"/>
                <w:szCs w:val="13"/>
                <w:color w:val="auto"/>
              </w:rPr>
            </w:pPr>
          </w:p>
        </w:tc>
        <w:tc>
          <w:tcPr>
            <w:tcW w:w="780" w:type="dxa"/>
            <w:vAlign w:val="bottom"/>
            <w:tcBorders>
              <w:right w:val="single" w:sz="8" w:color="CCEEFF"/>
            </w:tcBorders>
            <w:gridSpan w:val="2"/>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vMerge w:val="continue"/>
            <w:shd w:val="clear" w:color="auto" w:fill="CCEEFF"/>
          </w:tcPr>
          <w:p>
            <w:pPr>
              <w:spacing w:after="0"/>
              <w:rPr>
                <w:sz w:val="13"/>
                <w:szCs w:val="13"/>
                <w:color w:val="auto"/>
              </w:rPr>
            </w:pPr>
          </w:p>
        </w:tc>
        <w:tc>
          <w:tcPr>
            <w:tcW w:w="720" w:type="dxa"/>
            <w:vAlign w:val="bottom"/>
            <w:gridSpan w:val="2"/>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94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940" w:type="dxa"/>
            <w:vAlign w:val="bottom"/>
          </w:tcPr>
          <w:p>
            <w:pPr>
              <w:spacing w:after="0" w:line="142" w:lineRule="exact"/>
              <w:rPr>
                <w:sz w:val="20"/>
                <w:szCs w:val="20"/>
                <w:color w:val="auto"/>
              </w:rPr>
            </w:pPr>
            <w:r>
              <w:rPr>
                <w:rFonts w:ascii="Arial" w:cs="Arial" w:eastAsia="Arial" w:hAnsi="Arial"/>
                <w:sz w:val="14"/>
                <w:szCs w:val="14"/>
                <w:color w:val="auto"/>
              </w:rPr>
              <w:t>Total</w:t>
            </w:r>
          </w:p>
        </w:tc>
        <w:tc>
          <w:tcPr>
            <w:tcW w:w="12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700" w:type="dxa"/>
            <w:vAlign w:val="bottom"/>
          </w:tcPr>
          <w:p>
            <w:pPr>
              <w:jc w:val="right"/>
              <w:ind w:right="168"/>
              <w:spacing w:after="0" w:line="129" w:lineRule="exact"/>
              <w:rPr>
                <w:sz w:val="20"/>
                <w:szCs w:val="20"/>
                <w:color w:val="auto"/>
              </w:rPr>
            </w:pPr>
            <w:r>
              <w:rPr>
                <w:rFonts w:ascii="Arial" w:cs="Arial" w:eastAsia="Arial" w:hAnsi="Arial"/>
                <w:sz w:val="14"/>
                <w:szCs w:val="14"/>
                <w:color w:val="auto"/>
              </w:rPr>
              <w:t>62,483</w:t>
            </w:r>
          </w:p>
        </w:tc>
        <w:tc>
          <w:tcPr>
            <w:tcW w:w="80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100.0%</w:t>
            </w:r>
          </w:p>
        </w:tc>
        <w:tc>
          <w:tcPr>
            <w:tcW w:w="12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ind w:right="148"/>
              <w:spacing w:after="0" w:line="129" w:lineRule="exact"/>
              <w:rPr>
                <w:sz w:val="20"/>
                <w:szCs w:val="20"/>
                <w:color w:val="auto"/>
              </w:rPr>
            </w:pPr>
            <w:r>
              <w:rPr>
                <w:rFonts w:ascii="Arial" w:cs="Arial" w:eastAsia="Arial" w:hAnsi="Arial"/>
                <w:sz w:val="14"/>
                <w:szCs w:val="14"/>
                <w:color w:val="auto"/>
                <w:w w:val="97"/>
              </w:rPr>
              <w:t>33,171</w:t>
            </w:r>
          </w:p>
        </w:tc>
        <w:tc>
          <w:tcPr>
            <w:tcW w:w="78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100.0%</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ind w:right="88"/>
              <w:spacing w:after="0" w:line="129" w:lineRule="exact"/>
              <w:rPr>
                <w:sz w:val="20"/>
                <w:szCs w:val="20"/>
                <w:color w:val="auto"/>
              </w:rPr>
            </w:pPr>
            <w:r>
              <w:rPr>
                <w:rFonts w:ascii="Arial" w:cs="Arial" w:eastAsia="Arial" w:hAnsi="Arial"/>
                <w:sz w:val="14"/>
                <w:szCs w:val="14"/>
                <w:color w:val="auto"/>
                <w:w w:val="97"/>
              </w:rPr>
              <w:t>29,312</w:t>
            </w:r>
          </w:p>
        </w:tc>
        <w:tc>
          <w:tcPr>
            <w:tcW w:w="84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rPr>
              <w:t>88.4%</w:t>
            </w:r>
          </w:p>
        </w:tc>
        <w:tc>
          <w:tcPr>
            <w:tcW w:w="10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ind w:right="108"/>
              <w:spacing w:after="0" w:line="129" w:lineRule="exact"/>
              <w:rPr>
                <w:sz w:val="20"/>
                <w:szCs w:val="20"/>
                <w:color w:val="auto"/>
              </w:rPr>
            </w:pPr>
            <w:r>
              <w:rPr>
                <w:rFonts w:ascii="Arial" w:cs="Arial" w:eastAsia="Arial" w:hAnsi="Arial"/>
                <w:sz w:val="14"/>
                <w:szCs w:val="14"/>
                <w:color w:val="auto"/>
                <w:w w:val="90"/>
              </w:rPr>
              <w:t>122,878</w:t>
            </w:r>
          </w:p>
        </w:tc>
        <w:tc>
          <w:tcPr>
            <w:tcW w:w="82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rPr>
              <w:t>100.0%</w:t>
            </w:r>
          </w:p>
        </w:tc>
        <w:tc>
          <w:tcPr>
            <w:tcW w:w="120" w:type="dxa"/>
            <w:vAlign w:val="bottom"/>
          </w:tcPr>
          <w:p>
            <w:pPr>
              <w:jc w:val="right"/>
              <w:spacing w:after="0" w:line="12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ind w:right="148"/>
              <w:spacing w:after="0" w:line="129" w:lineRule="exact"/>
              <w:rPr>
                <w:sz w:val="20"/>
                <w:szCs w:val="20"/>
                <w:color w:val="auto"/>
              </w:rPr>
            </w:pPr>
            <w:r>
              <w:rPr>
                <w:rFonts w:ascii="Arial" w:cs="Arial" w:eastAsia="Arial" w:hAnsi="Arial"/>
                <w:sz w:val="14"/>
                <w:szCs w:val="14"/>
                <w:color w:val="auto"/>
                <w:w w:val="97"/>
              </w:rPr>
              <w:t>99,017</w:t>
            </w:r>
          </w:p>
        </w:tc>
        <w:tc>
          <w:tcPr>
            <w:tcW w:w="780" w:type="dxa"/>
            <w:vAlign w:val="bottom"/>
            <w:gridSpan w:val="2"/>
          </w:tcPr>
          <w:p>
            <w:pPr>
              <w:jc w:val="right"/>
              <w:ind w:right="120"/>
              <w:spacing w:after="0" w:line="129" w:lineRule="exact"/>
              <w:rPr>
                <w:sz w:val="20"/>
                <w:szCs w:val="20"/>
                <w:color w:val="auto"/>
              </w:rPr>
            </w:pPr>
            <w:r>
              <w:rPr>
                <w:rFonts w:ascii="Arial" w:cs="Arial" w:eastAsia="Arial" w:hAnsi="Arial"/>
                <w:sz w:val="14"/>
                <w:szCs w:val="14"/>
                <w:color w:val="auto"/>
              </w:rPr>
              <w:t>100.0%</w:t>
            </w:r>
          </w:p>
        </w:tc>
        <w:tc>
          <w:tcPr>
            <w:tcW w:w="120" w:type="dxa"/>
            <w:vAlign w:val="bottom"/>
          </w:tcPr>
          <w:p>
            <w:pPr>
              <w:jc w:val="right"/>
              <w:ind w:right="2"/>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ind w:right="108"/>
              <w:spacing w:after="0" w:line="129" w:lineRule="exact"/>
              <w:rPr>
                <w:sz w:val="20"/>
                <w:szCs w:val="20"/>
                <w:color w:val="auto"/>
              </w:rPr>
            </w:pPr>
            <w:r>
              <w:rPr>
                <w:rFonts w:ascii="Arial" w:cs="Arial" w:eastAsia="Arial" w:hAnsi="Arial"/>
                <w:sz w:val="14"/>
                <w:szCs w:val="14"/>
                <w:color w:val="auto"/>
                <w:w w:val="93"/>
              </w:rPr>
              <w:t>23,861</w:t>
            </w:r>
          </w:p>
        </w:tc>
        <w:tc>
          <w:tcPr>
            <w:tcW w:w="720" w:type="dxa"/>
            <w:vAlign w:val="bottom"/>
            <w:gridSpan w:val="2"/>
          </w:tcPr>
          <w:p>
            <w:pPr>
              <w:jc w:val="right"/>
              <w:spacing w:after="0" w:line="129" w:lineRule="exact"/>
              <w:rPr>
                <w:sz w:val="20"/>
                <w:szCs w:val="20"/>
                <w:color w:val="auto"/>
              </w:rPr>
            </w:pPr>
            <w:r>
              <w:rPr>
                <w:rFonts w:ascii="Arial" w:cs="Arial" w:eastAsia="Arial" w:hAnsi="Arial"/>
                <w:sz w:val="14"/>
                <w:szCs w:val="14"/>
                <w:color w:val="auto"/>
              </w:rPr>
              <w:t>24.1%</w:t>
            </w:r>
          </w:p>
        </w:tc>
        <w:tc>
          <w:tcPr>
            <w:tcW w:w="0" w:type="dxa"/>
            <w:vAlign w:val="bottom"/>
          </w:tcPr>
          <w:p>
            <w:pPr>
              <w:spacing w:after="0"/>
              <w:rPr>
                <w:sz w:val="1"/>
                <w:szCs w:val="1"/>
                <w:color w:val="auto"/>
              </w:rPr>
            </w:pPr>
          </w:p>
        </w:tc>
      </w:tr>
      <w:tr>
        <w:trPr>
          <w:trHeight w:val="20"/>
        </w:trPr>
        <w:tc>
          <w:tcPr>
            <w:tcW w:w="19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300" w:right="20" w:hanging="320"/>
        <w:spacing w:after="0" w:line="277"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Includes the sale of goods other than Bassett-branded products, such as accessories and bedding, and also includes the sale of furniture protection plans.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2" w:name="page33"/>
    <w:bookmarkEnd w:id="32"/>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Analysis of Results - Retail</w:t>
      </w:r>
    </w:p>
    <w:p>
      <w:pPr>
        <w:spacing w:after="0" w:line="22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Net sales for the three and six months ended May 29, 2021 increased $29,312 and $23,861, respectively, from the prior year periods due primarily to the major impact of the COVID-19 pandemic on our operations in fiscal 2020, which forced a nearly total shut-down of our retail operations from late March through early May of that year, followed by an exceptionally strong recovery in demand for home furnishings that has continued into the first half of fiscal 2021. The increase in written sales (the value of sales orders taken but not delivered) resulting from this surge in demand has resulted in a retail backlog of $73,489 at May 29, 2021 as compared to $57,041 at November 28, 2020 and $28,949 at May 30, 2020. As previously discussed, Bassett and most of the home furnishings industry has been faced with continuing logistical challenges from COVID-related labor shortages and supply chain disruptions creating significant delays in order fulfillment and increasing backlogs. Gross margins for the three and six months ended May 29, 2021 increased by 420 and 240 basis points, respectively, primarily driven by lower levels of promotional activity coupled with improved margins on clearance activity. SG&amp;A expenses for the three and six months ended May 29, 2021 as a percentage of sales decreased significantly as compared to the comparable periods of 2020. This was driven by workforce reductions, lower advertising spending, and overall cost containment activities. In addition, over the course of fiscal 2020 we closed seven unprofitable store locations, six of which were closed subsequent to the first quarter of 2020.</w:t>
      </w:r>
    </w:p>
    <w:p>
      <w:pPr>
        <w:spacing w:after="0" w:line="17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Because of the significant adverse impact that the COVID-19 pandemic had on our operations during the second quarter of fiscal 2020, we believe that a better understanding of the retail revenue trend that has resulted from our product and marketing initiatives is obtained by comparing our current year revenues to the pre-pandemic levels of fiscal 2019. For the three and six months ended June 1, 2019, retail sales were $62,568 and $132,197, respectively. Compared to fiscal 2019, retail sales for the three and six months ended May 29, 2021, decreased $85 or 0.1% and $9,319, or 7.0%, respectively, over the corresponding quarter and year-to-date periods of fiscal 2019. Sales increases from the introduction of the Bassett Outdoor product line were offset by sales decreases from six fewer stores in operation. Written sales increased 13.8% and 8.1% for the three and six months ended May 29, 2021, respectively, over the corresponding periods of fiscal 2019 in spite of having six fewer stores in operation.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Logistical Services Segment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Results for our logistical services segment for the periods ended May 29, 2021 and May 30, 2020 are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1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0" w:type="dxa"/>
            <w:vAlign w:val="bottom"/>
            <w:gridSpan w:val="3"/>
          </w:tcPr>
          <w:p>
            <w:pPr>
              <w:jc w:val="right"/>
              <w:ind w:right="359"/>
              <w:spacing w:after="0"/>
              <w:rPr>
                <w:sz w:val="20"/>
                <w:szCs w:val="20"/>
                <w:color w:val="auto"/>
              </w:rPr>
            </w:pPr>
            <w:r>
              <w:rPr>
                <w:rFonts w:ascii="Arial" w:cs="Arial" w:eastAsia="Arial" w:hAnsi="Arial"/>
                <w:sz w:val="16"/>
                <w:szCs w:val="16"/>
                <w:color w:val="auto"/>
              </w:rPr>
              <w:t>Quarter Ended</w:t>
            </w: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3"/>
          </w:tcPr>
          <w:p>
            <w:pPr>
              <w:ind w:left="280"/>
              <w:spacing w:after="0"/>
              <w:rPr>
                <w:sz w:val="20"/>
                <w:szCs w:val="20"/>
                <w:color w:val="auto"/>
              </w:rPr>
            </w:pPr>
            <w:r>
              <w:rPr>
                <w:rFonts w:ascii="Arial" w:cs="Arial" w:eastAsia="Arial" w:hAnsi="Arial"/>
                <w:sz w:val="16"/>
                <w:szCs w:val="16"/>
                <w:color w:val="auto"/>
              </w:rPr>
              <w:t>Change</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60" w:type="dxa"/>
            <w:vAlign w:val="bottom"/>
            <w:gridSpan w:val="3"/>
          </w:tcPr>
          <w:p>
            <w:pPr>
              <w:jc w:val="right"/>
              <w:ind w:right="219"/>
              <w:spacing w:after="0"/>
              <w:rPr>
                <w:sz w:val="20"/>
                <w:szCs w:val="20"/>
                <w:color w:val="auto"/>
              </w:rPr>
            </w:pPr>
            <w:r>
              <w:rPr>
                <w:rFonts w:ascii="Arial" w:cs="Arial" w:eastAsia="Arial" w:hAnsi="Arial"/>
                <w:sz w:val="16"/>
                <w:szCs w:val="16"/>
                <w:color w:val="auto"/>
              </w:rPr>
              <w:t>Six Months Ended</w:t>
            </w: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4"/>
          </w:tcPr>
          <w:p>
            <w:pPr>
              <w:ind w:left="280"/>
              <w:spacing w:after="0"/>
              <w:rPr>
                <w:sz w:val="20"/>
                <w:szCs w:val="20"/>
                <w:color w:val="auto"/>
              </w:rPr>
            </w:pPr>
            <w:r>
              <w:rPr>
                <w:rFonts w:ascii="Arial" w:cs="Arial" w:eastAsia="Arial" w:hAnsi="Arial"/>
                <w:sz w:val="16"/>
                <w:szCs w:val="16"/>
                <w:color w:val="auto"/>
              </w:rPr>
              <w:t>Change</w:t>
            </w:r>
          </w:p>
        </w:tc>
        <w:tc>
          <w:tcPr>
            <w:tcW w:w="0" w:type="dxa"/>
            <w:vAlign w:val="bottom"/>
          </w:tcPr>
          <w:p>
            <w:pPr>
              <w:spacing w:after="0"/>
              <w:rPr>
                <w:sz w:val="1"/>
                <w:szCs w:val="1"/>
                <w:color w:val="auto"/>
              </w:rPr>
            </w:pPr>
          </w:p>
        </w:tc>
      </w:tr>
      <w:tr>
        <w:trPr>
          <w:trHeight w:val="199"/>
        </w:trPr>
        <w:tc>
          <w:tcPr>
            <w:tcW w:w="19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80" w:type="dxa"/>
            <w:vAlign w:val="bottom"/>
            <w:tcBorders>
              <w:top w:val="single" w:sz="8" w:color="auto"/>
            </w:tcBorders>
            <w:gridSpan w:val="3"/>
          </w:tcPr>
          <w:p>
            <w:pPr>
              <w:jc w:val="right"/>
              <w:ind w:right="460"/>
              <w:spacing w:after="0"/>
              <w:rPr>
                <w:sz w:val="20"/>
                <w:szCs w:val="20"/>
                <w:color w:val="auto"/>
              </w:rPr>
            </w:pPr>
            <w:r>
              <w:rPr>
                <w:rFonts w:ascii="Arial" w:cs="Arial" w:eastAsia="Arial" w:hAnsi="Arial"/>
                <w:sz w:val="16"/>
                <w:szCs w:val="16"/>
                <w:color w:val="auto"/>
              </w:rPr>
              <w:t>May 29, 2021</w:t>
            </w:r>
          </w:p>
        </w:tc>
        <w:tc>
          <w:tcPr>
            <w:tcW w:w="1320" w:type="dxa"/>
            <w:vAlign w:val="bottom"/>
            <w:tcBorders>
              <w:top w:val="single" w:sz="8" w:color="auto"/>
            </w:tcBorders>
            <w:gridSpan w:val="2"/>
          </w:tcPr>
          <w:p>
            <w:pPr>
              <w:ind w:left="200"/>
              <w:spacing w:after="0"/>
              <w:rPr>
                <w:sz w:val="20"/>
                <w:szCs w:val="20"/>
                <w:color w:val="auto"/>
              </w:rPr>
            </w:pPr>
            <w:r>
              <w:rPr>
                <w:rFonts w:ascii="Arial" w:cs="Arial" w:eastAsia="Arial" w:hAnsi="Arial"/>
                <w:sz w:val="16"/>
                <w:szCs w:val="16"/>
                <w:color w:val="auto"/>
              </w:rPr>
              <w:t>May 30, 2020</w:t>
            </w:r>
          </w:p>
        </w:tc>
        <w:tc>
          <w:tcPr>
            <w:tcW w:w="240" w:type="dxa"/>
            <w:vAlign w:val="bottom"/>
          </w:tcPr>
          <w:p>
            <w:pPr>
              <w:spacing w:after="0"/>
              <w:rPr>
                <w:sz w:val="17"/>
                <w:szCs w:val="17"/>
                <w:color w:val="auto"/>
              </w:rPr>
            </w:pPr>
          </w:p>
        </w:tc>
        <w:tc>
          <w:tcPr>
            <w:tcW w:w="680" w:type="dxa"/>
            <w:vAlign w:val="bottom"/>
            <w:tcBorders>
              <w:top w:val="single" w:sz="8" w:color="auto"/>
            </w:tcBorders>
            <w:gridSpan w:val="2"/>
          </w:tcPr>
          <w:p>
            <w:pPr>
              <w:jc w:val="right"/>
              <w:ind w:right="79"/>
              <w:spacing w:after="0"/>
              <w:rPr>
                <w:sz w:val="20"/>
                <w:szCs w:val="20"/>
                <w:color w:val="auto"/>
              </w:rPr>
            </w:pPr>
            <w:r>
              <w:rPr>
                <w:rFonts w:ascii="Arial" w:cs="Arial" w:eastAsia="Arial" w:hAnsi="Arial"/>
                <w:sz w:val="16"/>
                <w:szCs w:val="16"/>
                <w:color w:val="auto"/>
              </w:rPr>
              <w:t>Dollars</w:t>
            </w:r>
          </w:p>
        </w:tc>
        <w:tc>
          <w:tcPr>
            <w:tcW w:w="640" w:type="dxa"/>
            <w:vAlign w:val="bottom"/>
            <w:tcBorders>
              <w:top w:val="single" w:sz="8" w:color="auto"/>
            </w:tcBorders>
          </w:tcPr>
          <w:p>
            <w:pPr>
              <w:ind w:left="120"/>
              <w:spacing w:after="0"/>
              <w:rPr>
                <w:sz w:val="20"/>
                <w:szCs w:val="20"/>
                <w:color w:val="auto"/>
              </w:rPr>
            </w:pPr>
            <w:r>
              <w:rPr>
                <w:rFonts w:ascii="Arial" w:cs="Arial" w:eastAsia="Arial" w:hAnsi="Arial"/>
                <w:sz w:val="16"/>
                <w:szCs w:val="16"/>
                <w:color w:val="auto"/>
                <w:w w:val="90"/>
              </w:rPr>
              <w:t>Percent</w:t>
            </w: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80" w:type="dxa"/>
            <w:vAlign w:val="bottom"/>
            <w:tcBorders>
              <w:top w:val="single" w:sz="8" w:color="auto"/>
            </w:tcBorders>
            <w:gridSpan w:val="3"/>
          </w:tcPr>
          <w:p>
            <w:pPr>
              <w:jc w:val="right"/>
              <w:ind w:right="460"/>
              <w:spacing w:after="0"/>
              <w:rPr>
                <w:sz w:val="20"/>
                <w:szCs w:val="20"/>
                <w:color w:val="auto"/>
              </w:rPr>
            </w:pPr>
            <w:r>
              <w:rPr>
                <w:rFonts w:ascii="Arial" w:cs="Arial" w:eastAsia="Arial" w:hAnsi="Arial"/>
                <w:sz w:val="16"/>
                <w:szCs w:val="16"/>
                <w:color w:val="auto"/>
              </w:rPr>
              <w:t>May 29, 2021</w:t>
            </w:r>
          </w:p>
        </w:tc>
        <w:tc>
          <w:tcPr>
            <w:tcW w:w="1320" w:type="dxa"/>
            <w:vAlign w:val="bottom"/>
            <w:tcBorders>
              <w:top w:val="single" w:sz="8" w:color="auto"/>
            </w:tcBorders>
            <w:gridSpan w:val="2"/>
          </w:tcPr>
          <w:p>
            <w:pPr>
              <w:ind w:left="200"/>
              <w:spacing w:after="0"/>
              <w:rPr>
                <w:sz w:val="20"/>
                <w:szCs w:val="20"/>
                <w:color w:val="auto"/>
              </w:rPr>
            </w:pPr>
            <w:r>
              <w:rPr>
                <w:rFonts w:ascii="Arial" w:cs="Arial" w:eastAsia="Arial" w:hAnsi="Arial"/>
                <w:sz w:val="16"/>
                <w:szCs w:val="16"/>
                <w:color w:val="auto"/>
              </w:rPr>
              <w:t>May 30, 2020</w:t>
            </w:r>
          </w:p>
        </w:tc>
        <w:tc>
          <w:tcPr>
            <w:tcW w:w="240" w:type="dxa"/>
            <w:vAlign w:val="bottom"/>
          </w:tcPr>
          <w:p>
            <w:pPr>
              <w:spacing w:after="0"/>
              <w:rPr>
                <w:sz w:val="17"/>
                <w:szCs w:val="17"/>
                <w:color w:val="auto"/>
              </w:rPr>
            </w:pPr>
          </w:p>
        </w:tc>
        <w:tc>
          <w:tcPr>
            <w:tcW w:w="680" w:type="dxa"/>
            <w:vAlign w:val="bottom"/>
            <w:tcBorders>
              <w:top w:val="single" w:sz="8" w:color="auto"/>
            </w:tcBorders>
            <w:gridSpan w:val="2"/>
          </w:tcPr>
          <w:p>
            <w:pPr>
              <w:jc w:val="right"/>
              <w:ind w:right="79"/>
              <w:spacing w:after="0"/>
              <w:rPr>
                <w:sz w:val="20"/>
                <w:szCs w:val="20"/>
                <w:color w:val="auto"/>
              </w:rPr>
            </w:pPr>
            <w:r>
              <w:rPr>
                <w:rFonts w:ascii="Arial" w:cs="Arial" w:eastAsia="Arial" w:hAnsi="Arial"/>
                <w:sz w:val="16"/>
                <w:szCs w:val="16"/>
                <w:color w:val="auto"/>
              </w:rPr>
              <w:t>Dollars</w:t>
            </w:r>
          </w:p>
        </w:tc>
        <w:tc>
          <w:tcPr>
            <w:tcW w:w="640" w:type="dxa"/>
            <w:vAlign w:val="bottom"/>
            <w:tcBorders>
              <w:top w:val="single" w:sz="8" w:color="auto"/>
            </w:tcBorders>
          </w:tcPr>
          <w:p>
            <w:pPr>
              <w:ind w:left="120"/>
              <w:spacing w:after="0"/>
              <w:rPr>
                <w:sz w:val="20"/>
                <w:szCs w:val="20"/>
                <w:color w:val="auto"/>
              </w:rPr>
            </w:pPr>
            <w:r>
              <w:rPr>
                <w:rFonts w:ascii="Arial" w:cs="Arial" w:eastAsia="Arial" w:hAnsi="Arial"/>
                <w:sz w:val="16"/>
                <w:szCs w:val="16"/>
                <w:color w:val="auto"/>
                <w:w w:val="90"/>
              </w:rPr>
              <w:t>Percent</w:t>
            </w: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9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40" w:type="dxa"/>
            <w:vAlign w:val="bottom"/>
            <w:shd w:val="clear" w:color="auto" w:fill="CCEEFF"/>
          </w:tcPr>
          <w:p>
            <w:pPr>
              <w:spacing w:after="0"/>
              <w:rPr>
                <w:sz w:val="20"/>
                <w:szCs w:val="20"/>
                <w:color w:val="auto"/>
              </w:rPr>
            </w:pPr>
            <w:r>
              <w:rPr>
                <w:rFonts w:ascii="Arial" w:cs="Arial" w:eastAsia="Arial" w:hAnsi="Arial"/>
                <w:sz w:val="16"/>
                <w:szCs w:val="16"/>
                <w:color w:val="auto"/>
                <w:w w:val="99"/>
              </w:rPr>
              <w:t>Logistical services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22,244</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100.0%</w:t>
            </w:r>
          </w:p>
        </w:tc>
        <w:tc>
          <w:tcPr>
            <w:tcW w:w="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w w:val="86"/>
              </w:rPr>
              <w:t>$ 15,259</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99"/>
              </w:rPr>
              <w:t>6,985</w:t>
            </w:r>
          </w:p>
        </w:tc>
        <w:tc>
          <w:tcPr>
            <w:tcW w:w="880" w:type="dxa"/>
            <w:vAlign w:val="bottom"/>
            <w:gridSpan w:val="2"/>
            <w:shd w:val="clear" w:color="auto" w:fill="CCEEFF"/>
          </w:tcPr>
          <w:p>
            <w:pPr>
              <w:ind w:left="360"/>
              <w:spacing w:after="0"/>
              <w:rPr>
                <w:sz w:val="20"/>
                <w:szCs w:val="20"/>
                <w:color w:val="auto"/>
              </w:rPr>
            </w:pPr>
            <w:r>
              <w:rPr>
                <w:rFonts w:ascii="Arial" w:cs="Arial" w:eastAsia="Arial" w:hAnsi="Arial"/>
                <w:sz w:val="16"/>
                <w:szCs w:val="16"/>
                <w:color w:val="auto"/>
              </w:rPr>
              <w:t>45.8%</w:t>
            </w: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42,325</w:t>
            </w: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100.0%</w:t>
            </w:r>
          </w:p>
        </w:tc>
        <w:tc>
          <w:tcPr>
            <w:tcW w:w="78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w w:val="83"/>
              </w:rPr>
              <w:t>$ 36,574</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99"/>
              </w:rPr>
              <w:t>5,751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940" w:type="dxa"/>
            <w:vAlign w:val="bottom"/>
          </w:tcPr>
          <w:p>
            <w:pPr>
              <w:spacing w:after="0"/>
              <w:rPr>
                <w:sz w:val="20"/>
                <w:szCs w:val="20"/>
                <w:color w:val="auto"/>
              </w:rPr>
            </w:pPr>
            <w:r>
              <w:rPr>
                <w:rFonts w:ascii="Arial" w:cs="Arial" w:eastAsia="Arial" w:hAnsi="Arial"/>
                <w:sz w:val="16"/>
                <w:szCs w:val="16"/>
                <w:color w:val="auto"/>
              </w:rPr>
              <w:t>Operating expenses</w:t>
            </w:r>
          </w:p>
        </w:tc>
        <w:tc>
          <w:tcPr>
            <w:tcW w:w="100" w:type="dxa"/>
            <w:vAlign w:val="bottom"/>
          </w:tcPr>
          <w:p>
            <w:pPr>
              <w:spacing w:after="0"/>
              <w:rPr>
                <w:sz w:val="17"/>
                <w:szCs w:val="17"/>
                <w:color w:val="auto"/>
              </w:rPr>
            </w:pPr>
          </w:p>
        </w:tc>
        <w:tc>
          <w:tcPr>
            <w:tcW w:w="660" w:type="dxa"/>
            <w:vAlign w:val="bottom"/>
          </w:tcPr>
          <w:p>
            <w:pPr>
              <w:jc w:val="right"/>
              <w:ind w:right="119"/>
              <w:spacing w:after="0"/>
              <w:rPr>
                <w:sz w:val="20"/>
                <w:szCs w:val="20"/>
                <w:color w:val="auto"/>
              </w:rPr>
            </w:pPr>
            <w:r>
              <w:rPr>
                <w:rFonts w:ascii="Arial" w:cs="Arial" w:eastAsia="Arial" w:hAnsi="Arial"/>
                <w:sz w:val="16"/>
                <w:szCs w:val="16"/>
                <w:color w:val="auto"/>
                <w:w w:val="89"/>
              </w:rPr>
              <w:t>20,950</w:t>
            </w:r>
          </w:p>
        </w:tc>
        <w:tc>
          <w:tcPr>
            <w:tcW w:w="820" w:type="dxa"/>
            <w:vAlign w:val="bottom"/>
            <w:gridSpan w:val="2"/>
          </w:tcPr>
          <w:p>
            <w:pPr>
              <w:jc w:val="right"/>
              <w:ind w:right="100"/>
              <w:spacing w:after="0"/>
              <w:rPr>
                <w:sz w:val="20"/>
                <w:szCs w:val="20"/>
                <w:color w:val="auto"/>
              </w:rPr>
            </w:pPr>
            <w:r>
              <w:rPr>
                <w:rFonts w:ascii="Arial" w:cs="Arial" w:eastAsia="Arial" w:hAnsi="Arial"/>
                <w:sz w:val="16"/>
                <w:szCs w:val="16"/>
                <w:color w:val="auto"/>
              </w:rPr>
              <w:t>94.2%</w:t>
            </w:r>
          </w:p>
        </w:tc>
        <w:tc>
          <w:tcPr>
            <w:tcW w:w="780" w:type="dxa"/>
            <w:vAlign w:val="bottom"/>
          </w:tcPr>
          <w:p>
            <w:pPr>
              <w:jc w:val="right"/>
              <w:ind w:right="139"/>
              <w:spacing w:after="0"/>
              <w:rPr>
                <w:sz w:val="20"/>
                <w:szCs w:val="20"/>
                <w:color w:val="auto"/>
              </w:rPr>
            </w:pPr>
            <w:r>
              <w:rPr>
                <w:rFonts w:ascii="Arial" w:cs="Arial" w:eastAsia="Arial" w:hAnsi="Arial"/>
                <w:sz w:val="16"/>
                <w:szCs w:val="16"/>
                <w:color w:val="auto"/>
              </w:rPr>
              <w:t>17,101</w:t>
            </w:r>
          </w:p>
        </w:tc>
        <w:tc>
          <w:tcPr>
            <w:tcW w:w="780" w:type="dxa"/>
            <w:vAlign w:val="bottom"/>
            <w:gridSpan w:val="2"/>
          </w:tcPr>
          <w:p>
            <w:pPr>
              <w:jc w:val="right"/>
              <w:ind w:right="100"/>
              <w:spacing w:after="0"/>
              <w:rPr>
                <w:sz w:val="20"/>
                <w:szCs w:val="20"/>
                <w:color w:val="auto"/>
              </w:rPr>
            </w:pPr>
            <w:r>
              <w:rPr>
                <w:rFonts w:ascii="Arial" w:cs="Arial" w:eastAsia="Arial" w:hAnsi="Arial"/>
                <w:sz w:val="16"/>
                <w:szCs w:val="16"/>
                <w:color w:val="auto"/>
              </w:rPr>
              <w:t>112.1%</w:t>
            </w:r>
          </w:p>
        </w:tc>
        <w:tc>
          <w:tcPr>
            <w:tcW w:w="140" w:type="dxa"/>
            <w:vAlign w:val="bottom"/>
          </w:tcPr>
          <w:p>
            <w:pPr>
              <w:spacing w:after="0"/>
              <w:rPr>
                <w:sz w:val="17"/>
                <w:szCs w:val="17"/>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w w:val="99"/>
              </w:rPr>
              <w:t>3,849</w:t>
            </w:r>
          </w:p>
        </w:tc>
        <w:tc>
          <w:tcPr>
            <w:tcW w:w="880" w:type="dxa"/>
            <w:vAlign w:val="bottom"/>
            <w:gridSpan w:val="2"/>
          </w:tcPr>
          <w:p>
            <w:pPr>
              <w:ind w:left="360"/>
              <w:spacing w:after="0"/>
              <w:rPr>
                <w:sz w:val="20"/>
                <w:szCs w:val="20"/>
                <w:color w:val="auto"/>
              </w:rPr>
            </w:pPr>
            <w:r>
              <w:rPr>
                <w:rFonts w:ascii="Arial" w:cs="Arial" w:eastAsia="Arial" w:hAnsi="Arial"/>
                <w:sz w:val="16"/>
                <w:szCs w:val="16"/>
                <w:color w:val="auto"/>
              </w:rPr>
              <w:t>22.5%</w:t>
            </w:r>
          </w:p>
        </w:tc>
        <w:tc>
          <w:tcPr>
            <w:tcW w:w="100" w:type="dxa"/>
            <w:vAlign w:val="bottom"/>
          </w:tcPr>
          <w:p>
            <w:pPr>
              <w:spacing w:after="0"/>
              <w:rPr>
                <w:sz w:val="17"/>
                <w:szCs w:val="17"/>
                <w:color w:val="auto"/>
              </w:rPr>
            </w:pPr>
          </w:p>
        </w:tc>
        <w:tc>
          <w:tcPr>
            <w:tcW w:w="600" w:type="dxa"/>
            <w:vAlign w:val="bottom"/>
          </w:tcPr>
          <w:p>
            <w:pPr>
              <w:jc w:val="right"/>
              <w:ind w:right="59"/>
              <w:spacing w:after="0"/>
              <w:rPr>
                <w:sz w:val="20"/>
                <w:szCs w:val="20"/>
                <w:color w:val="auto"/>
              </w:rPr>
            </w:pPr>
            <w:r>
              <w:rPr>
                <w:rFonts w:ascii="Arial" w:cs="Arial" w:eastAsia="Arial" w:hAnsi="Arial"/>
                <w:sz w:val="16"/>
                <w:szCs w:val="16"/>
                <w:color w:val="auto"/>
                <w:w w:val="89"/>
              </w:rPr>
              <w:t>40,572</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95.9%</w:t>
            </w:r>
          </w:p>
        </w:tc>
        <w:tc>
          <w:tcPr>
            <w:tcW w:w="780" w:type="dxa"/>
            <w:vAlign w:val="bottom"/>
          </w:tcPr>
          <w:p>
            <w:pPr>
              <w:jc w:val="right"/>
              <w:ind w:right="159"/>
              <w:spacing w:after="0"/>
              <w:rPr>
                <w:sz w:val="20"/>
                <w:szCs w:val="20"/>
                <w:color w:val="auto"/>
              </w:rPr>
            </w:pPr>
            <w:r>
              <w:rPr>
                <w:rFonts w:ascii="Arial" w:cs="Arial" w:eastAsia="Arial" w:hAnsi="Arial"/>
                <w:sz w:val="16"/>
                <w:szCs w:val="16"/>
                <w:color w:val="auto"/>
              </w:rPr>
              <w:t>37,581</w:t>
            </w:r>
          </w:p>
        </w:tc>
        <w:tc>
          <w:tcPr>
            <w:tcW w:w="780" w:type="dxa"/>
            <w:vAlign w:val="bottom"/>
            <w:gridSpan w:val="2"/>
          </w:tcPr>
          <w:p>
            <w:pPr>
              <w:jc w:val="right"/>
              <w:ind w:right="100"/>
              <w:spacing w:after="0"/>
              <w:rPr>
                <w:sz w:val="20"/>
                <w:szCs w:val="20"/>
                <w:color w:val="auto"/>
              </w:rPr>
            </w:pPr>
            <w:r>
              <w:rPr>
                <w:rFonts w:ascii="Arial" w:cs="Arial" w:eastAsia="Arial" w:hAnsi="Arial"/>
                <w:sz w:val="16"/>
                <w:szCs w:val="16"/>
                <w:color w:val="auto"/>
              </w:rPr>
              <w:t>102.8%</w:t>
            </w:r>
          </w:p>
        </w:tc>
        <w:tc>
          <w:tcPr>
            <w:tcW w:w="140" w:type="dxa"/>
            <w:vAlign w:val="bottom"/>
          </w:tcPr>
          <w:p>
            <w:pPr>
              <w:spacing w:after="0"/>
              <w:rPr>
                <w:sz w:val="17"/>
                <w:szCs w:val="17"/>
                <w:color w:val="auto"/>
              </w:rPr>
            </w:pPr>
          </w:p>
        </w:tc>
        <w:tc>
          <w:tcPr>
            <w:tcW w:w="540" w:type="dxa"/>
            <w:vAlign w:val="bottom"/>
          </w:tcPr>
          <w:p>
            <w:pPr>
              <w:jc w:val="right"/>
              <w:ind w:right="39"/>
              <w:spacing w:after="0"/>
              <w:rPr>
                <w:sz w:val="20"/>
                <w:szCs w:val="20"/>
                <w:color w:val="auto"/>
              </w:rPr>
            </w:pPr>
            <w:r>
              <w:rPr>
                <w:rFonts w:ascii="Arial" w:cs="Arial" w:eastAsia="Arial" w:hAnsi="Arial"/>
                <w:sz w:val="16"/>
                <w:szCs w:val="16"/>
                <w:color w:val="auto"/>
                <w:w w:val="99"/>
              </w:rPr>
              <w:t>2,991</w:t>
            </w:r>
          </w:p>
        </w:tc>
        <w:tc>
          <w:tcPr>
            <w:tcW w:w="780" w:type="dxa"/>
            <w:vAlign w:val="bottom"/>
            <w:gridSpan w:val="2"/>
          </w:tcPr>
          <w:p>
            <w:pPr>
              <w:jc w:val="right"/>
              <w:spacing w:after="0"/>
              <w:rPr>
                <w:sz w:val="20"/>
                <w:szCs w:val="20"/>
                <w:color w:val="auto"/>
              </w:rPr>
            </w:pPr>
            <w:r>
              <w:rPr>
                <w:rFonts w:ascii="Arial" w:cs="Arial" w:eastAsia="Arial" w:hAnsi="Arial"/>
                <w:sz w:val="16"/>
                <w:szCs w:val="16"/>
                <w:color w:val="auto"/>
              </w:rPr>
              <w:t>8.0%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9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1940" w:type="dxa"/>
            <w:vAlign w:val="bottom"/>
          </w:tcPr>
          <w:p>
            <w:pPr>
              <w:spacing w:after="0"/>
              <w:rPr>
                <w:sz w:val="20"/>
                <w:szCs w:val="20"/>
                <w:color w:val="auto"/>
              </w:rPr>
            </w:pPr>
            <w:r>
              <w:rPr>
                <w:rFonts w:ascii="Arial" w:cs="Arial" w:eastAsia="Arial" w:hAnsi="Arial"/>
                <w:sz w:val="16"/>
                <w:szCs w:val="16"/>
                <w:color w:val="auto"/>
              </w:rPr>
              <w:t>Income (loss) from</w:t>
            </w: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vMerge w:val="restart"/>
          </w:tcPr>
          <w:p>
            <w:pPr>
              <w:jc w:val="right"/>
              <w:ind w:right="119"/>
              <w:spacing w:after="0"/>
              <w:rPr>
                <w:sz w:val="20"/>
                <w:szCs w:val="20"/>
                <w:color w:val="auto"/>
              </w:rPr>
            </w:pPr>
            <w:r>
              <w:rPr>
                <w:rFonts w:ascii="Arial" w:cs="Arial" w:eastAsia="Arial" w:hAnsi="Arial"/>
                <w:sz w:val="16"/>
                <w:szCs w:val="16"/>
                <w:color w:val="auto"/>
              </w:rPr>
              <w:t>1,294</w:t>
            </w:r>
          </w:p>
        </w:tc>
        <w:tc>
          <w:tcPr>
            <w:tcW w:w="82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5.8%</w:t>
            </w:r>
          </w:p>
        </w:tc>
        <w:tc>
          <w:tcPr>
            <w:tcW w:w="780" w:type="dxa"/>
            <w:vAlign w:val="bottom"/>
            <w:vMerge w:val="restart"/>
          </w:tcPr>
          <w:p>
            <w:pPr>
              <w:jc w:val="right"/>
              <w:ind w:right="99"/>
              <w:spacing w:after="0"/>
              <w:rPr>
                <w:sz w:val="20"/>
                <w:szCs w:val="20"/>
                <w:color w:val="auto"/>
              </w:rPr>
            </w:pPr>
            <w:r>
              <w:rPr>
                <w:rFonts w:ascii="Arial" w:cs="Arial" w:eastAsia="Arial" w:hAnsi="Arial"/>
                <w:sz w:val="16"/>
                <w:szCs w:val="16"/>
                <w:color w:val="auto"/>
                <w:w w:val="90"/>
              </w:rPr>
              <w:t>$ (1,842)</w:t>
            </w: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-12.1%</w:t>
            </w: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vMerge w:val="restart"/>
          </w:tcPr>
          <w:p>
            <w:pPr>
              <w:jc w:val="right"/>
              <w:ind w:right="39"/>
              <w:spacing w:after="0"/>
              <w:rPr>
                <w:sz w:val="20"/>
                <w:szCs w:val="20"/>
                <w:color w:val="auto"/>
              </w:rPr>
            </w:pPr>
            <w:r>
              <w:rPr>
                <w:rFonts w:ascii="Arial" w:cs="Arial" w:eastAsia="Arial" w:hAnsi="Arial"/>
                <w:sz w:val="16"/>
                <w:szCs w:val="16"/>
                <w:color w:val="auto"/>
                <w:w w:val="99"/>
              </w:rPr>
              <w:t>3,136</w:t>
            </w:r>
          </w:p>
        </w:tc>
        <w:tc>
          <w:tcPr>
            <w:tcW w:w="880" w:type="dxa"/>
            <w:vAlign w:val="bottom"/>
            <w:gridSpan w:val="2"/>
            <w:vMerge w:val="restart"/>
          </w:tcPr>
          <w:p>
            <w:pPr>
              <w:ind w:left="340"/>
              <w:spacing w:after="0"/>
              <w:rPr>
                <w:sz w:val="20"/>
                <w:szCs w:val="20"/>
                <w:color w:val="auto"/>
              </w:rPr>
            </w:pPr>
            <w:r>
              <w:rPr>
                <w:rFonts w:ascii="Arial" w:cs="Arial" w:eastAsia="Arial" w:hAnsi="Arial"/>
                <w:sz w:val="16"/>
                <w:szCs w:val="16"/>
                <w:color w:val="auto"/>
              </w:rPr>
              <w:t>N/M</w:t>
            </w:r>
          </w:p>
        </w:tc>
        <w:tc>
          <w:tcPr>
            <w:tcW w:w="10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ind w:right="59"/>
              <w:spacing w:after="0"/>
              <w:rPr>
                <w:sz w:val="20"/>
                <w:szCs w:val="20"/>
                <w:color w:val="auto"/>
              </w:rPr>
            </w:pPr>
            <w:r>
              <w:rPr>
                <w:rFonts w:ascii="Arial" w:cs="Arial" w:eastAsia="Arial" w:hAnsi="Arial"/>
                <w:sz w:val="16"/>
                <w:szCs w:val="16"/>
                <w:color w:val="auto"/>
              </w:rPr>
              <w:t>1,753</w:t>
            </w:r>
          </w:p>
        </w:tc>
        <w:tc>
          <w:tcPr>
            <w:tcW w:w="88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4.1%</w:t>
            </w:r>
          </w:p>
        </w:tc>
        <w:tc>
          <w:tcPr>
            <w:tcW w:w="780" w:type="dxa"/>
            <w:vAlign w:val="bottom"/>
            <w:vMerge w:val="restart"/>
          </w:tcPr>
          <w:p>
            <w:pPr>
              <w:jc w:val="right"/>
              <w:ind w:right="99"/>
              <w:spacing w:after="0"/>
              <w:rPr>
                <w:sz w:val="20"/>
                <w:szCs w:val="20"/>
                <w:color w:val="auto"/>
              </w:rPr>
            </w:pPr>
            <w:r>
              <w:rPr>
                <w:rFonts w:ascii="Arial" w:cs="Arial" w:eastAsia="Arial" w:hAnsi="Arial"/>
                <w:sz w:val="16"/>
                <w:szCs w:val="16"/>
                <w:color w:val="auto"/>
                <w:w w:val="90"/>
              </w:rPr>
              <w:t>$ (1,007)</w:t>
            </w:r>
          </w:p>
        </w:tc>
        <w:tc>
          <w:tcPr>
            <w:tcW w:w="780" w:type="dxa"/>
            <w:vAlign w:val="bottom"/>
            <w:gridSpan w:val="2"/>
            <w:vMerge w:val="restart"/>
          </w:tcPr>
          <w:p>
            <w:pPr>
              <w:jc w:val="right"/>
              <w:ind w:right="100"/>
              <w:spacing w:after="0"/>
              <w:rPr>
                <w:sz w:val="20"/>
                <w:szCs w:val="20"/>
                <w:color w:val="auto"/>
              </w:rPr>
            </w:pPr>
            <w:r>
              <w:rPr>
                <w:rFonts w:ascii="Arial" w:cs="Arial" w:eastAsia="Arial" w:hAnsi="Arial"/>
                <w:sz w:val="16"/>
                <w:szCs w:val="16"/>
                <w:color w:val="auto"/>
              </w:rPr>
              <w:t>-2.8%</w:t>
            </w: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vMerge w:val="restart"/>
          </w:tcPr>
          <w:p>
            <w:pPr>
              <w:jc w:val="right"/>
              <w:ind w:right="39"/>
              <w:spacing w:after="0"/>
              <w:rPr>
                <w:sz w:val="20"/>
                <w:szCs w:val="20"/>
                <w:color w:val="auto"/>
              </w:rPr>
            </w:pPr>
            <w:r>
              <w:rPr>
                <w:rFonts w:ascii="Arial" w:cs="Arial" w:eastAsia="Arial" w:hAnsi="Arial"/>
                <w:sz w:val="16"/>
                <w:szCs w:val="16"/>
                <w:color w:val="auto"/>
                <w:w w:val="99"/>
              </w:rPr>
              <w:t>2,760</w:t>
            </w:r>
          </w:p>
        </w:tc>
        <w:tc>
          <w:tcPr>
            <w:tcW w:w="800" w:type="dxa"/>
            <w:vAlign w:val="bottom"/>
            <w:gridSpan w:val="3"/>
            <w:vMerge w:val="restart"/>
          </w:tcPr>
          <w:p>
            <w:pPr>
              <w:ind w:left="340"/>
              <w:spacing w:after="0"/>
              <w:rPr>
                <w:sz w:val="20"/>
                <w:szCs w:val="20"/>
                <w:color w:val="auto"/>
              </w:rPr>
            </w:pPr>
            <w:r>
              <w:rPr>
                <w:rFonts w:ascii="Arial" w:cs="Arial" w:eastAsia="Arial" w:hAnsi="Arial"/>
                <w:sz w:val="16"/>
                <w:szCs w:val="16"/>
                <w:color w:val="auto"/>
              </w:rPr>
              <w:t>N/M</w:t>
            </w:r>
          </w:p>
        </w:tc>
        <w:tc>
          <w:tcPr>
            <w:tcW w:w="0" w:type="dxa"/>
            <w:vAlign w:val="bottom"/>
          </w:tcPr>
          <w:p>
            <w:pPr>
              <w:spacing w:after="0"/>
              <w:rPr>
                <w:sz w:val="1"/>
                <w:szCs w:val="1"/>
                <w:color w:val="auto"/>
              </w:rPr>
            </w:pPr>
          </w:p>
        </w:tc>
      </w:tr>
      <w:tr>
        <w:trPr>
          <w:trHeight w:val="172"/>
        </w:trPr>
        <w:tc>
          <w:tcPr>
            <w:tcW w:w="1940" w:type="dxa"/>
            <w:vAlign w:val="bottom"/>
          </w:tcPr>
          <w:p>
            <w:pPr>
              <w:spacing w:after="0" w:line="172" w:lineRule="exact"/>
              <w:rPr>
                <w:sz w:val="20"/>
                <w:szCs w:val="20"/>
                <w:color w:val="auto"/>
              </w:rPr>
            </w:pPr>
            <w:r>
              <w:rPr>
                <w:rFonts w:ascii="Arial" w:cs="Arial" w:eastAsia="Arial" w:hAnsi="Arial"/>
                <w:sz w:val="16"/>
                <w:szCs w:val="16"/>
                <w:color w:val="auto"/>
              </w:rPr>
              <w:t>operations</w:t>
            </w:r>
          </w:p>
        </w:tc>
        <w:tc>
          <w:tcPr>
            <w:tcW w:w="100" w:type="dxa"/>
            <w:vAlign w:val="bottom"/>
            <w:vMerge w:val="continue"/>
          </w:tcPr>
          <w:p>
            <w:pPr>
              <w:spacing w:after="0"/>
              <w:rPr>
                <w:sz w:val="14"/>
                <w:szCs w:val="14"/>
                <w:color w:val="auto"/>
              </w:rPr>
            </w:pPr>
          </w:p>
        </w:tc>
        <w:tc>
          <w:tcPr>
            <w:tcW w:w="660" w:type="dxa"/>
            <w:vAlign w:val="bottom"/>
            <w:vMerge w:val="continue"/>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40" w:type="dxa"/>
            <w:vAlign w:val="bottom"/>
            <w:vMerge w:val="continue"/>
          </w:tcPr>
          <w:p>
            <w:pPr>
              <w:spacing w:after="0"/>
              <w:rPr>
                <w:sz w:val="14"/>
                <w:szCs w:val="14"/>
                <w:color w:val="auto"/>
              </w:rPr>
            </w:pPr>
          </w:p>
        </w:tc>
        <w:tc>
          <w:tcPr>
            <w:tcW w:w="54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40" w:type="dxa"/>
            <w:vAlign w:val="bottom"/>
            <w:vMerge w:val="continue"/>
          </w:tcPr>
          <w:p>
            <w:pPr>
              <w:spacing w:after="0"/>
              <w:rPr>
                <w:sz w:val="14"/>
                <w:szCs w:val="14"/>
                <w:color w:val="auto"/>
              </w:rPr>
            </w:pPr>
          </w:p>
        </w:tc>
        <w:tc>
          <w:tcPr>
            <w:tcW w:w="540" w:type="dxa"/>
            <w:vAlign w:val="bottom"/>
            <w:vMerge w:val="continue"/>
          </w:tcPr>
          <w:p>
            <w:pPr>
              <w:spacing w:after="0"/>
              <w:rPr>
                <w:sz w:val="14"/>
                <w:szCs w:val="14"/>
                <w:color w:val="auto"/>
              </w:rPr>
            </w:pPr>
          </w:p>
        </w:tc>
        <w:tc>
          <w:tcPr>
            <w:tcW w:w="80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9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Analysis of Operations </w:t>
      </w:r>
      <w:r>
        <w:rPr>
          <w:rFonts w:ascii="Arial" w:cs="Arial" w:eastAsia="Arial" w:hAnsi="Arial"/>
          <w:sz w:val="18"/>
          <w:szCs w:val="18"/>
          <w:color w:val="auto"/>
        </w:rPr>
        <w:t>–</w:t>
      </w:r>
      <w:r>
        <w:rPr>
          <w:rFonts w:ascii="Arial" w:cs="Arial" w:eastAsia="Arial" w:hAnsi="Arial"/>
          <w:sz w:val="18"/>
          <w:szCs w:val="18"/>
          <w:i w:val="1"/>
          <w:iCs w:val="1"/>
          <w:color w:val="auto"/>
        </w:rPr>
        <w:t xml:space="preserve"> Logistical Services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Net revenues for the three and six months ended May 29, 2021 increased $6,985 and $5,751, respectively, from the prior year periods due primarily to the major impact of the COVID-19 pandemic on our operations in fiscal 2020, which forced a near total shut-down of furniture retail operations throughout the country from late March through early May of last year. Operating profit has also increased significantly over the prior year periods, as we were forced during the second quarter of 2020 to run some of our trucks at substantially lower than optimal load levels resulting in inefficiencies and provided freight services for customers outside of the furniture industry in order to maintain some level of revenue and retain our drivers. These improvements have been partially offset in the current year by higher warehousing labor costs as Zenith has been challenged to find and maintain freight-handling personnel in the warehousing operation due to the previously discussed COVID-related labor shortages.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Items Affecting Net Income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Loss,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loss, net, for the three months ended May 29, 2021 was $332 compared to $765 for the three months ended May 30, 2020, a decrease of $433. The net change was primarily due to lower net costs of Company-owned life insurance in the current year coupled with valuation charges associated with sublease rent receivables which had been incurred in the prior year as a result of the pandemic.</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Other loss, net, for the six months ended May 29, 2021 was $669 compared to $1,127 for the six months ended May 30, 2020, a decrease of $458. The net change was primarily due to lower net costs of Company-owned life insurance in the current year coupled with valuation charges associated with sublease rent receivables which had been incurred in the prior year as a result of the pandemic, partially offset by reduced interest income from our investments in CDs.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3" w:name="page34"/>
    <w:bookmarkEnd w:id="33"/>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effective tax rates for the three and six months ended May 29, 2021 of 25.8% and 27.3%, respectively, differ from the federal statutory rate of 21% primarily due to the effects of state income taxes and various permanent differences, including tax benefits (deficiencies) of $18 and ($117) during the three and six months ended May 29, 2021, respectively, arising from stock-based compensation.</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March 27, 2020 the Coronavirus Aid, Relief, and Economic Security Act (the “CARES Act”) was signed into law. A major provision of the CARES Act allowed net operating losses from the 2018, 2019 and 2020 tax years to be carried back up to five years. As a result, our effective tax rates for the three and six months ended May 30, 2020 were (36.4%) and (36.5%), respectively, which differ from the federal statutory rate of 21% primarily due to the effects of carrying back our net operating loss from fiscal 2020 to tax years in which the federal statutory rate was 35%, and to the effects of state income taxes and various permanent differences.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Cash Flows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Cash provided by operations for the first half of fiscal 2021 was $12,050 compared to $5,747 used in operations for the first half of fiscal 2020, representing an increase in cash provided by operations of $17,797. This increase in operating cash flow is primarily due to the significant increase in operating income as compared to the second quarter of fiscal 2020 when nearly all operations were temporarily suspended due to the pandemic, along with a substantial current year increase in customer deposits taken against unfilled orders. These improvements were partially offset by other changes in working capital led by increased investment in inventory as we work to fulfill our order backlog.</w:t>
      </w:r>
    </w:p>
    <w:p>
      <w:pPr>
        <w:spacing w:after="0" w:line="17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Our overall cash position decreased by $23 during the first half of fiscal 2021, compared to an overall decrease of $8,252 during the first half of fiscal 2020, an improvement of $8,229 over the prior year period. Partially offsetting the improvement in cash flows from operations, net cash used in investing activities during the first half of 2021 increased $3,824 to a net use of $3,722 compared to net cash provided by investing activities of $102 for the prior year period. This increase was primarily due to proceeds from the sale of our closed Gulfport store location included in the first half of 2020 along with increased capital expenditures in the current year. Net cash used in financing activities during the first half of 2021 increased $5,744 to a net use of $8,351 as compared to a net use of $2,607 for the prior year period, primarily due to a special dividend of $2,479 declared and paid during the first half of 2021, along with share repurchases of $2,925 during the first half of fiscal 2021 as compared to $1,241 repurchased during the first half of fiscal 2020. As of May 29, 2021, $5,506 remains authorized under our existing share repurchase plan. With cash and cash equivalents and short-term investments totaling $63,491 on hand at May 29, 2021, expected future operating cash flows and the availability under our credit line noted below, we believe we have sufficient liquidity to fund operations for the foreseeable future.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Debt and Other Obligations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bank credit facility provides for a line of credit of up to $25,000. At May 29, 2021, we had $3,181 outstanding under standby letters of credit against our line, leaving availability under our credit line of $21,819. In addition, we have outstanding standby letters of credit with another bank totaling $325. The line bears interest at the rate of LIBOR plus 1.9%, with a fee of 0.25% charged for the unused portion of the line and is secured by a general lien on our accounts receivable and inventory. We were in compliance with all covenants under the agreement as of May 29, 2021 and expect to remain in compliance through the end of fiscal 2021. The credit facility matures on January 31, 2022.</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4" w:name="page35"/>
    <w:bookmarkEnd w:id="34"/>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1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and retail segments. The present value of our obligations for leases with terms in excess of one year at May 29, 2021 is $143,910 and is included in our accompanying condensed consolidated balance sheet at May 29, 2021. We were contingently liable under licensee lease obligation guarantees in the amount of $2,073 at May 29, 2021. Remaining terms under these lease guarantees range from approximately one to three years. See Note 12 to our condensed consolidated financial statements for additional details regarding our lease guarantees.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Investment in Retail Real Estate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a substantial investment in real estate acquired for use as retail locations and occupied by Company-owned retail stores. Such real estate is included in property and equipment, net, in the accompanying condensed consolidated balance sheets and consists of eight properties with an aggregate square footage of 201,096 and a net book value of $17,199 at May 29, 2021.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28, 2020.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utilize stand-by letters of credit in the procurement of certain goods in the normal course of business. In addition, we have guaranteed certain lease obligations of licensee operators for some of their store locations. See Note 12 to our condensed consolidated financial statements for further discussion of lease guarantees, including descriptions of the terms of such commitments and methods used to mitigate risks associated with these arrangements.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11 to our condensed consolidated financial statements for further information regarding certain contingencies as of May 29, 2021.</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 about Market Risk:</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2021.</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exposed to market risk from changes in the cost and availability of raw materials used in our manufacturing processes, principally wood, woven fabric, and foam products. The cost of foam products, which are petroleum-based, is sensitive to changes in the price of oil.</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also exposed to commodity price risk related to diesel fuel prices for fuel used in our logistical services and retail segments. We manage our exposure to that risk primarily through the application of fuel surcharges to our customers.</w:t>
      </w:r>
    </w:p>
    <w:p>
      <w:pPr>
        <w:spacing w:after="0" w:line="170"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have potential exposure to market risk related to conditions in the commercial real estate market. Our retail real estate holdings of $17,199 at May 29, 2021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$2,073 which we have guaranteed on behalf of licensees as of May 29, 2021 we may not be able to secure sufficient sub-lease income in the current market to offset the payments required under the guarantees. We are also exposed to risk related to conditions in the commercial real estate rental market with respect to the right-of-use assets we carry on our balance sheet for leased retail store locations, warehouse and distribution facilities. At May 29, 2021, the unamortized balance of such right-of-use assets totaled $108,219. Should we have to close or otherwise abandon one of these leased locations, we could incur additional impairment charges if rental market conditions do not support a fair value for the right of use asset in excess of its carrying value.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5" w:name="page36"/>
    <w:bookmarkEnd w:id="35"/>
    <w:p>
      <w:pPr>
        <w:jc w:val="center"/>
        <w:ind w:right="-159"/>
        <w:spacing w:after="0"/>
        <w:rPr>
          <w:sz w:val="20"/>
          <w:szCs w:val="20"/>
          <w:color w:val="auto"/>
        </w:rPr>
      </w:pPr>
      <w:r>
        <w:rPr>
          <w:rFonts w:ascii="Arial" w:cs="Arial" w:eastAsia="Arial" w:hAnsi="Arial"/>
          <w:sz w:val="18"/>
          <w:szCs w:val="18"/>
          <w:u w:val="single" w:color="auto"/>
          <w:color w:val="auto"/>
        </w:rPr>
        <w:t>PART I-FINANCIAL INFORMATION-CONTINUED</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principal executive officer and principal financial officer have evaluated the Company’s disclosure controls and procedures (as defined in Exchange Act Rule 13a-15(e)) as of the end of the period covered by this Quarterly Report on Form 10-Q. Based upon their evaluation, the principal executive officer and principal financial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6" w:name="page37"/>
    <w:bookmarkEnd w:id="36"/>
    <w:p>
      <w:pPr>
        <w:jc w:val="center"/>
        <w:ind w:right="-159"/>
        <w:spacing w:after="0"/>
        <w:rPr>
          <w:sz w:val="20"/>
          <w:szCs w:val="20"/>
          <w:color w:val="auto"/>
        </w:rPr>
      </w:pPr>
      <w:r>
        <w:rPr>
          <w:rFonts w:ascii="Arial" w:cs="Arial" w:eastAsia="Arial" w:hAnsi="Arial"/>
          <w:sz w:val="18"/>
          <w:szCs w:val="18"/>
          <w:u w:val="single" w:color="auto"/>
          <w:color w:val="auto"/>
        </w:rPr>
        <w:t>PART II - OTHER INFORMATION</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stock repurchase activity by or on behalf of the Company or any “affiliated purchaser,” as defined by Rule 10b-18(a)</w:t>
      </w:r>
    </w:p>
    <w:p>
      <w:pPr>
        <w:spacing w:after="0" w:line="46" w:lineRule="exact"/>
        <w:rPr>
          <w:sz w:val="20"/>
          <w:szCs w:val="20"/>
          <w:color w:val="auto"/>
        </w:rPr>
      </w:pPr>
    </w:p>
    <w:p>
      <w:pPr>
        <w:ind w:firstLine="8"/>
        <w:spacing w:after="0" w:line="260" w:lineRule="auto"/>
        <w:tabs>
          <w:tab w:leader="none" w:pos="265" w:val="left"/>
        </w:tabs>
        <w:numPr>
          <w:ilvl w:val="0"/>
          <w:numId w:val="11"/>
        </w:numPr>
        <w:rPr>
          <w:rFonts w:ascii="Arial" w:cs="Arial" w:eastAsia="Arial" w:hAnsi="Arial"/>
          <w:sz w:val="18"/>
          <w:szCs w:val="18"/>
          <w:color w:val="auto"/>
        </w:rPr>
      </w:pPr>
      <w:r>
        <w:rPr>
          <w:rFonts w:ascii="Arial" w:cs="Arial" w:eastAsia="Arial" w:hAnsi="Arial"/>
          <w:sz w:val="18"/>
          <w:szCs w:val="18"/>
          <w:color w:val="auto"/>
        </w:rPr>
        <w:t>of the Exchange Act, for the three months ended May 29, 2021 and the approximate dollar value of shares that may yet be purchased pursuant to our stock repurchase program:</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Total Number of</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Approximate</w:t>
            </w:r>
          </w:p>
        </w:tc>
      </w:t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3"/>
              </w:rPr>
              <w:t>Shares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Dollar Value of</w:t>
            </w:r>
          </w:p>
        </w:tc>
      </w:t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Purchased as Part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Shares that May</w:t>
            </w:r>
          </w:p>
        </w:tc>
      </w:t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2"/>
              </w:rPr>
              <w:t>of</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Yet Be</w:t>
            </w:r>
          </w:p>
        </w:tc>
      </w:tr>
      <w:tr>
        <w:trPr>
          <w:trHeight w:val="216"/>
        </w:trPr>
        <w:tc>
          <w:tcPr>
            <w:tcW w:w="4620" w:type="dxa"/>
            <w:vAlign w:val="bottom"/>
          </w:tcPr>
          <w:p>
            <w:pPr>
              <w:spacing w:after="0"/>
              <w:rPr>
                <w:sz w:val="18"/>
                <w:szCs w:val="18"/>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Total</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Publicly</w:t>
            </w:r>
          </w:p>
        </w:tc>
        <w:tc>
          <w:tcPr>
            <w:tcW w:w="100" w:type="dxa"/>
            <w:vAlign w:val="bottom"/>
          </w:tcPr>
          <w:p>
            <w:pPr>
              <w:spacing w:after="0"/>
              <w:rPr>
                <w:sz w:val="18"/>
                <w:szCs w:val="18"/>
                <w:color w:val="auto"/>
              </w:rPr>
            </w:pPr>
          </w:p>
        </w:tc>
        <w:tc>
          <w:tcPr>
            <w:tcW w:w="15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Purchased Under</w:t>
            </w:r>
          </w:p>
        </w:tc>
      </w:tr>
      <w:tr>
        <w:trPr>
          <w:trHeight w:val="216"/>
        </w:trPr>
        <w:tc>
          <w:tcPr>
            <w:tcW w:w="4620" w:type="dxa"/>
            <w:vAlign w:val="bottom"/>
          </w:tcPr>
          <w:p>
            <w:pPr>
              <w:spacing w:after="0"/>
              <w:rPr>
                <w:sz w:val="18"/>
                <w:szCs w:val="18"/>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Shares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7"/>
              </w:rPr>
              <w:t>Average</w:t>
            </w: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Announced Plans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the Plans</w:t>
            </w:r>
          </w:p>
        </w:tc>
      </w:tr>
      <w:tr>
        <w:trPr>
          <w:trHeight w:val="234"/>
        </w:trPr>
        <w:tc>
          <w:tcPr>
            <w:tcW w:w="4620" w:type="dxa"/>
            <w:vAlign w:val="bottom"/>
          </w:tcPr>
          <w:p>
            <w:pPr>
              <w:spacing w:after="0"/>
              <w:rPr>
                <w:sz w:val="20"/>
                <w:szCs w:val="20"/>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Purchased</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1"/>
              </w:rPr>
              <w:t>Price Paid</w:t>
            </w:r>
          </w:p>
        </w:tc>
        <w:tc>
          <w:tcPr>
            <w:tcW w:w="15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or Programs (1)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or Programs (1)</w:t>
            </w:r>
          </w:p>
        </w:tc>
      </w:tr>
      <w:tr>
        <w:trPr>
          <w:trHeight w:val="209"/>
        </w:trPr>
        <w:tc>
          <w:tcPr>
            <w:tcW w:w="4620" w:type="dxa"/>
            <w:vAlign w:val="bottom"/>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February 28 - April 3, 2021</w:t>
            </w:r>
          </w:p>
        </w:tc>
        <w:tc>
          <w:tcPr>
            <w:tcW w:w="1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3,900</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20.28</w:t>
            </w: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3,900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7,818</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April 4 - May 1, 2021</w:t>
            </w:r>
          </w:p>
        </w:tc>
        <w:tc>
          <w:tcPr>
            <w:tcW w:w="1600" w:type="dxa"/>
            <w:vAlign w:val="bottom"/>
            <w:gridSpan w:val="2"/>
          </w:tcPr>
          <w:p>
            <w:pPr>
              <w:jc w:val="right"/>
              <w:ind w:right="120"/>
              <w:spacing w:after="0"/>
              <w:rPr>
                <w:sz w:val="20"/>
                <w:szCs w:val="20"/>
                <w:color w:val="auto"/>
              </w:rPr>
            </w:pPr>
            <w:r>
              <w:rPr>
                <w:rFonts w:ascii="Arial" w:cs="Arial" w:eastAsia="Arial" w:hAnsi="Arial"/>
                <w:sz w:val="18"/>
                <w:szCs w:val="18"/>
                <w:color w:val="auto"/>
              </w:rPr>
              <w:t>20,812</w:t>
            </w:r>
          </w:p>
        </w:tc>
        <w:tc>
          <w:tcPr>
            <w:tcW w:w="3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26.23</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20,812</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00"/>
              <w:spacing w:after="0"/>
              <w:rPr>
                <w:sz w:val="20"/>
                <w:szCs w:val="20"/>
                <w:color w:val="auto"/>
              </w:rPr>
            </w:pPr>
            <w:r>
              <w:rPr>
                <w:rFonts w:ascii="Arial" w:cs="Arial" w:eastAsia="Arial" w:hAnsi="Arial"/>
                <w:sz w:val="18"/>
                <w:szCs w:val="18"/>
                <w:color w:val="auto"/>
              </w:rPr>
              <w:t>7,272</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May 2 - May 29, 2021</w:t>
            </w:r>
          </w:p>
        </w:tc>
        <w:tc>
          <w:tcPr>
            <w:tcW w:w="1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54,240</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32.57</w:t>
            </w:r>
          </w:p>
        </w:tc>
        <w:tc>
          <w:tcPr>
            <w:tcW w:w="15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54,240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5,506</w:t>
            </w:r>
          </w:p>
        </w:tc>
      </w:tr>
    </w:tbl>
    <w:p>
      <w:pPr>
        <w:spacing w:after="0" w:line="202" w:lineRule="exact"/>
        <w:rPr>
          <w:sz w:val="20"/>
          <w:szCs w:val="20"/>
          <w:color w:val="auto"/>
        </w:rPr>
      </w:pPr>
    </w:p>
    <w:p>
      <w:pPr>
        <w:jc w:val="both"/>
        <w:ind w:left="340" w:hanging="332"/>
        <w:spacing w:after="0" w:line="263"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Company is authorized to repurchase Company stock under a plan which was originally announced in 1998. On October 3, 2018, the Board of Directors increased the remaining limit of the repurchase plan to $20,000. At May 29, 2021 $5,506 remains available for share repurchases under the plan.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 of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7" w:name="page38"/>
    <w:bookmarkEnd w:id="37"/>
    <w:p>
      <w:pPr>
        <w:jc w:val="center"/>
        <w:ind w:right="-159"/>
        <w:spacing w:after="0"/>
        <w:rPr>
          <w:sz w:val="20"/>
          <w:szCs w:val="20"/>
          <w:color w:val="auto"/>
        </w:rPr>
      </w:pPr>
      <w:r>
        <w:rPr>
          <w:rFonts w:ascii="Arial" w:cs="Arial" w:eastAsia="Arial" w:hAnsi="Arial"/>
          <w:sz w:val="18"/>
          <w:szCs w:val="18"/>
          <w:u w:val="single" w:color="auto"/>
          <w:color w:val="auto"/>
        </w:rPr>
        <w:t>PART II - OTHER INFORMATION</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u w:val="single" w:color="auto"/>
          <w:color w:val="auto"/>
        </w:rPr>
        <w:t>MAY 29, 2021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rFonts w:ascii="Arial" w:cs="Arial" w:eastAsia="Arial" w:hAnsi="Arial"/>
          <w:sz w:val="18"/>
          <w:szCs w:val="18"/>
          <w:color w:val="auto"/>
        </w:rPr>
      </w:pPr>
    </w:p>
    <w:p>
      <w:pPr>
        <w:ind w:left="340"/>
        <w:spacing w:after="0" w:line="277" w:lineRule="auto"/>
        <w:rPr>
          <w:rFonts w:ascii="Arial" w:cs="Arial" w:eastAsia="Arial" w:hAnsi="Arial"/>
          <w:sz w:val="18"/>
          <w:szCs w:val="18"/>
          <w:color w:val="auto"/>
        </w:rPr>
      </w:pPr>
      <w:r>
        <w:rPr>
          <w:rFonts w:ascii="Arial" w:cs="Arial" w:eastAsia="Arial" w:hAnsi="Arial"/>
          <w:sz w:val="18"/>
          <w:szCs w:val="18"/>
          <w:color w:val="auto"/>
        </w:rPr>
        <w:t>Exhibit 3a – Articles of Incorporation as amended to date are incorporated herein by reference to the Exhibit to Form 10-Q for the fiscal quarter ended February 28, 1994.</w:t>
      </w:r>
    </w:p>
    <w:p>
      <w:pPr>
        <w:spacing w:after="0" w:line="170" w:lineRule="exact"/>
        <w:rPr>
          <w:rFonts w:ascii="Arial" w:cs="Arial" w:eastAsia="Arial" w:hAnsi="Arial"/>
          <w:sz w:val="18"/>
          <w:szCs w:val="18"/>
          <w:color w:val="auto"/>
        </w:rPr>
      </w:pPr>
    </w:p>
    <w:p>
      <w:pPr>
        <w:ind w:left="340"/>
        <w:spacing w:after="0"/>
        <w:rPr>
          <w:rFonts w:ascii="Arial" w:cs="Arial" w:eastAsia="Arial" w:hAnsi="Arial"/>
          <w:sz w:val="17"/>
          <w:szCs w:val="17"/>
          <w:color w:val="auto"/>
        </w:rPr>
      </w:pPr>
      <w:r>
        <w:rPr>
          <w:rFonts w:ascii="Arial" w:cs="Arial" w:eastAsia="Arial" w:hAnsi="Arial"/>
          <w:sz w:val="17"/>
          <w:szCs w:val="17"/>
          <w:color w:val="auto"/>
        </w:rPr>
        <w:t xml:space="preserve">Exhibit 3b – </w:t>
      </w:r>
      <w:hyperlink r:id="rId66">
        <w:r>
          <w:rPr>
            <w:rFonts w:ascii="Arial" w:cs="Arial" w:eastAsia="Arial" w:hAnsi="Arial"/>
            <w:sz w:val="17"/>
            <w:szCs w:val="17"/>
            <w:u w:val="single" w:color="auto"/>
            <w:color w:val="0000EE"/>
          </w:rPr>
          <w:t>By-laws as amended to date are incorporated herein by reference to Exhibit 3 to Form 8-K filed with the SEC on January 19, 2021</w:t>
        </w:r>
      </w:hyperlink>
      <w:r>
        <w:rPr>
          <w:rFonts w:ascii="Arial" w:cs="Arial" w:eastAsia="Arial" w:hAnsi="Arial"/>
          <w:sz w:val="17"/>
          <w:szCs w:val="17"/>
          <w:color w:val="auto"/>
        </w:rPr>
        <w:t>.</w:t>
      </w:r>
    </w:p>
    <w:p>
      <w:pPr>
        <w:spacing w:after="0" w:line="236" w:lineRule="exact"/>
        <w:rPr>
          <w:rFonts w:ascii="Arial" w:cs="Arial" w:eastAsia="Arial" w:hAnsi="Arial"/>
          <w:sz w:val="17"/>
          <w:szCs w:val="17"/>
          <w:color w:val="auto"/>
        </w:rPr>
      </w:pPr>
    </w:p>
    <w:p>
      <w:pPr>
        <w:ind w:left="340"/>
        <w:spacing w:after="0" w:line="277" w:lineRule="auto"/>
        <w:rPr>
          <w:rFonts w:ascii="Arial" w:cs="Arial" w:eastAsia="Arial" w:hAnsi="Arial"/>
          <w:sz w:val="17"/>
          <w:szCs w:val="17"/>
          <w:color w:val="auto"/>
        </w:rPr>
      </w:pPr>
      <w:r>
        <w:rPr>
          <w:rFonts w:ascii="Arial" w:cs="Arial" w:eastAsia="Arial" w:hAnsi="Arial"/>
          <w:sz w:val="18"/>
          <w:szCs w:val="18"/>
          <w:color w:val="auto"/>
        </w:rPr>
        <w:t>Exhibit 4 –Registrant hereby agrees to furnish the SEC, upon request, other instruments defining the rights of holders of long-term debt of the Registrant.</w:t>
      </w:r>
    </w:p>
    <w:p>
      <w:pPr>
        <w:spacing w:after="0" w:line="170" w:lineRule="exact"/>
        <w:rPr>
          <w:rFonts w:ascii="Arial" w:cs="Arial" w:eastAsia="Arial" w:hAnsi="Arial"/>
          <w:sz w:val="17"/>
          <w:szCs w:val="17"/>
          <w:color w:val="auto"/>
        </w:rPr>
      </w:pPr>
    </w:p>
    <w:p>
      <w:pPr>
        <w:jc w:val="both"/>
        <w:ind w:left="340" w:right="2820"/>
        <w:spacing w:after="0" w:line="563" w:lineRule="auto"/>
        <w:rPr>
          <w:rFonts w:ascii="Arial" w:cs="Arial" w:eastAsia="Arial" w:hAnsi="Arial"/>
          <w:sz w:val="16"/>
          <w:szCs w:val="16"/>
          <w:color w:val="auto"/>
        </w:rPr>
      </w:pPr>
      <w:r>
        <w:rPr>
          <w:rFonts w:ascii="Arial" w:cs="Arial" w:eastAsia="Arial" w:hAnsi="Arial"/>
          <w:sz w:val="16"/>
          <w:szCs w:val="16"/>
          <w:color w:val="auto"/>
        </w:rPr>
        <w:t xml:space="preserve">Exhibit 31a – </w:t>
      </w:r>
      <w:hyperlink w:anchor="page40">
        <w:r>
          <w:rPr>
            <w:rFonts w:ascii="Arial" w:cs="Arial" w:eastAsia="Arial" w:hAnsi="Arial"/>
            <w:sz w:val="16"/>
            <w:szCs w:val="16"/>
            <w:u w:val="single" w:color="auto"/>
            <w:color w:val="0000EE"/>
          </w:rPr>
          <w:t>Chief Executive Officer’s certification pursuant to Section 302 of the Sarbanes-Oxley Act of 2002</w:t>
        </w:r>
      </w:hyperlink>
      <w:r>
        <w:rPr>
          <w:rFonts w:ascii="Arial" w:cs="Arial" w:eastAsia="Arial" w:hAnsi="Arial"/>
          <w:sz w:val="16"/>
          <w:szCs w:val="16"/>
          <w:color w:val="auto"/>
        </w:rPr>
        <w:t xml:space="preserve"> Exhibit 31b – </w:t>
      </w:r>
      <w:hyperlink w:anchor="page41">
        <w:r>
          <w:rPr>
            <w:rFonts w:ascii="Arial" w:cs="Arial" w:eastAsia="Arial" w:hAnsi="Arial"/>
            <w:sz w:val="16"/>
            <w:szCs w:val="16"/>
            <w:u w:val="single" w:color="auto"/>
            <w:color w:val="0000EE"/>
          </w:rPr>
          <w:t>Chief Financial Officer’s certification pursuant to Section 302 of the Sarbanes-Oxley Act of 2002</w:t>
        </w:r>
      </w:hyperlink>
    </w:p>
    <w:p>
      <w:pPr>
        <w:ind w:left="340" w:right="20"/>
        <w:spacing w:after="0" w:line="277" w:lineRule="auto"/>
        <w:rPr>
          <w:rFonts w:ascii="Arial" w:cs="Arial" w:eastAsia="Arial" w:hAnsi="Arial"/>
          <w:sz w:val="18"/>
          <w:szCs w:val="18"/>
          <w:u w:val="single" w:color="auto"/>
          <w:color w:val="0000EE"/>
        </w:rPr>
      </w:pPr>
      <w:hyperlink w:anchor="page42">
        <w:r>
          <w:rPr>
            <w:rFonts w:ascii="Arial" w:cs="Arial" w:eastAsia="Arial" w:hAnsi="Arial"/>
            <w:sz w:val="18"/>
            <w:szCs w:val="18"/>
            <w:color w:val="auto"/>
          </w:rPr>
          <w:t xml:space="preserve">Exhibit 32a – </w:t>
        </w:r>
        <w:r>
          <w:rPr>
            <w:rFonts w:ascii="Arial" w:cs="Arial" w:eastAsia="Arial" w:hAnsi="Arial"/>
            <w:sz w:val="18"/>
            <w:szCs w:val="18"/>
            <w:u w:val="single" w:color="auto"/>
            <w:color w:val="0000EE"/>
          </w:rPr>
          <w:t>Chief Executive Officer’s certification pursuant to 18 U.S.C. 1350, as adopted pursuant to Section 906 of the Sarbanes-Oxley Act of</w:t>
        </w:r>
      </w:hyperlink>
      <w:r>
        <w:rPr>
          <w:rFonts w:ascii="Arial" w:cs="Arial" w:eastAsia="Arial" w:hAnsi="Arial"/>
          <w:sz w:val="18"/>
          <w:szCs w:val="18"/>
          <w:color w:val="auto"/>
        </w:rPr>
        <w:t xml:space="preserve"> </w:t>
      </w:r>
      <w:hyperlink w:anchor="page42">
        <w:r>
          <w:rPr>
            <w:rFonts w:ascii="Arial" w:cs="Arial" w:eastAsia="Arial" w:hAnsi="Arial"/>
            <w:sz w:val="18"/>
            <w:szCs w:val="18"/>
            <w:u w:val="single" w:color="auto"/>
            <w:color w:val="0000EE"/>
          </w:rPr>
          <w:t>2002</w:t>
        </w:r>
      </w:hyperlink>
    </w:p>
    <w:p>
      <w:pPr>
        <w:spacing w:after="0" w:line="170" w:lineRule="exact"/>
        <w:rPr>
          <w:rFonts w:ascii="Arial" w:cs="Arial" w:eastAsia="Arial" w:hAnsi="Arial"/>
          <w:sz w:val="18"/>
          <w:szCs w:val="18"/>
          <w:u w:val="single" w:color="auto"/>
          <w:color w:val="0000EE"/>
        </w:rPr>
      </w:pPr>
    </w:p>
    <w:p>
      <w:pPr>
        <w:ind w:left="340"/>
        <w:spacing w:after="0" w:line="277" w:lineRule="auto"/>
        <w:rPr>
          <w:rFonts w:ascii="Arial" w:cs="Arial" w:eastAsia="Arial" w:hAnsi="Arial"/>
          <w:sz w:val="18"/>
          <w:szCs w:val="18"/>
          <w:u w:val="single" w:color="auto"/>
          <w:color w:val="0000EE"/>
        </w:rPr>
      </w:pPr>
      <w:hyperlink w:anchor="page43">
        <w:r>
          <w:rPr>
            <w:rFonts w:ascii="Arial" w:cs="Arial" w:eastAsia="Arial" w:hAnsi="Arial"/>
            <w:sz w:val="18"/>
            <w:szCs w:val="18"/>
            <w:color w:val="auto"/>
          </w:rPr>
          <w:t xml:space="preserve">Exhibit 32b – </w:t>
        </w:r>
        <w:r>
          <w:rPr>
            <w:rFonts w:ascii="Arial" w:cs="Arial" w:eastAsia="Arial" w:hAnsi="Arial"/>
            <w:sz w:val="18"/>
            <w:szCs w:val="18"/>
            <w:u w:val="single" w:color="auto"/>
            <w:color w:val="0000EE"/>
          </w:rPr>
          <w:t>Chief Financial Officer’s certification pursuant to 18 U.S.C. 1350, as adopted pursuant to Section 906 of the Sarbanes-Oxley Act of</w:t>
        </w:r>
      </w:hyperlink>
      <w:r>
        <w:rPr>
          <w:rFonts w:ascii="Arial" w:cs="Arial" w:eastAsia="Arial" w:hAnsi="Arial"/>
          <w:sz w:val="18"/>
          <w:szCs w:val="18"/>
          <w:color w:val="auto"/>
        </w:rPr>
        <w:t xml:space="preserve"> </w:t>
      </w:r>
      <w:hyperlink w:anchor="page43">
        <w:r>
          <w:rPr>
            <w:rFonts w:ascii="Arial" w:cs="Arial" w:eastAsia="Arial" w:hAnsi="Arial"/>
            <w:sz w:val="18"/>
            <w:szCs w:val="18"/>
            <w:u w:val="single" w:color="auto"/>
            <w:color w:val="0000EE"/>
          </w:rPr>
          <w:t>2002</w:t>
        </w:r>
      </w:hyperlink>
    </w:p>
    <w:p>
      <w:pPr>
        <w:spacing w:after="0" w:line="170" w:lineRule="exact"/>
        <w:rPr>
          <w:rFonts w:ascii="Arial" w:cs="Arial" w:eastAsia="Arial" w:hAnsi="Arial"/>
          <w:sz w:val="18"/>
          <w:szCs w:val="18"/>
          <w:u w:val="single" w:color="auto"/>
          <w:color w:val="0000EE"/>
        </w:rPr>
      </w:pPr>
    </w:p>
    <w:p>
      <w:pPr>
        <w:ind w:left="340"/>
        <w:spacing w:after="0"/>
        <w:rPr>
          <w:rFonts w:ascii="Arial" w:cs="Arial" w:eastAsia="Arial" w:hAnsi="Arial"/>
          <w:sz w:val="18"/>
          <w:szCs w:val="18"/>
          <w:u w:val="single" w:color="auto"/>
          <w:color w:val="0000EE"/>
        </w:rPr>
      </w:pPr>
      <w:r>
        <w:rPr>
          <w:rFonts w:ascii="Arial" w:cs="Arial" w:eastAsia="Arial" w:hAnsi="Arial"/>
          <w:sz w:val="18"/>
          <w:szCs w:val="18"/>
          <w:color w:val="auto"/>
        </w:rPr>
        <w:t>Exhibit 101.INS Inline XBRL Instance</w:t>
      </w:r>
    </w:p>
    <w:p>
      <w:pPr>
        <w:spacing w:after="0" w:line="225" w:lineRule="exact"/>
        <w:rPr>
          <w:rFonts w:ascii="Arial" w:cs="Arial" w:eastAsia="Arial" w:hAnsi="Arial"/>
          <w:sz w:val="18"/>
          <w:szCs w:val="18"/>
          <w:u w:val="single" w:color="auto"/>
          <w:color w:val="0000EE"/>
        </w:rPr>
      </w:pPr>
    </w:p>
    <w:p>
      <w:pPr>
        <w:ind w:left="340" w:right="6220"/>
        <w:spacing w:after="0" w:line="563" w:lineRule="auto"/>
        <w:rPr>
          <w:rFonts w:ascii="Arial" w:cs="Arial" w:eastAsia="Arial" w:hAnsi="Arial"/>
          <w:sz w:val="18"/>
          <w:szCs w:val="18"/>
          <w:u w:val="single" w:color="auto"/>
          <w:color w:val="0000EE"/>
        </w:rPr>
      </w:pPr>
      <w:r>
        <w:rPr>
          <w:rFonts w:ascii="Arial" w:cs="Arial" w:eastAsia="Arial" w:hAnsi="Arial"/>
          <w:sz w:val="16"/>
          <w:szCs w:val="16"/>
          <w:color w:val="auto"/>
        </w:rPr>
        <w:t>Exhibit 101.SCH Inline XBRL Taxonomy Extension Schema Exhibit 101.CAL Inline XBRL Taxonomy Extension Calculation</w:t>
      </w:r>
    </w:p>
    <w:p>
      <w:pPr>
        <w:spacing w:after="0" w:line="1" w:lineRule="exact"/>
        <w:rPr>
          <w:rFonts w:ascii="Arial" w:cs="Arial" w:eastAsia="Arial" w:hAnsi="Arial"/>
          <w:sz w:val="18"/>
          <w:szCs w:val="18"/>
          <w:u w:val="single" w:color="auto"/>
          <w:color w:val="0000EE"/>
        </w:rPr>
      </w:pPr>
    </w:p>
    <w:p>
      <w:pPr>
        <w:ind w:left="340"/>
        <w:spacing w:after="0"/>
        <w:rPr>
          <w:sz w:val="20"/>
          <w:szCs w:val="20"/>
          <w:color w:val="auto"/>
        </w:rPr>
      </w:pPr>
      <w:r>
        <w:rPr>
          <w:rFonts w:ascii="Arial" w:cs="Arial" w:eastAsia="Arial" w:hAnsi="Arial"/>
          <w:sz w:val="18"/>
          <w:szCs w:val="18"/>
          <w:color w:val="auto"/>
        </w:rPr>
        <w:t>Exhibit 101.DEF Inline XBRL Taxonomy Extension Definition</w:t>
      </w:r>
    </w:p>
    <w:p>
      <w:pPr>
        <w:spacing w:after="0" w:line="225" w:lineRule="exact"/>
        <w:rPr>
          <w:rFonts w:ascii="Arial" w:cs="Arial" w:eastAsia="Arial" w:hAnsi="Arial"/>
          <w:sz w:val="18"/>
          <w:szCs w:val="18"/>
          <w:u w:val="single" w:color="auto"/>
          <w:color w:val="0000EE"/>
        </w:rPr>
      </w:pPr>
    </w:p>
    <w:p>
      <w:pPr>
        <w:ind w:left="340"/>
        <w:spacing w:after="0"/>
        <w:rPr>
          <w:sz w:val="20"/>
          <w:szCs w:val="20"/>
          <w:color w:val="auto"/>
        </w:rPr>
      </w:pPr>
      <w:r>
        <w:rPr>
          <w:rFonts w:ascii="Arial" w:cs="Arial" w:eastAsia="Arial" w:hAnsi="Arial"/>
          <w:sz w:val="18"/>
          <w:szCs w:val="18"/>
          <w:color w:val="auto"/>
        </w:rPr>
        <w:t>Exhibit 101.LAB Inline XBRL Taxonomy Extension Labels</w:t>
      </w:r>
    </w:p>
    <w:p>
      <w:pPr>
        <w:spacing w:after="0" w:line="225" w:lineRule="exact"/>
        <w:rPr>
          <w:rFonts w:ascii="Arial" w:cs="Arial" w:eastAsia="Arial" w:hAnsi="Arial"/>
          <w:sz w:val="18"/>
          <w:szCs w:val="18"/>
          <w:u w:val="single" w:color="auto"/>
          <w:color w:val="0000EE"/>
        </w:rPr>
      </w:pPr>
    </w:p>
    <w:p>
      <w:pPr>
        <w:ind w:left="340"/>
        <w:spacing w:after="0"/>
        <w:rPr>
          <w:sz w:val="20"/>
          <w:szCs w:val="20"/>
          <w:color w:val="auto"/>
        </w:rPr>
      </w:pPr>
      <w:r>
        <w:rPr>
          <w:rFonts w:ascii="Arial" w:cs="Arial" w:eastAsia="Arial" w:hAnsi="Arial"/>
          <w:sz w:val="18"/>
          <w:szCs w:val="18"/>
          <w:color w:val="auto"/>
        </w:rPr>
        <w:t>Exhibit 101.PRE Inline XBRL Taxonomy Extension Presentation</w:t>
      </w:r>
    </w:p>
    <w:p>
      <w:pPr>
        <w:spacing w:after="0" w:line="225" w:lineRule="exact"/>
        <w:rPr>
          <w:rFonts w:ascii="Arial" w:cs="Arial" w:eastAsia="Arial" w:hAnsi="Arial"/>
          <w:sz w:val="18"/>
          <w:szCs w:val="18"/>
          <w:u w:val="single" w:color="auto"/>
          <w:color w:val="0000EE"/>
        </w:rPr>
      </w:pPr>
    </w:p>
    <w:p>
      <w:pPr>
        <w:ind w:left="340"/>
        <w:spacing w:after="0"/>
        <w:rPr>
          <w:sz w:val="20"/>
          <w:szCs w:val="20"/>
          <w:color w:val="auto"/>
        </w:rPr>
      </w:pPr>
      <w:r>
        <w:rPr>
          <w:rFonts w:ascii="Arial" w:cs="Arial" w:eastAsia="Arial" w:hAnsi="Arial"/>
          <w:sz w:val="18"/>
          <w:szCs w:val="18"/>
          <w:color w:val="auto"/>
        </w:rPr>
        <w:t>Exhibit 104. Cover Page Interactive Data File (formatted as Inline XBRL and contained in Exhibit 101).</w:t>
      </w:r>
    </w:p>
    <w:p>
      <w:pPr>
        <w:spacing w:after="0" w:line="225" w:lineRule="exact"/>
        <w:rPr>
          <w:rFonts w:ascii="Arial" w:cs="Arial" w:eastAsia="Arial" w:hAnsi="Arial"/>
          <w:sz w:val="18"/>
          <w:szCs w:val="18"/>
          <w:u w:val="single" w:color="auto"/>
          <w:color w:val="0000EE"/>
        </w:rPr>
      </w:pPr>
    </w:p>
    <w:p>
      <w:pPr>
        <w:ind w:left="5320"/>
        <w:spacing w:after="0"/>
        <w:rPr>
          <w:sz w:val="20"/>
          <w:szCs w:val="20"/>
          <w:color w:val="auto"/>
        </w:rPr>
      </w:pPr>
      <w:r>
        <w:rPr>
          <w:rFonts w:ascii="Arial" w:cs="Arial" w:eastAsia="Arial" w:hAnsi="Arial"/>
          <w:sz w:val="18"/>
          <w:szCs w:val="18"/>
          <w:color w:val="auto"/>
        </w:rPr>
        <w:t>38 of 39</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8" w:name="page39"/>
    <w:bookmarkEnd w:id="38"/>
    <w:p>
      <w:pPr>
        <w:ind w:left="5080"/>
        <w:spacing w:after="0"/>
        <w:rPr>
          <w:sz w:val="20"/>
          <w:szCs w:val="20"/>
          <w:color w:val="auto"/>
        </w:rPr>
      </w:pPr>
      <w:r>
        <w:rPr>
          <w:rFonts w:ascii="Arial" w:cs="Arial" w:eastAsia="Arial" w:hAnsi="Arial"/>
          <w:sz w:val="18"/>
          <w:szCs w:val="18"/>
          <w:u w:val="single" w:color="auto"/>
          <w:color w:val="auto"/>
        </w:rPr>
        <w:t>SIGNATURES</w:t>
      </w:r>
    </w:p>
    <w:p>
      <w:pPr>
        <w:spacing w:after="0" w:line="200" w:lineRule="exact"/>
        <w:rPr>
          <w:sz w:val="20"/>
          <w:szCs w:val="20"/>
          <w:color w:val="auto"/>
        </w:rPr>
      </w:pPr>
    </w:p>
    <w:p>
      <w:pPr>
        <w:spacing w:after="0" w:line="24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14605</wp:posOffset>
            </wp:positionV>
            <wp:extent cx="165417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 Chairman and Chief Executive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July 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14605</wp:posOffset>
            </wp:positionV>
            <wp:extent cx="165417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 Senior Vice President and Chief Financial Officer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July 1, 2021</w:t>
      </w:r>
    </w:p>
    <w:p>
      <w:pPr>
        <w:spacing w:after="0" w:line="200" w:lineRule="exact"/>
        <w:rPr>
          <w:sz w:val="20"/>
          <w:szCs w:val="20"/>
          <w:color w:val="auto"/>
        </w:rPr>
      </w:pPr>
    </w:p>
    <w:p>
      <w:pPr>
        <w:spacing w:after="0" w:line="227" w:lineRule="exact"/>
        <w:rPr>
          <w:sz w:val="20"/>
          <w:szCs w:val="20"/>
          <w:color w:val="auto"/>
        </w:rPr>
      </w:pPr>
    </w:p>
    <w:p>
      <w:pPr>
        <w:ind w:left="5320"/>
        <w:spacing w:after="0"/>
        <w:rPr>
          <w:sz w:val="20"/>
          <w:szCs w:val="20"/>
          <w:color w:val="auto"/>
        </w:rPr>
      </w:pPr>
      <w:r>
        <w:rPr>
          <w:rFonts w:ascii="Arial" w:cs="Arial" w:eastAsia="Arial" w:hAnsi="Arial"/>
          <w:sz w:val="18"/>
          <w:szCs w:val="18"/>
          <w:color w:val="auto"/>
        </w:rPr>
        <w:t>39 of 39</w:t>
      </w:r>
    </w:p>
    <w:p>
      <w:pPr>
        <w:sectPr>
          <w:pgSz w:w="11900" w:h="16838" w:orient="portrait"/>
          <w:cols w:equalWidth="0" w:num="1">
            <w:col w:w="10400"/>
          </w:cols>
          <w:pgMar w:left="320" w:top="584" w:right="117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color w:val="auto"/>
        </w:rPr>
        <w:t>Exhibit 31a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5" w:lineRule="exact"/>
        <w:rPr>
          <w:rFonts w:ascii="Arial" w:cs="Arial" w:eastAsia="Arial" w:hAnsi="Arial"/>
          <w:sz w:val="18"/>
          <w:szCs w:val="18"/>
          <w:color w:val="auto"/>
        </w:rPr>
      </w:pPr>
    </w:p>
    <w:p>
      <w:pPr>
        <w:jc w:val="both"/>
        <w:ind w:left="340" w:right="440" w:hanging="332"/>
        <w:spacing w:after="0" w:line="263"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340" w:right="400" w:hanging="332"/>
        <w:spacing w:after="0" w:line="308" w:lineRule="auto"/>
        <w:tabs>
          <w:tab w:leader="none" w:pos="3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20" w:hanging="332"/>
        <w:spacing w:after="0" w:line="263"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ind w:left="660" w:right="380" w:hanging="328"/>
        <w:spacing w:after="0" w:line="263" w:lineRule="auto"/>
        <w:tabs>
          <w:tab w:leader="none" w:pos="6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left="660" w:right="60" w:hanging="328"/>
        <w:spacing w:after="0" w:line="263" w:lineRule="auto"/>
        <w:tabs>
          <w:tab w:leader="none" w:pos="6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jc w:val="both"/>
        <w:ind w:left="660" w:right="860" w:hanging="328"/>
        <w:spacing w:after="0" w:line="342" w:lineRule="auto"/>
        <w:tabs>
          <w:tab w:leader="none" w:pos="660" w:val="left"/>
        </w:tabs>
        <w:numPr>
          <w:ilvl w:val="1"/>
          <w:numId w:val="1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660" w:right="80" w:hanging="328"/>
        <w:spacing w:after="0" w:line="263" w:lineRule="auto"/>
        <w:tabs>
          <w:tab w:leader="none" w:pos="6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right="140" w:hanging="332"/>
        <w:spacing w:after="0" w:line="308" w:lineRule="auto"/>
        <w:tabs>
          <w:tab w:leader="none" w:pos="3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right="280" w:hanging="328"/>
        <w:spacing w:after="0" w:line="277" w:lineRule="auto"/>
        <w:tabs>
          <w:tab w:leader="none" w:pos="6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right="240" w:hanging="328"/>
        <w:spacing w:after="0" w:line="277" w:lineRule="auto"/>
        <w:tabs>
          <w:tab w:leader="none" w:pos="6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July 1, 2021</w:t>
      </w:r>
    </w:p>
    <w:p>
      <w:pPr>
        <w:spacing w:after="0" w:line="200" w:lineRule="exact"/>
        <w:rPr>
          <w:sz w:val="20"/>
          <w:szCs w:val="20"/>
          <w:color w:val="auto"/>
        </w:rPr>
      </w:pPr>
    </w:p>
    <w:p>
      <w:pPr>
        <w:spacing w:after="0" w:line="241"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14605</wp:posOffset>
            </wp:positionV>
            <wp:extent cx="161988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extLst>
                    </a:blip>
                    <a:srcRect/>
                    <a:stretch>
                      <a:fillRect/>
                    </a:stretch>
                  </pic:blipFill>
                  <pic:spPr bwMode="auto">
                    <a:xfrm>
                      <a:off x="0" y="0"/>
                      <a:ext cx="161988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 Chairman and Chief Executive Officer</w:t>
      </w:r>
    </w:p>
    <w:p>
      <w:pPr>
        <w:sectPr>
          <w:pgSz w:w="11900" w:h="16838" w:orient="portrait"/>
          <w:cols w:equalWidth="0" w:num="1">
            <w:col w:w="11240"/>
          </w:cols>
          <w:pgMar w:left="320" w:top="125" w:right="3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color w:val="auto"/>
        </w:rPr>
        <w:t>Exhibit 31b</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Bassett Furniture Industries, Incorporated;</w:t>
      </w:r>
    </w:p>
    <w:p>
      <w:pPr>
        <w:spacing w:after="0" w:line="225" w:lineRule="exact"/>
        <w:rPr>
          <w:rFonts w:ascii="Arial" w:cs="Arial" w:eastAsia="Arial" w:hAnsi="Arial"/>
          <w:sz w:val="18"/>
          <w:szCs w:val="18"/>
          <w:color w:val="auto"/>
        </w:rPr>
      </w:pPr>
    </w:p>
    <w:p>
      <w:pPr>
        <w:jc w:val="both"/>
        <w:ind w:left="340" w:hanging="332"/>
        <w:spacing w:after="0" w:line="263"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left="340" w:hanging="332"/>
        <w:spacing w:after="0" w:line="263"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660" w:hanging="328"/>
        <w:spacing w:after="0" w:line="263"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660" w:hanging="328"/>
        <w:spacing w:after="0" w:line="263"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660" w:hanging="328"/>
        <w:spacing w:after="0" w:line="308" w:lineRule="auto"/>
        <w:tabs>
          <w:tab w:leader="none" w:pos="660" w:val="left"/>
        </w:tabs>
        <w:numPr>
          <w:ilvl w:val="1"/>
          <w:numId w:val="1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660" w:hanging="328"/>
        <w:spacing w:after="0" w:line="263"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340" w:hanging="332"/>
        <w:spacing w:after="0" w:line="308" w:lineRule="auto"/>
        <w:tabs>
          <w:tab w:leader="none" w:pos="34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July 1, 2021</w:t>
      </w:r>
    </w:p>
    <w:p>
      <w:pPr>
        <w:spacing w:after="0" w:line="200" w:lineRule="exact"/>
        <w:rPr>
          <w:sz w:val="20"/>
          <w:szCs w:val="20"/>
          <w:color w:val="auto"/>
        </w:rPr>
      </w:pPr>
    </w:p>
    <w:p>
      <w:pPr>
        <w:spacing w:after="0" w:line="24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14605</wp:posOffset>
            </wp:positionV>
            <wp:extent cx="161988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extLst>
                    </a:blip>
                    <a:srcRect/>
                    <a:stretch>
                      <a:fillRect/>
                    </a:stretch>
                  </pic:blipFill>
                  <pic:spPr bwMode="auto">
                    <a:xfrm>
                      <a:off x="0" y="0"/>
                      <a:ext cx="161988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 Senior Vice President and Chief Financial Officer</w:t>
      </w:r>
    </w:p>
    <w:p>
      <w:pPr>
        <w:sectPr>
          <w:pgSz w:w="11900" w:h="16838" w:orient="portrait"/>
          <w:cols w:equalWidth="0" w:num="1">
            <w:col w:w="11240"/>
          </w:cols>
          <w:pgMar w:left="320" w:top="125" w:right="3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color w:val="auto"/>
        </w:rPr>
        <w:t>Exhibit 32a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In connection with the Quarterly Report of Bassett Furniture Industries, Incorporated (the “Company”) on Form 10-Q for the period ending May 29, 2021,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65" w:lineRule="exact"/>
        <w:rPr>
          <w:sz w:val="20"/>
          <w:szCs w:val="20"/>
          <w:color w:val="auto"/>
        </w:rPr>
      </w:pPr>
    </w:p>
    <w:p>
      <w:pPr>
        <w:ind w:left="980" w:hanging="324"/>
        <w:spacing w:after="0"/>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980" w:right="600" w:hanging="324"/>
        <w:spacing w:after="0" w:line="277" w:lineRule="auto"/>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July 1, 2021</w:t>
      </w:r>
    </w:p>
    <w:p>
      <w:pPr>
        <w:spacing w:after="0" w:line="200" w:lineRule="exact"/>
        <w:rPr>
          <w:sz w:val="20"/>
          <w:szCs w:val="20"/>
          <w:color w:val="auto"/>
        </w:rPr>
      </w:pPr>
    </w:p>
    <w:p>
      <w:pPr>
        <w:spacing w:after="0" w:line="241"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R</w:t>
      </w:r>
      <w:r>
        <w:rPr>
          <w:rFonts w:ascii="Arial" w:cs="Arial" w:eastAsia="Arial" w:hAnsi="Arial"/>
          <w:sz w:val="12"/>
          <w:szCs w:val="12"/>
          <w:color w:val="auto"/>
        </w:rPr>
        <w:t>OBERT</w:t>
      </w:r>
      <w:r>
        <w:rPr>
          <w:rFonts w:ascii="Arial" w:cs="Arial" w:eastAsia="Arial" w:hAnsi="Arial"/>
          <w:sz w:val="18"/>
          <w:szCs w:val="18"/>
          <w:color w:val="auto"/>
        </w:rPr>
        <w:t xml:space="preserve"> H. S</w:t>
      </w:r>
      <w:r>
        <w:rPr>
          <w:rFonts w:ascii="Arial" w:cs="Arial" w:eastAsia="Arial" w:hAnsi="Arial"/>
          <w:sz w:val="12"/>
          <w:szCs w:val="12"/>
          <w:color w:val="auto"/>
        </w:rPr>
        <w:t>PILMAN</w:t>
      </w:r>
      <w:r>
        <w:rPr>
          <w:rFonts w:ascii="Arial" w:cs="Arial" w:eastAsia="Arial" w:hAnsi="Arial"/>
          <w:sz w:val="18"/>
          <w:szCs w:val="18"/>
          <w:color w:val="auto"/>
        </w:rPr>
        <w:t>, J</w:t>
      </w:r>
      <w:r>
        <w:rPr>
          <w:rFonts w:ascii="Arial" w:cs="Arial" w:eastAsia="Arial" w:hAnsi="Arial"/>
          <w:sz w:val="12"/>
          <w:szCs w:val="12"/>
          <w:color w:val="auto"/>
        </w:rPr>
        <w:t>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14605</wp:posOffset>
            </wp:positionV>
            <wp:extent cx="161988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extLst>
                    </a:blip>
                    <a:srcRect/>
                    <a:stretch>
                      <a:fillRect/>
                    </a:stretch>
                  </pic:blipFill>
                  <pic:spPr bwMode="auto">
                    <a:xfrm>
                      <a:off x="0" y="0"/>
                      <a:ext cx="161988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Robert H. Spilman, Jr.,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Chairman 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240"/>
          </w:cols>
          <w:pgMar w:left="320" w:top="125" w:right="339" w:bottom="1440" w:gutter="0" w:footer="0" w:header="0"/>
        </w:sectPr>
      </w:pPr>
    </w:p>
    <w:bookmarkStart w:id="42" w:name="page43"/>
    <w:bookmarkEnd w:id="42"/>
    <w:p>
      <w:pPr>
        <w:jc w:val="right"/>
        <w:spacing w:after="0"/>
        <w:rPr>
          <w:sz w:val="20"/>
          <w:szCs w:val="20"/>
          <w:color w:val="auto"/>
        </w:rPr>
      </w:pPr>
      <w:r>
        <w:rPr>
          <w:rFonts w:ascii="Arial" w:cs="Arial" w:eastAsia="Arial" w:hAnsi="Arial"/>
          <w:sz w:val="18"/>
          <w:szCs w:val="18"/>
          <w:color w:val="auto"/>
        </w:rPr>
        <w:t>Exhibit 32b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CERTIFICATION PURSUANT TO 18 U.S.C. SECTION 1350,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00" w:lineRule="exact"/>
        <w:rPr>
          <w:sz w:val="20"/>
          <w:szCs w:val="20"/>
          <w:color w:val="auto"/>
        </w:rPr>
      </w:pPr>
    </w:p>
    <w:p>
      <w:pPr>
        <w:spacing w:after="0" w:line="227" w:lineRule="exact"/>
        <w:rPr>
          <w:sz w:val="20"/>
          <w:szCs w:val="20"/>
          <w:color w:val="auto"/>
        </w:rPr>
      </w:pPr>
    </w:p>
    <w:p>
      <w:pPr>
        <w:ind w:right="100"/>
        <w:spacing w:after="0" w:line="263" w:lineRule="auto"/>
        <w:rPr>
          <w:sz w:val="20"/>
          <w:szCs w:val="20"/>
          <w:color w:val="auto"/>
        </w:rPr>
      </w:pPr>
      <w:r>
        <w:rPr>
          <w:rFonts w:ascii="Arial" w:cs="Arial" w:eastAsia="Arial" w:hAnsi="Arial"/>
          <w:sz w:val="18"/>
          <w:szCs w:val="18"/>
          <w:color w:val="auto"/>
        </w:rPr>
        <w:t>In connection with the Quarterly Report of Bassett Furniture Industries, Incorporated (the “Company”) on Form 10-Q for the period ending May 29, 2021, as filed with the Securities and Exchange Commission on the date hereof (the “Report”), I, J. Michael Daniel, Chief Financial Officer of the Company, certify, pursuant to 18 U.S.C. ss.1350, as adopted pursuant to ss.906 of the Sarbanes-Oxley Act of 2002, that:</w:t>
      </w:r>
    </w:p>
    <w:p>
      <w:pPr>
        <w:spacing w:after="0" w:line="184"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right="140" w:firstLine="332"/>
        <w:spacing w:after="0" w:line="527" w:lineRule="auto"/>
        <w:tabs>
          <w:tab w:leader="none" w:pos="648"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July 1, 2021</w:t>
      </w:r>
    </w:p>
    <w:p>
      <w:pPr>
        <w:spacing w:after="0" w:line="171"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8"/>
          <w:szCs w:val="18"/>
          <w:color w:val="auto"/>
        </w:rPr>
        <w:t>J. M</w:t>
      </w:r>
      <w:r>
        <w:rPr>
          <w:rFonts w:ascii="Arial" w:cs="Arial" w:eastAsia="Arial" w:hAnsi="Arial"/>
          <w:sz w:val="12"/>
          <w:szCs w:val="12"/>
          <w:color w:val="auto"/>
        </w:rPr>
        <w:t>ICHAEL</w:t>
      </w:r>
      <w:r>
        <w:rPr>
          <w:rFonts w:ascii="Arial" w:cs="Arial" w:eastAsia="Arial" w:hAnsi="Arial"/>
          <w:sz w:val="18"/>
          <w:szCs w:val="18"/>
          <w:color w:val="auto"/>
        </w:rPr>
        <w:t xml:space="preserve"> D</w:t>
      </w:r>
      <w:r>
        <w:rPr>
          <w:rFonts w:ascii="Arial" w:cs="Arial" w:eastAsia="Arial" w:hAnsi="Arial"/>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150495</wp:posOffset>
            </wp:positionH>
            <wp:positionV relativeFrom="paragraph">
              <wp:posOffset>14605</wp:posOffset>
            </wp:positionV>
            <wp:extent cx="192849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extLst>
                    </a:blip>
                    <a:srcRect/>
                    <a:stretch>
                      <a:fillRect/>
                    </a:stretch>
                  </pic:blipFill>
                  <pic:spPr bwMode="auto">
                    <a:xfrm>
                      <a:off x="0" y="0"/>
                      <a:ext cx="192849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J. Michael Daniel,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240"/>
      </w:cols>
      <w:pgMar w:left="320" w:top="12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1."/>
      <w:numFmt w:val="decimal"/>
      <w:start w:val="1"/>
    </w:lvl>
  </w:abstractNum>
  <w:abstractNum w:abstractNumId="3">
    <w:nsid w:val="216231B"/>
    <w:multiLevelType w:val="hybridMultilevel"/>
    <w:lvl w:ilvl="0">
      <w:lvlJc w:val="left"/>
      <w:lvlText w:val="%1."/>
      <w:numFmt w:val="decimal"/>
      <w:start w:val="10"/>
    </w:lvl>
  </w:abstractNum>
  <w:abstractNum w:abstractNumId="4">
    <w:nsid w:val="1F16E9E8"/>
    <w:multiLevelType w:val="hybridMultilevel"/>
    <w:lvl w:ilvl="0">
      <w:lvlJc w:val="left"/>
      <w:lvlText w:val="●"/>
      <w:numFmt w:val="bullet"/>
      <w:start w:val="1"/>
    </w:lvl>
  </w:abstractNum>
  <w:abstractNum w:abstractNumId="5">
    <w:nsid w:val="1190CDE7"/>
    <w:multiLevelType w:val="hybridMultilevel"/>
    <w:lvl w:ilvl="0">
      <w:lvlJc w:val="left"/>
      <w:lvlText w:val="(%1)"/>
      <w:numFmt w:val="decimal"/>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1)"/>
      <w:numFmt w:val="decimal"/>
      <w:start w:val="1"/>
    </w:lvl>
  </w:abstractNum>
  <w:abstractNum w:abstractNumId="8">
    <w:nsid w:val="3352255A"/>
    <w:multiLevelType w:val="hybridMultilevel"/>
    <w:lvl w:ilvl="0">
      <w:lvlJc w:val="left"/>
      <w:lvlText w:val="(%1)"/>
      <w:numFmt w:val="decimal"/>
      <w:start w:val="1"/>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decimal"/>
      <w:start w:val="3"/>
    </w:lvl>
  </w:abstractNum>
  <w:abstractNum w:abstractNumId="11">
    <w:nsid w:val="7FDCC233"/>
    <w:multiLevelType w:val="hybridMultilevel"/>
    <w:lvl w:ilvl="0">
      <w:lvlJc w:val="left"/>
      <w:lvlText w:val="(%1)"/>
      <w:numFmt w:val="decimal"/>
      <w:start w:val="1"/>
    </w:lvl>
  </w:abstractNum>
  <w:abstractNum w:abstractNumId="12">
    <w:nsid w:val="1BEFD79F"/>
    <w:multiLevelType w:val="hybridMultilevel"/>
    <w:lvl w:ilvl="0">
      <w:lvlJc w:val="left"/>
      <w:lvlText w:val="%1."/>
      <w:numFmt w:val="lowerLetter"/>
      <w:start w:val="1"/>
    </w:lvl>
  </w:abstractNum>
  <w:abstractNum w:abstractNumId="13">
    <w:nsid w:val="41A7C4C9"/>
    <w:multiLevelType w:val="hybridMultilevel"/>
    <w:lvl w:ilvl="0">
      <w:lvlJc w:val="left"/>
      <w:lvlText w:val="%1."/>
      <w:numFmt w:val="decimal"/>
      <w:start w:val="1"/>
    </w:lvl>
    <w:lvl w:ilvl="1">
      <w:lvlJc w:val="left"/>
      <w:lvlText w:val="%2)"/>
      <w:numFmt w:val="lowerLetter"/>
      <w:start w:val="1"/>
    </w:lvl>
  </w:abstractNum>
  <w:abstractNum w:abstractNumId="14">
    <w:nsid w:val="6B68079A"/>
    <w:multiLevelType w:val="hybridMultilevel"/>
    <w:lvl w:ilvl="0">
      <w:lvlJc w:val="left"/>
      <w:lvlText w:val="%1."/>
      <w:numFmt w:val="decimal"/>
      <w:start w:val="1"/>
    </w:lvl>
    <w:lvl w:ilvl="1">
      <w:lvlJc w:val="left"/>
      <w:lvlText w:val="%2)"/>
      <w:numFmt w:val="lowerLetter"/>
      <w:start w:val="1"/>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66" Type="http://schemas.openxmlformats.org/officeDocument/2006/relationships/hyperlink" Target="http://www.sec.gov/Archives/edgar/data/0000010329/000143774921000856/ex_22125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2021-07-01T12:15:29Z</dcterms:created>
  <dcterms:modified xsi:type="dcterms:W3CDTF">2021-07-01T12:15:29Z</dcterms:modified>
</cp:coreProperties>
</file>