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7"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15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 PURSUANT</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TO SECTION 13 OR 15(d) OF THE</w:t>
      </w:r>
    </w:p>
    <w:p>
      <w:pPr>
        <w:jc w:val="center"/>
        <w:ind w:right="-13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tbl>
      <w:tblPr>
        <w:tblLayout w:type="fixed"/>
        <w:tblInd w:w="960" w:type="dxa"/>
        <w:tblCellMar>
          <w:top w:w="0" w:type="dxa"/>
          <w:left w:w="0" w:type="dxa"/>
          <w:bottom w:w="0" w:type="dxa"/>
          <w:right w:w="0" w:type="dxa"/>
        </w:tblCellMar>
      </w:tblPr>
      <w:tr>
        <w:trPr>
          <w:trHeight w:val="228"/>
        </w:trPr>
        <w:tc>
          <w:tcPr>
            <w:tcW w:w="5740" w:type="dxa"/>
            <w:vAlign w:val="bottom"/>
            <w:gridSpan w:val="3"/>
          </w:tcPr>
          <w:p>
            <w:pPr>
              <w:ind w:left="2140"/>
              <w:spacing w:after="0"/>
              <w:rPr>
                <w:sz w:val="20"/>
                <w:szCs w:val="20"/>
                <w:color w:val="auto"/>
              </w:rPr>
            </w:pPr>
            <w:r>
              <w:rPr>
                <w:rFonts w:ascii="Arial" w:cs="Arial" w:eastAsia="Arial" w:hAnsi="Arial"/>
                <w:sz w:val="18"/>
                <w:szCs w:val="18"/>
                <w:b w:val="1"/>
                <w:bCs w:val="1"/>
                <w:color w:val="auto"/>
                <w:w w:val="89"/>
              </w:rPr>
              <w:t>Date of Report (Date of earliest event reported)</w:t>
            </w:r>
          </w:p>
        </w:tc>
        <w:tc>
          <w:tcPr>
            <w:tcW w:w="3420" w:type="dxa"/>
            <w:vAlign w:val="bottom"/>
          </w:tcPr>
          <w:p>
            <w:pPr>
              <w:ind w:left="160"/>
              <w:spacing w:after="0"/>
              <w:rPr>
                <w:sz w:val="20"/>
                <w:szCs w:val="20"/>
                <w:color w:val="auto"/>
              </w:rPr>
            </w:pPr>
            <w:r>
              <w:rPr>
                <w:rFonts w:ascii="Arial" w:cs="Arial" w:eastAsia="Arial" w:hAnsi="Arial"/>
                <w:sz w:val="18"/>
                <w:szCs w:val="18"/>
                <w:b w:val="1"/>
                <w:bCs w:val="1"/>
                <w:color w:val="auto"/>
              </w:rPr>
              <w:t>September 25, 2003</w:t>
            </w:r>
          </w:p>
        </w:tc>
      </w:tr>
      <w:tr>
        <w:trPr>
          <w:trHeight w:val="178"/>
        </w:trPr>
        <w:tc>
          <w:tcPr>
            <w:tcW w:w="3780" w:type="dxa"/>
            <w:vAlign w:val="bottom"/>
            <w:gridSpan w:val="2"/>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3420" w:type="dxa"/>
            <w:vAlign w:val="bottom"/>
          </w:tcPr>
          <w:p>
            <w:pPr>
              <w:spacing w:after="0"/>
              <w:rPr>
                <w:sz w:val="15"/>
                <w:szCs w:val="15"/>
                <w:color w:val="auto"/>
              </w:rPr>
            </w:pPr>
          </w:p>
        </w:tc>
      </w:tr>
      <w:tr>
        <w:trPr>
          <w:trHeight w:val="521"/>
        </w:trPr>
        <w:tc>
          <w:tcPr>
            <w:tcW w:w="9160" w:type="dxa"/>
            <w:vAlign w:val="bottom"/>
            <w:gridSpan w:val="4"/>
          </w:tcPr>
          <w:p>
            <w:pPr>
              <w:jc w:val="center"/>
              <w:ind w:left="251"/>
              <w:spacing w:after="0"/>
              <w:rPr>
                <w:sz w:val="20"/>
                <w:szCs w:val="20"/>
                <w:color w:val="auto"/>
              </w:rPr>
            </w:pPr>
            <w:r>
              <w:rPr>
                <w:rFonts w:ascii="Arial" w:cs="Arial" w:eastAsia="Arial" w:hAnsi="Arial"/>
                <w:sz w:val="32"/>
                <w:szCs w:val="32"/>
                <w:b w:val="1"/>
                <w:bCs w:val="1"/>
                <w:color w:val="auto"/>
              </w:rPr>
              <w:t>BASSETT FURNITURE INDUSTRIES, INCORPORATED</w:t>
            </w:r>
          </w:p>
        </w:tc>
      </w:tr>
      <w:tr>
        <w:trPr>
          <w:trHeight w:val="174"/>
        </w:trPr>
        <w:tc>
          <w:tcPr>
            <w:tcW w:w="3200" w:type="dxa"/>
            <w:vAlign w:val="bottom"/>
          </w:tcPr>
          <w:p>
            <w:pPr>
              <w:spacing w:after="0"/>
              <w:rPr>
                <w:sz w:val="15"/>
                <w:szCs w:val="15"/>
                <w:color w:val="auto"/>
              </w:rPr>
            </w:pPr>
          </w:p>
        </w:tc>
        <w:tc>
          <w:tcPr>
            <w:tcW w:w="5960" w:type="dxa"/>
            <w:vAlign w:val="bottom"/>
            <w:gridSpan w:val="3"/>
          </w:tcPr>
          <w:p>
            <w:pPr>
              <w:jc w:val="center"/>
              <w:ind w:right="2782"/>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339"/>
        </w:trPr>
        <w:tc>
          <w:tcPr>
            <w:tcW w:w="3200" w:type="dxa"/>
            <w:vAlign w:val="bottom"/>
          </w:tcPr>
          <w:p>
            <w:pPr>
              <w:jc w:val="center"/>
              <w:ind w:right="1351"/>
              <w:spacing w:after="0"/>
              <w:rPr>
                <w:sz w:val="20"/>
                <w:szCs w:val="20"/>
                <w:color w:val="auto"/>
              </w:rPr>
            </w:pPr>
            <w:r>
              <w:rPr>
                <w:rFonts w:ascii="Arial" w:cs="Arial" w:eastAsia="Arial" w:hAnsi="Arial"/>
                <w:sz w:val="18"/>
                <w:szCs w:val="18"/>
                <w:b w:val="1"/>
                <w:bCs w:val="1"/>
                <w:color w:val="auto"/>
              </w:rPr>
              <w:t>VIRGINIA</w:t>
            </w:r>
          </w:p>
        </w:tc>
        <w:tc>
          <w:tcPr>
            <w:tcW w:w="2540" w:type="dxa"/>
            <w:vAlign w:val="bottom"/>
            <w:gridSpan w:val="2"/>
          </w:tcPr>
          <w:p>
            <w:pPr>
              <w:jc w:val="center"/>
              <w:ind w:left="522"/>
              <w:spacing w:after="0"/>
              <w:rPr>
                <w:sz w:val="20"/>
                <w:szCs w:val="20"/>
                <w:color w:val="auto"/>
              </w:rPr>
            </w:pPr>
            <w:r>
              <w:rPr>
                <w:rFonts w:ascii="Arial" w:cs="Arial" w:eastAsia="Arial" w:hAnsi="Arial"/>
                <w:sz w:val="18"/>
                <w:szCs w:val="18"/>
                <w:b w:val="1"/>
                <w:bCs w:val="1"/>
                <w:color w:val="auto"/>
                <w:w w:val="91"/>
              </w:rPr>
              <w:t>0-209</w:t>
            </w:r>
          </w:p>
        </w:tc>
        <w:tc>
          <w:tcPr>
            <w:tcW w:w="3420" w:type="dxa"/>
            <w:vAlign w:val="bottom"/>
          </w:tcPr>
          <w:p>
            <w:pPr>
              <w:jc w:val="center"/>
              <w:ind w:left="2302"/>
              <w:spacing w:after="0"/>
              <w:rPr>
                <w:sz w:val="20"/>
                <w:szCs w:val="20"/>
                <w:color w:val="auto"/>
              </w:rPr>
            </w:pPr>
            <w:r>
              <w:rPr>
                <w:rFonts w:ascii="Arial" w:cs="Arial" w:eastAsia="Arial" w:hAnsi="Arial"/>
                <w:sz w:val="18"/>
                <w:szCs w:val="18"/>
                <w:b w:val="1"/>
                <w:bCs w:val="1"/>
                <w:color w:val="auto"/>
                <w:w w:val="87"/>
              </w:rPr>
              <w:t>54-0135270</w:t>
            </w:r>
          </w:p>
        </w:tc>
      </w:tr>
      <w:tr>
        <w:trPr>
          <w:trHeight w:val="149"/>
        </w:trPr>
        <w:tc>
          <w:tcPr>
            <w:tcW w:w="3200" w:type="dxa"/>
            <w:vAlign w:val="bottom"/>
          </w:tcPr>
          <w:p>
            <w:pPr>
              <w:jc w:val="center"/>
              <w:ind w:right="1351"/>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(Comission File No.)</w:t>
            </w:r>
          </w:p>
        </w:tc>
        <w:tc>
          <w:tcPr>
            <w:tcW w:w="3420" w:type="dxa"/>
            <w:vAlign w:val="bottom"/>
          </w:tcPr>
          <w:p>
            <w:pPr>
              <w:jc w:val="center"/>
              <w:ind w:left="228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200" w:type="dxa"/>
            <w:vAlign w:val="bottom"/>
          </w:tcPr>
          <w:p>
            <w:pPr>
              <w:jc w:val="center"/>
              <w:ind w:right="1351"/>
              <w:spacing w:after="0"/>
              <w:rPr>
                <w:sz w:val="20"/>
                <w:szCs w:val="20"/>
                <w:color w:val="auto"/>
              </w:rPr>
            </w:pPr>
            <w:r>
              <w:rPr>
                <w:rFonts w:ascii="Arial" w:cs="Arial" w:eastAsia="Arial" w:hAnsi="Arial"/>
                <w:sz w:val="14"/>
                <w:szCs w:val="14"/>
                <w:b w:val="1"/>
                <w:bCs w:val="1"/>
                <w:color w:val="auto"/>
                <w:w w:val="88"/>
              </w:rPr>
              <w:t>incorporation or organization)</w:t>
            </w:r>
          </w:p>
        </w:tc>
        <w:tc>
          <w:tcPr>
            <w:tcW w:w="5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420" w:type="dxa"/>
            <w:vAlign w:val="bottom"/>
          </w:tcPr>
          <w:p>
            <w:pPr>
              <w:jc w:val="center"/>
              <w:ind w:left="2282"/>
              <w:spacing w:after="0"/>
              <w:rPr>
                <w:sz w:val="20"/>
                <w:szCs w:val="20"/>
                <w:color w:val="auto"/>
              </w:rPr>
            </w:pPr>
            <w:r>
              <w:rPr>
                <w:rFonts w:ascii="Arial" w:cs="Arial" w:eastAsia="Arial" w:hAnsi="Arial"/>
                <w:sz w:val="14"/>
                <w:szCs w:val="14"/>
                <w:b w:val="1"/>
                <w:bCs w:val="1"/>
                <w:color w:val="auto"/>
                <w:w w:val="89"/>
              </w:rPr>
              <w:t>Identification No.)</w:t>
            </w:r>
          </w:p>
        </w:tc>
      </w:tr>
      <w:tr>
        <w:trPr>
          <w:trHeight w:val="337"/>
        </w:trPr>
        <w:tc>
          <w:tcPr>
            <w:tcW w:w="3200" w:type="dxa"/>
            <w:vAlign w:val="bottom"/>
          </w:tcPr>
          <w:p>
            <w:pPr>
              <w:jc w:val="center"/>
              <w:ind w:left="331"/>
              <w:spacing w:after="0"/>
              <w:rPr>
                <w:sz w:val="20"/>
                <w:szCs w:val="20"/>
                <w:color w:val="auto"/>
              </w:rPr>
            </w:pPr>
            <w:r>
              <w:rPr>
                <w:rFonts w:ascii="Arial" w:cs="Arial" w:eastAsia="Arial" w:hAnsi="Arial"/>
                <w:sz w:val="18"/>
                <w:szCs w:val="18"/>
                <w:b w:val="1"/>
                <w:bCs w:val="1"/>
                <w:color w:val="auto"/>
                <w:w w:val="94"/>
              </w:rPr>
              <w:t>3525 FAIRYSTONE PARK</w:t>
            </w:r>
          </w:p>
        </w:tc>
        <w:tc>
          <w:tcPr>
            <w:tcW w:w="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8"/>
        </w:trPr>
        <w:tc>
          <w:tcPr>
            <w:tcW w:w="3200" w:type="dxa"/>
            <w:vAlign w:val="bottom"/>
          </w:tcPr>
          <w:p>
            <w:pPr>
              <w:jc w:val="center"/>
              <w:ind w:left="331"/>
              <w:spacing w:after="0"/>
              <w:rPr>
                <w:sz w:val="20"/>
                <w:szCs w:val="20"/>
                <w:color w:val="auto"/>
              </w:rPr>
            </w:pPr>
            <w:r>
              <w:rPr>
                <w:rFonts w:ascii="Arial" w:cs="Arial" w:eastAsia="Arial" w:hAnsi="Arial"/>
                <w:sz w:val="18"/>
                <w:szCs w:val="18"/>
                <w:b w:val="1"/>
                <w:bCs w:val="1"/>
                <w:color w:val="auto"/>
                <w:w w:val="98"/>
              </w:rPr>
              <w:t>HIGHWAY BASSETT, VIRGINIA</w:t>
            </w:r>
          </w:p>
        </w:tc>
        <w:tc>
          <w:tcPr>
            <w:tcW w:w="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20" w:type="dxa"/>
            <w:vAlign w:val="bottom"/>
          </w:tcPr>
          <w:p>
            <w:pPr>
              <w:jc w:val="right"/>
              <w:ind w:right="1182"/>
              <w:spacing w:after="0"/>
              <w:rPr>
                <w:sz w:val="20"/>
                <w:szCs w:val="20"/>
                <w:color w:val="auto"/>
              </w:rPr>
            </w:pPr>
            <w:r>
              <w:rPr>
                <w:rFonts w:ascii="Arial" w:cs="Arial" w:eastAsia="Arial" w:hAnsi="Arial"/>
                <w:sz w:val="18"/>
                <w:szCs w:val="18"/>
                <w:b w:val="1"/>
                <w:bCs w:val="1"/>
                <w:color w:val="auto"/>
              </w:rPr>
              <w:t>24055</w:t>
            </w:r>
          </w:p>
        </w:tc>
      </w:tr>
      <w:tr>
        <w:trPr>
          <w:trHeight w:val="174"/>
        </w:trPr>
        <w:tc>
          <w:tcPr>
            <w:tcW w:w="3200" w:type="dxa"/>
            <w:vAlign w:val="bottom"/>
          </w:tcPr>
          <w:p>
            <w:pPr>
              <w:jc w:val="center"/>
              <w:ind w:left="331"/>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5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420" w:type="dxa"/>
            <w:vAlign w:val="bottom"/>
          </w:tcPr>
          <w:p>
            <w:pPr>
              <w:jc w:val="center"/>
              <w:ind w:left="402"/>
              <w:spacing w:after="0"/>
              <w:rPr>
                <w:sz w:val="20"/>
                <w:szCs w:val="20"/>
                <w:color w:val="auto"/>
              </w:rPr>
            </w:pPr>
            <w:r>
              <w:rPr>
                <w:rFonts w:ascii="Arial" w:cs="Arial" w:eastAsia="Arial" w:hAnsi="Arial"/>
                <w:sz w:val="14"/>
                <w:szCs w:val="14"/>
                <w:b w:val="1"/>
                <w:bCs w:val="1"/>
                <w:color w:val="auto"/>
                <w:w w:val="89"/>
              </w:rPr>
              <w:t>(Zip Code)</w:t>
            </w:r>
          </w:p>
        </w:tc>
      </w:tr>
    </w:tbl>
    <w:p>
      <w:pPr>
        <w:spacing w:after="0" w:line="1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Registrant’s telephone number, including area code 276/629-6000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126365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54" w:lineRule="exact"/>
        <w:rPr>
          <w:sz w:val="24"/>
          <w:szCs w:val="24"/>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16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On September 25, 2003, Bassett Furniture Industries issued a news release relating to, among other things, the financial results for the third quarter of fiscal year 2003. A copy of the news release announcing this information is attached to this report as Exhibit 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00"/>
          </w:cols>
          <w:pgMar w:left="240" w:top="355"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5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80" w:type="dxa"/>
            <w:vAlign w:val="bottom"/>
          </w:tcPr>
          <w:p>
            <w:pPr>
              <w:spacing w:after="0"/>
              <w:rPr>
                <w:sz w:val="19"/>
                <w:szCs w:val="19"/>
                <w:color w:val="auto"/>
              </w:rPr>
            </w:pPr>
          </w:p>
        </w:tc>
        <w:tc>
          <w:tcPr>
            <w:tcW w:w="7340" w:type="dxa"/>
            <w:vAlign w:val="bottom"/>
            <w:gridSpan w:val="2"/>
          </w:tcPr>
          <w:p>
            <w:pPr>
              <w:ind w:left="208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ASSETT</w:t>
            </w:r>
            <w:r>
              <w:rPr>
                <w:rFonts w:ascii="Arial" w:cs="Arial" w:eastAsia="Arial" w:hAnsi="Arial"/>
                <w:sz w:val="18"/>
                <w:szCs w:val="18"/>
                <w:color w:val="auto"/>
              </w:rPr>
              <w:t xml:space="preserve"> F</w:t>
            </w:r>
            <w:r>
              <w:rPr>
                <w:rFonts w:ascii="Arial" w:cs="Arial" w:eastAsia="Arial" w:hAnsi="Arial"/>
                <w:sz w:val="14"/>
                <w:szCs w:val="14"/>
                <w:color w:val="auto"/>
              </w:rPr>
              <w:t>URNITURE</w:t>
            </w:r>
            <w:r>
              <w:rPr>
                <w:rFonts w:ascii="Arial" w:cs="Arial" w:eastAsia="Arial" w:hAnsi="Arial"/>
                <w:sz w:val="18"/>
                <w:szCs w:val="18"/>
                <w:color w:val="auto"/>
              </w:rPr>
              <w:t xml:space="preserve"> I</w:t>
            </w:r>
            <w:r>
              <w:rPr>
                <w:rFonts w:ascii="Arial" w:cs="Arial" w:eastAsia="Arial" w:hAnsi="Arial"/>
                <w:sz w:val="14"/>
                <w:szCs w:val="14"/>
                <w:color w:val="auto"/>
              </w:rPr>
              <w:t>NDUSTRIES</w:t>
            </w:r>
            <w:r>
              <w:rPr>
                <w:rFonts w:ascii="Arial" w:cs="Arial" w:eastAsia="Arial" w:hAnsi="Arial"/>
                <w:sz w:val="18"/>
                <w:szCs w:val="18"/>
                <w:color w:val="auto"/>
              </w:rPr>
              <w:t>, I</w:t>
            </w:r>
            <w:r>
              <w:rPr>
                <w:rFonts w:ascii="Arial" w:cs="Arial" w:eastAsia="Arial" w:hAnsi="Arial"/>
                <w:sz w:val="14"/>
                <w:szCs w:val="14"/>
                <w:color w:val="auto"/>
              </w:rPr>
              <w:t>NCORPORATED</w:t>
            </w:r>
          </w:p>
        </w:tc>
        <w:tc>
          <w:tcPr>
            <w:tcW w:w="0" w:type="dxa"/>
            <w:vAlign w:val="bottom"/>
          </w:tcPr>
          <w:p>
            <w:pPr>
              <w:spacing w:after="0"/>
              <w:rPr>
                <w:sz w:val="1"/>
                <w:szCs w:val="1"/>
                <w:color w:val="auto"/>
              </w:rPr>
            </w:pPr>
          </w:p>
        </w:tc>
      </w:tr>
      <w:tr>
        <w:trPr>
          <w:trHeight w:val="581"/>
        </w:trPr>
        <w:tc>
          <w:tcPr>
            <w:tcW w:w="4080" w:type="dxa"/>
            <w:vAlign w:val="bottom"/>
          </w:tcPr>
          <w:p>
            <w:pPr>
              <w:spacing w:after="0"/>
              <w:rPr>
                <w:sz w:val="20"/>
                <w:szCs w:val="20"/>
                <w:color w:val="auto"/>
              </w:rPr>
            </w:pPr>
            <w:r>
              <w:rPr>
                <w:rFonts w:ascii="Arial" w:cs="Arial" w:eastAsia="Arial" w:hAnsi="Arial"/>
                <w:sz w:val="18"/>
                <w:szCs w:val="18"/>
                <w:color w:val="auto"/>
              </w:rPr>
              <w:t>Date:   September 25, 2002</w:t>
            </w:r>
          </w:p>
        </w:tc>
        <w:tc>
          <w:tcPr>
            <w:tcW w:w="2660" w:type="dxa"/>
            <w:vAlign w:val="bottom"/>
          </w:tcPr>
          <w:p>
            <w:pPr>
              <w:ind w:left="2080"/>
              <w:spacing w:after="0"/>
              <w:rPr>
                <w:sz w:val="20"/>
                <w:szCs w:val="20"/>
                <w:color w:val="auto"/>
              </w:rPr>
            </w:pPr>
            <w:r>
              <w:rPr>
                <w:rFonts w:ascii="Arial" w:cs="Arial" w:eastAsia="Arial" w:hAnsi="Arial"/>
                <w:sz w:val="18"/>
                <w:szCs w:val="18"/>
                <w:color w:val="auto"/>
              </w:rPr>
              <w:t>By:</w:t>
            </w:r>
          </w:p>
        </w:tc>
        <w:tc>
          <w:tcPr>
            <w:tcW w:w="4680" w:type="dxa"/>
            <w:vAlign w:val="bottom"/>
          </w:tcPr>
          <w:p>
            <w:pPr>
              <w:spacing w:after="0"/>
              <w:rPr>
                <w:sz w:val="20"/>
                <w:szCs w:val="20"/>
                <w:color w:val="auto"/>
              </w:rPr>
            </w:pPr>
            <w:r>
              <w:rPr>
                <w:rFonts w:ascii="Arial" w:cs="Arial" w:eastAsia="Arial" w:hAnsi="Arial"/>
                <w:sz w:val="18"/>
                <w:szCs w:val="18"/>
                <w:color w:val="auto"/>
              </w:rPr>
              <w:t>/s/  B</w:t>
            </w:r>
            <w:r>
              <w:rPr>
                <w:rFonts w:ascii="Arial" w:cs="Arial" w:eastAsia="Arial" w:hAnsi="Arial"/>
                <w:sz w:val="14"/>
                <w:szCs w:val="14"/>
                <w:color w:val="auto"/>
              </w:rPr>
              <w:t>ARRY</w:t>
            </w:r>
            <w:r>
              <w:rPr>
                <w:rFonts w:ascii="Arial" w:cs="Arial" w:eastAsia="Arial" w:hAnsi="Arial"/>
                <w:sz w:val="18"/>
                <w:szCs w:val="18"/>
                <w:color w:val="auto"/>
              </w:rPr>
              <w:t xml:space="preserve"> C. S</w:t>
            </w:r>
            <w:r>
              <w:rPr>
                <w:rFonts w:ascii="Arial" w:cs="Arial" w:eastAsia="Arial" w:hAnsi="Arial"/>
                <w:sz w:val="14"/>
                <w:szCs w:val="14"/>
                <w:color w:val="auto"/>
              </w:rPr>
              <w:t>AFRIT</w:t>
            </w:r>
          </w:p>
        </w:tc>
        <w:tc>
          <w:tcPr>
            <w:tcW w:w="0" w:type="dxa"/>
            <w:vAlign w:val="bottom"/>
          </w:tcPr>
          <w:p>
            <w:pPr>
              <w:spacing w:after="0"/>
              <w:rPr>
                <w:sz w:val="1"/>
                <w:szCs w:val="1"/>
                <w:color w:val="auto"/>
              </w:rPr>
            </w:pPr>
          </w:p>
        </w:tc>
      </w:tr>
      <w:tr>
        <w:trPr>
          <w:trHeight w:val="110"/>
        </w:trPr>
        <w:tc>
          <w:tcPr>
            <w:tcW w:w="4080" w:type="dxa"/>
            <w:vAlign w:val="bottom"/>
          </w:tcPr>
          <w:p>
            <w:pPr>
              <w:spacing w:after="0"/>
              <w:rPr>
                <w:sz w:val="9"/>
                <w:szCs w:val="9"/>
                <w:color w:val="auto"/>
              </w:rPr>
            </w:pPr>
          </w:p>
        </w:tc>
        <w:tc>
          <w:tcPr>
            <w:tcW w:w="2660" w:type="dxa"/>
            <w:vAlign w:val="bottom"/>
          </w:tcPr>
          <w:p>
            <w:pPr>
              <w:spacing w:after="0"/>
              <w:rPr>
                <w:sz w:val="9"/>
                <w:szCs w:val="9"/>
                <w:color w:val="auto"/>
              </w:rPr>
            </w:pPr>
          </w:p>
        </w:tc>
        <w:tc>
          <w:tcPr>
            <w:tcW w:w="46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080" w:type="dxa"/>
            <w:vAlign w:val="bottom"/>
          </w:tcPr>
          <w:p>
            <w:pPr>
              <w:spacing w:after="0"/>
              <w:rPr>
                <w:sz w:val="22"/>
                <w:szCs w:val="22"/>
                <w:color w:val="auto"/>
              </w:rPr>
            </w:pPr>
          </w:p>
        </w:tc>
        <w:tc>
          <w:tcPr>
            <w:tcW w:w="2660" w:type="dxa"/>
            <w:vAlign w:val="bottom"/>
            <w:vMerge w:val="restart"/>
          </w:tcPr>
          <w:p>
            <w:pPr>
              <w:ind w:left="2080"/>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4"/>
                <w:szCs w:val="14"/>
                <w:color w:val="auto"/>
              </w:rPr>
              <w:t>Barry C. Safrit</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266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4"/>
                <w:szCs w:val="14"/>
                <w:color w:val="auto"/>
              </w:rPr>
              <w:t>Vice President, Chief Financial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exhibit listed in this index is being furnished pursuant to Item 12 of Form 8-K and shall not be deemed “filed” for purposes of the Securities Exchange Act of 1934, as amended, or incorporated by reference into any document filed under the Securities Act of 1933, as amended, except as shall be expressly set forth by specific reference in such filing.</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0" w:type="dxa"/>
            <w:vAlign w:val="bottom"/>
          </w:tcPr>
          <w:p>
            <w:pPr>
              <w:jc w:val="center"/>
              <w:spacing w:after="0"/>
              <w:rPr>
                <w:sz w:val="20"/>
                <w:szCs w:val="20"/>
                <w:color w:val="auto"/>
              </w:rPr>
            </w:pPr>
            <w:r>
              <w:rPr>
                <w:rFonts w:ascii="Arial" w:cs="Arial" w:eastAsia="Arial" w:hAnsi="Arial"/>
                <w:sz w:val="14"/>
                <w:szCs w:val="14"/>
                <w:color w:val="auto"/>
                <w:w w:val="94"/>
              </w:rPr>
              <w:t>Exhibit No.</w:t>
            </w:r>
          </w:p>
        </w:tc>
        <w:tc>
          <w:tcPr>
            <w:tcW w:w="1040" w:type="dxa"/>
            <w:vAlign w:val="bottom"/>
          </w:tcPr>
          <w:p>
            <w:pPr>
              <w:spacing w:after="0"/>
              <w:rPr>
                <w:sz w:val="14"/>
                <w:szCs w:val="14"/>
                <w:color w:val="auto"/>
              </w:rPr>
            </w:pPr>
          </w:p>
        </w:tc>
        <w:tc>
          <w:tcPr>
            <w:tcW w:w="5340" w:type="dxa"/>
            <w:vAlign w:val="bottom"/>
            <w:gridSpan w:val="2"/>
          </w:tcPr>
          <w:p>
            <w:pPr>
              <w:spacing w:after="0"/>
              <w:rPr>
                <w:sz w:val="20"/>
                <w:szCs w:val="20"/>
                <w:color w:val="auto"/>
              </w:rPr>
            </w:pPr>
            <w:r>
              <w:rPr>
                <w:rFonts w:ascii="Arial" w:cs="Arial" w:eastAsia="Arial" w:hAnsi="Arial"/>
                <w:sz w:val="14"/>
                <w:szCs w:val="14"/>
                <w:color w:val="auto"/>
              </w:rPr>
              <w:t>Description</w:t>
            </w:r>
          </w:p>
        </w:tc>
      </w:tr>
      <w:tr>
        <w:trPr>
          <w:trHeight w:val="95"/>
        </w:trPr>
        <w:tc>
          <w:tcPr>
            <w:tcW w:w="880" w:type="dxa"/>
            <w:vAlign w:val="bottom"/>
            <w:tcBorders>
              <w:bottom w:val="single" w:sz="8" w:color="auto"/>
            </w:tcBorders>
          </w:tcPr>
          <w:p>
            <w:pPr>
              <w:spacing w:after="0"/>
              <w:rPr>
                <w:sz w:val="8"/>
                <w:szCs w:val="8"/>
                <w:color w:val="auto"/>
              </w:rPr>
            </w:pPr>
          </w:p>
        </w:tc>
        <w:tc>
          <w:tcPr>
            <w:tcW w:w="10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420" w:type="dxa"/>
            <w:vAlign w:val="bottom"/>
          </w:tcPr>
          <w:p>
            <w:pPr>
              <w:spacing w:after="0"/>
              <w:rPr>
                <w:sz w:val="8"/>
                <w:szCs w:val="8"/>
                <w:color w:val="auto"/>
              </w:rPr>
            </w:pPr>
          </w:p>
        </w:tc>
      </w:tr>
      <w:tr>
        <w:trPr>
          <w:trHeight w:val="383"/>
        </w:trPr>
        <w:tc>
          <w:tcPr>
            <w:tcW w:w="880" w:type="dxa"/>
            <w:vAlign w:val="bottom"/>
          </w:tcPr>
          <w:p>
            <w:pPr>
              <w:jc w:val="right"/>
              <w:ind w:right="282"/>
              <w:spacing w:after="0"/>
              <w:rPr>
                <w:sz w:val="20"/>
                <w:szCs w:val="20"/>
                <w:color w:val="auto"/>
              </w:rPr>
            </w:pPr>
            <w:r>
              <w:rPr>
                <w:rFonts w:ascii="Arial" w:cs="Arial" w:eastAsia="Arial" w:hAnsi="Arial"/>
                <w:sz w:val="18"/>
                <w:szCs w:val="18"/>
                <w:color w:val="auto"/>
              </w:rPr>
              <w:t>99</w:t>
            </w:r>
          </w:p>
        </w:tc>
        <w:tc>
          <w:tcPr>
            <w:tcW w:w="104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86"/>
              </w:rPr>
              <w:t>News release issued by Bassett Furniture Industries on September 25, 2003.</w:t>
            </w:r>
          </w:p>
        </w:tc>
      </w:tr>
    </w:tbl>
    <w:p>
      <w:pPr>
        <w:sectPr>
          <w:pgSz w:w="11900" w:h="16838" w:orient="portrait"/>
          <w:cols w:equalWidth="0" w:num="1">
            <w:col w:w="11380"/>
          </w:cols>
          <w:pgMar w:left="240" w:top="280" w:right="27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40" w:type="dxa"/>
            <w:vAlign w:val="bottom"/>
          </w:tcPr>
          <w:p>
            <w:pPr>
              <w:ind w:left="20"/>
              <w:spacing w:after="0"/>
              <w:rPr>
                <w:sz w:val="20"/>
                <w:szCs w:val="20"/>
                <w:color w:val="auto"/>
              </w:rPr>
            </w:pPr>
            <w:r>
              <w:rPr>
                <w:rFonts w:ascii="Arial" w:cs="Arial" w:eastAsia="Arial" w:hAnsi="Arial"/>
                <w:sz w:val="18"/>
                <w:szCs w:val="18"/>
                <w:color w:val="auto"/>
              </w:rPr>
              <w:t>Exhibit 99</w:t>
            </w:r>
          </w:p>
        </w:tc>
        <w:tc>
          <w:tcPr>
            <w:tcW w:w="3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5040" w:type="dxa"/>
            <w:vAlign w:val="bottom"/>
          </w:tcPr>
          <w:p>
            <w:pPr>
              <w:spacing w:after="0"/>
              <w:rPr>
                <w:sz w:val="20"/>
                <w:szCs w:val="20"/>
                <w:color w:val="auto"/>
              </w:rPr>
            </w:pPr>
            <w:r>
              <w:rPr>
                <w:rFonts w:ascii="Arial" w:cs="Arial" w:eastAsia="Arial" w:hAnsi="Arial"/>
                <w:sz w:val="18"/>
                <w:szCs w:val="18"/>
                <w:b w:val="1"/>
                <w:bCs w:val="1"/>
                <w:color w:val="auto"/>
              </w:rPr>
              <w:t>Bassett</w:t>
            </w:r>
            <w:r>
              <w:rPr>
                <w:rFonts w:ascii="Arial" w:cs="Arial" w:eastAsia="Arial" w:hAnsi="Arial"/>
                <w:sz w:val="22"/>
                <w:szCs w:val="22"/>
                <w:b w:val="1"/>
                <w:bCs w:val="1"/>
                <w:color w:val="auto"/>
                <w:vertAlign w:val="superscript"/>
              </w:rPr>
              <w:t>®</w:t>
            </w:r>
          </w:p>
        </w:tc>
        <w:tc>
          <w:tcPr>
            <w:tcW w:w="3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Bassett Furniture Industries, Inc.</w:t>
            </w:r>
          </w:p>
        </w:tc>
        <w:tc>
          <w:tcPr>
            <w:tcW w:w="4700" w:type="dxa"/>
            <w:vAlign w:val="bottom"/>
            <w:gridSpan w:val="3"/>
          </w:tcPr>
          <w:p>
            <w:pPr>
              <w:ind w:left="2740"/>
              <w:spacing w:after="0"/>
              <w:rPr>
                <w:sz w:val="20"/>
                <w:szCs w:val="20"/>
                <w:color w:val="auto"/>
              </w:rPr>
            </w:pPr>
            <w:r>
              <w:rPr>
                <w:rFonts w:ascii="Arial" w:cs="Arial" w:eastAsia="Arial" w:hAnsi="Arial"/>
                <w:sz w:val="18"/>
                <w:szCs w:val="18"/>
                <w:b w:val="1"/>
                <w:bCs w:val="1"/>
                <w:color w:val="auto"/>
                <w:w w:val="91"/>
              </w:rPr>
              <w:t>Barry C. Safrit, V.P., CFO</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P.O. Box 626</w:t>
            </w:r>
          </w:p>
        </w:tc>
        <w:tc>
          <w:tcPr>
            <w:tcW w:w="3140" w:type="dxa"/>
            <w:vAlign w:val="bottom"/>
          </w:tcPr>
          <w:p>
            <w:pPr>
              <w:ind w:left="2740"/>
              <w:spacing w:after="0"/>
              <w:rPr>
                <w:sz w:val="20"/>
                <w:szCs w:val="20"/>
                <w:color w:val="auto"/>
              </w:rPr>
            </w:pPr>
            <w:r>
              <w:rPr>
                <w:rFonts w:ascii="Arial" w:cs="Arial" w:eastAsia="Arial" w:hAnsi="Arial"/>
                <w:sz w:val="18"/>
                <w:szCs w:val="18"/>
                <w:color w:val="auto"/>
                <w:w w:val="90"/>
              </w:rPr>
              <w:t>(276)</w:t>
            </w:r>
          </w:p>
        </w:tc>
        <w:tc>
          <w:tcPr>
            <w:tcW w:w="720" w:type="dxa"/>
            <w:vAlign w:val="bottom"/>
          </w:tcPr>
          <w:p>
            <w:pPr>
              <w:jc w:val="right"/>
              <w:spacing w:after="0"/>
              <w:rPr>
                <w:sz w:val="20"/>
                <w:szCs w:val="20"/>
                <w:color w:val="auto"/>
              </w:rPr>
            </w:pPr>
            <w:r>
              <w:rPr>
                <w:rFonts w:ascii="Arial" w:cs="Arial" w:eastAsia="Arial" w:hAnsi="Arial"/>
                <w:sz w:val="18"/>
                <w:szCs w:val="18"/>
                <w:color w:val="auto"/>
                <w:w w:val="89"/>
              </w:rPr>
              <w:t>629-6757</w:t>
            </w:r>
          </w:p>
        </w:tc>
        <w:tc>
          <w:tcPr>
            <w:tcW w:w="840" w:type="dxa"/>
            <w:vAlign w:val="bottom"/>
          </w:tcPr>
          <w:p>
            <w:pPr>
              <w:ind w:left="20"/>
              <w:spacing w:after="0"/>
              <w:rPr>
                <w:sz w:val="20"/>
                <w:szCs w:val="20"/>
                <w:color w:val="auto"/>
              </w:rPr>
            </w:pPr>
            <w:r>
              <w:rPr>
                <w:rFonts w:ascii="Arial" w:cs="Arial" w:eastAsia="Arial" w:hAnsi="Arial"/>
                <w:sz w:val="18"/>
                <w:szCs w:val="18"/>
                <w:color w:val="auto"/>
                <w:w w:val="90"/>
              </w:rPr>
              <w:t>– Investors</w:t>
            </w:r>
          </w:p>
        </w:tc>
        <w:tc>
          <w:tcPr>
            <w:tcW w:w="0" w:type="dxa"/>
            <w:vAlign w:val="bottom"/>
          </w:tcPr>
          <w:p>
            <w:pPr>
              <w:spacing w:after="0"/>
              <w:rPr>
                <w:sz w:val="1"/>
                <w:szCs w:val="1"/>
                <w:color w:val="auto"/>
              </w:rPr>
            </w:pP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Bassett, VA 24055</w:t>
            </w:r>
          </w:p>
        </w:tc>
        <w:tc>
          <w:tcPr>
            <w:tcW w:w="3140" w:type="dxa"/>
            <w:vAlign w:val="bottom"/>
          </w:tcPr>
          <w:p>
            <w:pPr>
              <w:ind w:left="2740"/>
              <w:spacing w:after="0"/>
              <w:rPr>
                <w:sz w:val="20"/>
                <w:szCs w:val="20"/>
                <w:color w:val="auto"/>
              </w:rPr>
            </w:pPr>
            <w:r>
              <w:rPr>
                <w:rFonts w:ascii="Arial" w:cs="Arial" w:eastAsia="Arial" w:hAnsi="Arial"/>
                <w:sz w:val="18"/>
                <w:szCs w:val="18"/>
                <w:color w:val="auto"/>
                <w:w w:val="90"/>
              </w:rPr>
              <w:t>(276)</w:t>
            </w:r>
          </w:p>
        </w:tc>
        <w:tc>
          <w:tcPr>
            <w:tcW w:w="720" w:type="dxa"/>
            <w:vAlign w:val="bottom"/>
          </w:tcPr>
          <w:p>
            <w:pPr>
              <w:jc w:val="right"/>
              <w:spacing w:after="0"/>
              <w:rPr>
                <w:sz w:val="20"/>
                <w:szCs w:val="20"/>
                <w:color w:val="auto"/>
              </w:rPr>
            </w:pPr>
            <w:r>
              <w:rPr>
                <w:rFonts w:ascii="Arial" w:cs="Arial" w:eastAsia="Arial" w:hAnsi="Arial"/>
                <w:sz w:val="18"/>
                <w:szCs w:val="18"/>
                <w:color w:val="auto"/>
                <w:w w:val="89"/>
              </w:rPr>
              <w:t>629-6332</w:t>
            </w:r>
          </w:p>
        </w:tc>
        <w:tc>
          <w:tcPr>
            <w:tcW w:w="840" w:type="dxa"/>
            <w:vAlign w:val="bottom"/>
          </w:tcPr>
          <w:p>
            <w:pPr>
              <w:ind w:left="20"/>
              <w:spacing w:after="0"/>
              <w:rPr>
                <w:sz w:val="20"/>
                <w:szCs w:val="20"/>
                <w:color w:val="auto"/>
              </w:rPr>
            </w:pPr>
            <w:r>
              <w:rPr>
                <w:rFonts w:ascii="Arial" w:cs="Arial" w:eastAsia="Arial" w:hAnsi="Arial"/>
                <w:sz w:val="18"/>
                <w:szCs w:val="18"/>
                <w:color w:val="auto"/>
              </w:rPr>
              <w:t>– Fax</w:t>
            </w:r>
          </w:p>
        </w:tc>
        <w:tc>
          <w:tcPr>
            <w:tcW w:w="0" w:type="dxa"/>
            <w:vAlign w:val="bottom"/>
          </w:tcPr>
          <w:p>
            <w:pPr>
              <w:spacing w:after="0"/>
              <w:rPr>
                <w:sz w:val="1"/>
                <w:szCs w:val="1"/>
                <w:color w:val="auto"/>
              </w:rPr>
            </w:pPr>
          </w:p>
        </w:tc>
      </w:tr>
      <w:tr>
        <w:trPr>
          <w:trHeight w:val="324"/>
        </w:trPr>
        <w:tc>
          <w:tcPr>
            <w:tcW w:w="5040" w:type="dxa"/>
            <w:vAlign w:val="bottom"/>
          </w:tcPr>
          <w:p>
            <w:pPr>
              <w:spacing w:after="0"/>
              <w:rPr>
                <w:sz w:val="24"/>
                <w:szCs w:val="24"/>
                <w:color w:val="auto"/>
              </w:rPr>
            </w:pPr>
          </w:p>
        </w:tc>
        <w:tc>
          <w:tcPr>
            <w:tcW w:w="4700" w:type="dxa"/>
            <w:vAlign w:val="bottom"/>
            <w:gridSpan w:val="3"/>
          </w:tcPr>
          <w:p>
            <w:pPr>
              <w:ind w:left="2740"/>
              <w:spacing w:after="0"/>
              <w:rPr>
                <w:sz w:val="20"/>
                <w:szCs w:val="20"/>
                <w:color w:val="auto"/>
              </w:rPr>
            </w:pPr>
            <w:r>
              <w:rPr>
                <w:rFonts w:ascii="Arial" w:cs="Arial" w:eastAsia="Arial" w:hAnsi="Arial"/>
                <w:sz w:val="18"/>
                <w:szCs w:val="18"/>
                <w:b w:val="1"/>
                <w:bCs w:val="1"/>
                <w:color w:val="auto"/>
              </w:rPr>
              <w:t>Jay S. Moore, Dir. of</w:t>
            </w:r>
          </w:p>
        </w:tc>
        <w:tc>
          <w:tcPr>
            <w:tcW w:w="0" w:type="dxa"/>
            <w:vAlign w:val="bottom"/>
          </w:tcPr>
          <w:p>
            <w:pPr>
              <w:spacing w:after="0"/>
              <w:rPr>
                <w:sz w:val="1"/>
                <w:szCs w:val="1"/>
                <w:color w:val="auto"/>
              </w:rPr>
            </w:pPr>
          </w:p>
        </w:tc>
      </w:tr>
      <w:tr>
        <w:trPr>
          <w:trHeight w:val="318"/>
        </w:trPr>
        <w:tc>
          <w:tcPr>
            <w:tcW w:w="5040" w:type="dxa"/>
            <w:vAlign w:val="bottom"/>
          </w:tcPr>
          <w:p>
            <w:pPr>
              <w:spacing w:after="0"/>
              <w:rPr>
                <w:sz w:val="20"/>
                <w:szCs w:val="20"/>
                <w:color w:val="auto"/>
              </w:rPr>
            </w:pPr>
            <w:r>
              <w:rPr>
                <w:rFonts w:ascii="Arial" w:cs="Arial" w:eastAsia="Arial" w:hAnsi="Arial"/>
                <w:sz w:val="18"/>
                <w:szCs w:val="18"/>
                <w:b w:val="1"/>
                <w:bCs w:val="1"/>
                <w:color w:val="auto"/>
              </w:rPr>
              <w:t>Communications</w:t>
            </w:r>
          </w:p>
        </w:tc>
        <w:tc>
          <w:tcPr>
            <w:tcW w:w="3140" w:type="dxa"/>
            <w:vAlign w:val="bottom"/>
            <w:vMerge w:val="restart"/>
          </w:tcPr>
          <w:p>
            <w:pPr>
              <w:ind w:left="2740"/>
              <w:spacing w:after="0"/>
              <w:rPr>
                <w:sz w:val="20"/>
                <w:szCs w:val="20"/>
                <w:color w:val="auto"/>
              </w:rPr>
            </w:pPr>
            <w:r>
              <w:rPr>
                <w:rFonts w:ascii="Arial" w:cs="Arial" w:eastAsia="Arial" w:hAnsi="Arial"/>
                <w:sz w:val="18"/>
                <w:szCs w:val="18"/>
                <w:color w:val="auto"/>
                <w:w w:val="90"/>
              </w:rPr>
              <w:t>(276)</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w w:val="89"/>
              </w:rPr>
              <w:t>629-6450</w:t>
            </w:r>
          </w:p>
        </w:tc>
        <w:tc>
          <w:tcPr>
            <w:tcW w:w="840" w:type="dxa"/>
            <w:vAlign w:val="bottom"/>
            <w:vMerge w:val="restart"/>
          </w:tcPr>
          <w:p>
            <w:pPr>
              <w:ind w:left="20"/>
              <w:spacing w:after="0"/>
              <w:rPr>
                <w:sz w:val="20"/>
                <w:szCs w:val="20"/>
                <w:color w:val="auto"/>
              </w:rPr>
            </w:pPr>
            <w:r>
              <w:rPr>
                <w:rFonts w:ascii="Arial" w:cs="Arial" w:eastAsia="Arial" w:hAnsi="Arial"/>
                <w:sz w:val="18"/>
                <w:szCs w:val="18"/>
                <w:color w:val="auto"/>
              </w:rPr>
              <w:t>– Media</w:t>
            </w:r>
          </w:p>
        </w:tc>
        <w:tc>
          <w:tcPr>
            <w:tcW w:w="0" w:type="dxa"/>
            <w:vAlign w:val="bottom"/>
          </w:tcPr>
          <w:p>
            <w:pPr>
              <w:spacing w:after="0"/>
              <w:rPr>
                <w:sz w:val="1"/>
                <w:szCs w:val="1"/>
                <w:color w:val="auto"/>
              </w:rPr>
            </w:pPr>
          </w:p>
        </w:tc>
      </w:tr>
      <w:tr>
        <w:trPr>
          <w:trHeight w:val="149"/>
        </w:trPr>
        <w:tc>
          <w:tcPr>
            <w:tcW w:w="5040" w:type="dxa"/>
            <w:vAlign w:val="bottom"/>
            <w:vMerge w:val="restart"/>
          </w:tcPr>
          <w:p>
            <w:pPr>
              <w:spacing w:after="0"/>
              <w:rPr>
                <w:sz w:val="20"/>
                <w:szCs w:val="20"/>
                <w:color w:val="auto"/>
              </w:rPr>
            </w:pPr>
            <w:r>
              <w:rPr>
                <w:rFonts w:ascii="Arial" w:cs="Arial" w:eastAsia="Arial" w:hAnsi="Arial"/>
                <w:sz w:val="18"/>
                <w:szCs w:val="18"/>
                <w:color w:val="auto"/>
              </w:rPr>
              <w:t>For Immediate Release</w:t>
            </w:r>
          </w:p>
        </w:tc>
        <w:tc>
          <w:tcPr>
            <w:tcW w:w="31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5040" w:type="dxa"/>
            <w:vAlign w:val="bottom"/>
            <w:vMerge w:val="continue"/>
          </w:tcPr>
          <w:p>
            <w:pPr>
              <w:spacing w:after="0"/>
              <w:rPr>
                <w:sz w:val="6"/>
                <w:szCs w:val="6"/>
                <w:color w:val="auto"/>
              </w:rPr>
            </w:pPr>
          </w:p>
        </w:tc>
        <w:tc>
          <w:tcPr>
            <w:tcW w:w="3140" w:type="dxa"/>
            <w:vAlign w:val="bottom"/>
            <w:vMerge w:val="restart"/>
          </w:tcPr>
          <w:p>
            <w:pPr>
              <w:ind w:left="2740"/>
              <w:spacing w:after="0"/>
              <w:rPr>
                <w:sz w:val="20"/>
                <w:szCs w:val="20"/>
                <w:color w:val="auto"/>
              </w:rPr>
            </w:pPr>
            <w:r>
              <w:rPr>
                <w:rFonts w:ascii="Arial" w:cs="Arial" w:eastAsia="Arial" w:hAnsi="Arial"/>
                <w:sz w:val="18"/>
                <w:szCs w:val="18"/>
                <w:color w:val="auto"/>
                <w:w w:val="90"/>
              </w:rPr>
              <w:t>(276)</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w w:val="89"/>
              </w:rPr>
              <w:t>629-6418</w:t>
            </w:r>
          </w:p>
        </w:tc>
        <w:tc>
          <w:tcPr>
            <w:tcW w:w="840" w:type="dxa"/>
            <w:vAlign w:val="bottom"/>
            <w:vMerge w:val="restart"/>
          </w:tcPr>
          <w:p>
            <w:pPr>
              <w:ind w:left="20"/>
              <w:spacing w:after="0"/>
              <w:rPr>
                <w:sz w:val="20"/>
                <w:szCs w:val="20"/>
                <w:color w:val="auto"/>
              </w:rPr>
            </w:pPr>
            <w:r>
              <w:rPr>
                <w:rFonts w:ascii="Arial" w:cs="Arial" w:eastAsia="Arial" w:hAnsi="Arial"/>
                <w:sz w:val="18"/>
                <w:szCs w:val="18"/>
                <w:color w:val="auto"/>
              </w:rPr>
              <w:t>– Fax</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31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Bassett Furniture News Release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Bassett Announces Third Quarter 2003 Earnings</w:t>
      </w:r>
    </w:p>
    <w:p>
      <w:pPr>
        <w:spacing w:after="0" w:line="7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(Bassett, Va.) – September 25, 2003 – Bassett Furniture Industries Inc. announced today the financial results for its third fiscal quarter ended August 30, 2003 and year-to-date results.</w:t>
      </w:r>
    </w:p>
    <w:p>
      <w:pPr>
        <w:spacing w:after="0" w:line="118"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Sales for the third quarter of 2003 were $74.4 million, down 5.0% from third quarter 2002 levels. While industry wide soft retail conditions in June and July were a factor, the previously disclosed sales decrease with JCPenney amounted to the majority of the year-over-year shortfall.</w:t>
      </w:r>
    </w:p>
    <w:p>
      <w:pPr>
        <w:spacing w:after="0" w:line="7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reported net income for the quarter of $1.6 million or $.13 per diluted share compared to a net loss of $.7 million or ($.06) per diluted share for the third quarter of 2002. Net income on a year-to-date basis for 2003 was $1.4 million or $.12 per share including a previously announced $3.2 million charge related to closing its Dublin, Ga., facility in the first quarter as compared to net income on a year-to-date basis in 2002 of $5.1 million or $.43 per share including a previously announced $1.3 million charge related to its California upholstery plant.</w:t>
      </w:r>
    </w:p>
    <w:p>
      <w:pPr>
        <w:spacing w:after="0" w:line="99"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During the year, the Company has generated approximately $13.6 million of positive operating cash flow as inventory levels decreased by over $6 million and the Company received income tax refunds. These monies were used to fund capital spending, fund BFD expansion, and repay all of its outstanding debt. Bassett has repurchased 89,278 of its shares at a cost of $1.2 million during the first nine months of 2003 and has $10 million remaining on its share repurchase program as of the end of the quarter.</w:t>
      </w:r>
    </w:p>
    <w:p>
      <w:pPr>
        <w:spacing w:after="0" w:line="13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“Business appears to be improving slightly,” said Robert H. Spilman Jr., president and chief executive officer. “We were pleased with the Labor Day performance of our retail network. We were also again pleased with the operating cash flow we generated during the quarter and our investment results. Our focus continues to be on opening new stores, introducing exciting products, and improving the earnings in our wood division. We are encouraged by the number of prospects we have who want to own and operate Bassett stores. We remain committed to our goal of 150 BFDs by the end of 2005.”</w:t>
      </w:r>
    </w:p>
    <w:p>
      <w:pPr>
        <w:spacing w:after="0" w:line="99"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Sales for the first nine months of the year were $219.2 million compared to $244.1 million for the nine months of 2002. This decline was indicative of economic conditions, the JCPenney sales decrease and an extra week included in the first nine months of fiscal 2002 (40 weeks vs. 39 weeks).</w:t>
      </w:r>
    </w:p>
    <w:p>
      <w:pPr>
        <w:spacing w:after="0" w:line="7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Bassett Furniture Direct retail store program continues to grow with 96 stores currently in operation. Licensees opened five additional stores in the third quarter making a total of 14 stores opened in fiscal 2003.</w:t>
      </w:r>
    </w:p>
    <w:p>
      <w:pPr>
        <w:sectPr>
          <w:pgSz w:w="11900" w:h="16838" w:orient="portrait"/>
          <w:cols w:equalWidth="0" w:num="1">
            <w:col w:w="11420"/>
          </w:cols>
          <w:pgMar w:left="240" w:top="131" w:right="239" w:bottom="1440" w:gutter="0" w:footer="0" w:header="0"/>
        </w:sectPr>
      </w:pPr>
    </w:p>
    <w:bookmarkStart w:id="4" w:name="page5"/>
    <w:bookmarkEnd w:id="4"/>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expects licensees to open four to six stores in the fourth quarter for a total of 18—20 new stores in fiscal 2003. Sales to BFD stores were 45% of total Company sales in 2002 and are planned to be approximately 55% of total Bassett sales in 2003.</w:t>
      </w:r>
    </w:p>
    <w:p>
      <w:pPr>
        <w:spacing w:after="0" w:line="118"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The Company reported a modest operating income for the quarter which was reflective of the sales environment and transition costs associated with consolidating products from one wood manufacturing facility into its Bassett, Va., facility as previously announced. Wood division sales decreased 10% as compared to the previous year quarter with relatively flat gross margins as compared to the prior year quarter. Upholstery division gross margin for the quarter improved by 2.1 points over the gross margin from the previous year quarter despite a 6% sales volume decrease. Import division sales increased by approximately 16% with continued solid profit margins in this segment.</w:t>
      </w:r>
    </w:p>
    <w:p>
      <w:pPr>
        <w:spacing w:after="0" w:line="10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Other Income improved from a loss of $0.9 million in the third quarter of 2002 to income of $1.3 million for the third quarter of 2003 and improved from income of $1.8 million on a year-to-date basis in 2002 to income of $3.8 million on a year-to-date basis for 2003, due to better investment results from the Company’s Alternative Asset Fund.</w:t>
      </w:r>
    </w:p>
    <w:p>
      <w:pPr>
        <w:spacing w:after="0" w:line="12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Also in Other Income, Bassett continued to record losses from its investment in LRG Furniture, LLC (LRG). These losses were primarily due to lower than expected sales in relation to LRG’s cost structure. The retail economy in Texas has been even softer than most other parts of the country. Remaining committed to the success of LRG, Bassett has reached an agreement in principle with the other members of LRG to recapitalize LRG’s balance sheet and restructure its operations. As part of this agreement and new structure, the Company will gain operating control of LRG and the ability to further reduce LRG’s cost structure in order to improve its financial results. This agreement is expected to be finalized in the fourth quarter.</w:t>
      </w:r>
    </w:p>
    <w:p>
      <w:pPr>
        <w:spacing w:after="0" w:line="10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As part of the recapitalization, the Company will convert certain notes receivable into an additional 29% ownership interest in LRG and obtain a level of control of the entity reflective of this additional ownership percentage. After gaining control of LRG, the Company will no longer account for its LRG investment using the equity method but will consolidate LRG’s results and financial position into its consolidated results and financial position beginning in the fourth quarter. As previously disclosed, the Company plans to adopt FASB Interpretation No. 46 “Consolidation of Variable Interest Entities, and Interpretation of Accounting Research Bulletin (ARB) No. 51” (FIN 46). Adoption of FIN 46 will result in a non-cash one-time charge of approximately $4.4 million after tax in the fourth quarter. The Company has not finalized the complex analysis required by FIN 46 for any affiliated entity other than LRG, and therefore has not determined whether any other affiliated entity will need to be consolidated based on this Interpretation. Since January 31, 2003, the Company has not become involved with any entities determined to be variable interest entities.</w:t>
      </w:r>
    </w:p>
    <w:p>
      <w:pPr>
        <w:spacing w:after="0" w:line="10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Company’s effective income tax rate on both a quarter-to-date and year-to-date basis for 2003 are significantly lower than the statutory federal tax rate due principally to dividends received deductions from the Company’s investment in the International Home Furnishings Center, which owns and leases showroom floor space in High Point, NC.</w:t>
      </w:r>
    </w:p>
    <w:p>
      <w:pPr>
        <w:spacing w:after="0" w:line="12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Company’s Board of Directors on Tuesday declared a regular quarterly dividend of $.20 per share payable on December 1, 2003, to shareholders of record on November 14, 2003.</w:t>
      </w:r>
    </w:p>
    <w:p>
      <w:pPr>
        <w:spacing w:after="0" w:line="118"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Bassett Furniture Industries Inc., based in Bassett, Va., is one of the world’s leading manufacturers and marketers of branded home furnishings. Bassett’s products, designed to provide quality, style and value, are sold through Bassett Furniture Direct</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stores, At Home with Bassett</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other furniture and department stores. The Company’s common stock is traded on the NASDAQ market under the symbol BSET. More information about Bassett is available on the Company’s Internet site at </w:t>
      </w:r>
      <w:r>
        <w:rPr>
          <w:rFonts w:ascii="Arial" w:cs="Arial" w:eastAsia="Arial" w:hAnsi="Arial"/>
          <w:sz w:val="18"/>
          <w:szCs w:val="18"/>
          <w:u w:val="single" w:color="auto"/>
          <w:color w:val="auto"/>
        </w:rPr>
        <w:t>www.bassettfurniture.com</w:t>
      </w:r>
      <w:r>
        <w:rPr>
          <w:rFonts w:ascii="Arial" w:cs="Arial" w:eastAsia="Arial" w:hAnsi="Arial"/>
          <w:sz w:val="18"/>
          <w:szCs w:val="18"/>
          <w:color w:val="auto"/>
        </w:rPr>
        <w:t>.</w:t>
      </w:r>
    </w:p>
    <w:p>
      <w:pPr>
        <w:sectPr>
          <w:pgSz w:w="11900" w:h="16838" w:orient="portrait"/>
          <w:cols w:equalWidth="0" w:num="1">
            <w:col w:w="11400"/>
          </w:cols>
          <w:pgMar w:left="240" w:top="280" w:right="259" w:bottom="1440" w:gutter="0" w:footer="0" w:header="0"/>
        </w:sectPr>
      </w:pPr>
    </w:p>
    <w:bookmarkStart w:id="5" w:name="page6"/>
    <w:bookmarkEnd w:id="5"/>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of the statements in the immediately preceding paragraphs, particularly those preceded by, followed by or including the words “believes,” “expects,” “anticipates,” “intends,” “should,” “estimates,” or similar expressions, or those relating to or anticipating financial results for periods beyond the third quarter of fiscal year 2003, constitute “forward looking statements” within the meaning of Section 27A of the Securities Act of 1933, as amended. For those statements, Bassett claims the protection of the safe harbor for forward looking statements contained in the Private Securities Litigation Reform Act of 1995. In many cases, Bassett cannot predict what factors would cause actual results to differ materially from those indicated in the forward looking statements. Expectations included in the forward-looking statements are based on preliminary information as well as certain assumptions which management believes to be reasonable at this time. The following important factors affect Bassett and could cause those results to differ materially from those expressed in the forward looking statements: economic, competitive, governmental and other factors identified in Bassett’s filings with the Securities and Exchange Commission, and the effects of national and global economic conditions and future events on the retail demand for home furnishings.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300"/>
          </w:cols>
          <w:pgMar w:left="240" w:top="280"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BASSETT FURNITURE INDUSTRIES, INC.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Income (Loss)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(Stated in thousands of dollars except for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2110" w:type="dxa"/>
            <w:vAlign w:val="bottom"/>
            <w:gridSpan w:val="5"/>
          </w:tcPr>
          <w:p>
            <w:pPr>
              <w:jc w:val="right"/>
              <w:ind w:right="920"/>
              <w:spacing w:after="0"/>
              <w:rPr>
                <w:sz w:val="20"/>
                <w:szCs w:val="20"/>
                <w:color w:val="auto"/>
              </w:rPr>
            </w:pPr>
            <w:r>
              <w:rPr>
                <w:rFonts w:ascii="Arial" w:cs="Arial" w:eastAsia="Arial" w:hAnsi="Arial"/>
                <w:sz w:val="14"/>
                <w:szCs w:val="14"/>
                <w:color w:val="auto"/>
              </w:rPr>
              <w:t>13 Weeks Ended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tcPr>
          <w:p>
            <w:pPr>
              <w:jc w:val="right"/>
              <w:ind w:right="520"/>
              <w:spacing w:after="0"/>
              <w:rPr>
                <w:sz w:val="20"/>
                <w:szCs w:val="20"/>
                <w:color w:val="auto"/>
              </w:rPr>
            </w:pPr>
            <w:r>
              <w:rPr>
                <w:rFonts w:ascii="Arial" w:cs="Arial" w:eastAsia="Arial" w:hAnsi="Arial"/>
                <w:sz w:val="14"/>
                <w:szCs w:val="14"/>
                <w:color w:val="auto"/>
              </w:rPr>
              <w:t>13 Weeks Ended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2110" w:type="dxa"/>
            <w:vAlign w:val="bottom"/>
            <w:gridSpan w:val="5"/>
          </w:tcPr>
          <w:p>
            <w:pPr>
              <w:jc w:val="right"/>
              <w:ind w:right="920"/>
              <w:spacing w:after="0"/>
              <w:rPr>
                <w:sz w:val="20"/>
                <w:szCs w:val="20"/>
                <w:color w:val="auto"/>
              </w:rPr>
            </w:pPr>
            <w:r>
              <w:rPr>
                <w:rFonts w:ascii="Arial" w:cs="Arial" w:eastAsia="Arial" w:hAnsi="Arial"/>
                <w:sz w:val="14"/>
                <w:szCs w:val="14"/>
                <w:color w:val="auto"/>
              </w:rPr>
              <w:t>August 30, 2003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tcPr>
          <w:p>
            <w:pPr>
              <w:jc w:val="right"/>
              <w:ind w:right="540"/>
              <w:spacing w:after="0"/>
              <w:rPr>
                <w:sz w:val="20"/>
                <w:szCs w:val="20"/>
                <w:color w:val="auto"/>
              </w:rPr>
            </w:pPr>
            <w:r>
              <w:rPr>
                <w:rFonts w:ascii="Arial" w:cs="Arial" w:eastAsia="Arial" w:hAnsi="Arial"/>
                <w:sz w:val="14"/>
                <w:szCs w:val="14"/>
                <w:color w:val="auto"/>
              </w:rPr>
              <w:t>August 31,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38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90" w:type="dxa"/>
            <w:vAlign w:val="bottom"/>
          </w:tcPr>
          <w:p>
            <w:pPr>
              <w:spacing w:after="0"/>
              <w:rPr>
                <w:sz w:val="20"/>
                <w:szCs w:val="20"/>
                <w:color w:val="auto"/>
              </w:rPr>
            </w:pPr>
          </w:p>
        </w:tc>
        <w:tc>
          <w:tcPr>
            <w:tcW w:w="49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4"/>
                <w:szCs w:val="14"/>
                <w:color w:val="auto"/>
                <w:w w:val="84"/>
              </w:rPr>
              <w:t>Percent of</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w w:val="84"/>
              </w:rPr>
              <w:t>Percent of</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100" w:type="dxa"/>
            <w:vAlign w:val="bottom"/>
            <w:gridSpan w:val="4"/>
          </w:tcPr>
          <w:p>
            <w:pPr>
              <w:jc w:val="right"/>
              <w:ind w:right="580"/>
              <w:spacing w:after="0"/>
              <w:rPr>
                <w:sz w:val="20"/>
                <w:szCs w:val="20"/>
                <w:color w:val="auto"/>
              </w:rPr>
            </w:pPr>
            <w:r>
              <w:rPr>
                <w:rFonts w:ascii="Arial" w:cs="Arial" w:eastAsia="Arial" w:hAnsi="Arial"/>
                <w:sz w:val="14"/>
                <w:szCs w:val="14"/>
                <w:color w:val="auto"/>
              </w:rPr>
              <w:t>Amount</w:t>
            </w:r>
          </w:p>
        </w:tc>
        <w:tc>
          <w:tcPr>
            <w:tcW w:w="1100" w:type="dxa"/>
            <w:vAlign w:val="bottom"/>
            <w:gridSpan w:val="2"/>
          </w:tcPr>
          <w:p>
            <w:pPr>
              <w:jc w:val="right"/>
              <w:ind w:right="560"/>
              <w:spacing w:after="0"/>
              <w:rPr>
                <w:sz w:val="20"/>
                <w:szCs w:val="20"/>
                <w:color w:val="auto"/>
              </w:rPr>
            </w:pPr>
            <w:r>
              <w:rPr>
                <w:rFonts w:ascii="Arial" w:cs="Arial" w:eastAsia="Arial" w:hAnsi="Arial"/>
                <w:sz w:val="14"/>
                <w:szCs w:val="14"/>
                <w:color w:val="auto"/>
                <w:w w:val="85"/>
              </w:rPr>
              <w:t>Net Sales</w:t>
            </w:r>
          </w:p>
        </w:tc>
        <w:tc>
          <w:tcPr>
            <w:tcW w:w="20" w:type="dxa"/>
            <w:vAlign w:val="bottom"/>
          </w:tcPr>
          <w:p>
            <w:pPr>
              <w:spacing w:after="0"/>
              <w:rPr>
                <w:sz w:val="14"/>
                <w:szCs w:val="14"/>
                <w:color w:val="auto"/>
              </w:rPr>
            </w:pPr>
          </w:p>
        </w:tc>
        <w:tc>
          <w:tcPr>
            <w:tcW w:w="1100" w:type="dxa"/>
            <w:vAlign w:val="bottom"/>
            <w:gridSpan w:val="3"/>
          </w:tcPr>
          <w:p>
            <w:pPr>
              <w:jc w:val="right"/>
              <w:ind w:right="600"/>
              <w:spacing w:after="0"/>
              <w:rPr>
                <w:sz w:val="20"/>
                <w:szCs w:val="20"/>
                <w:color w:val="auto"/>
              </w:rPr>
            </w:pPr>
            <w:r>
              <w:rPr>
                <w:rFonts w:ascii="Arial" w:cs="Arial" w:eastAsia="Arial" w:hAnsi="Arial"/>
                <w:sz w:val="14"/>
                <w:szCs w:val="14"/>
                <w:color w:val="auto"/>
                <w:w w:val="99"/>
              </w:rPr>
              <w:t>Amount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w w:val="85"/>
              </w:rPr>
              <w:t>Net Sales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38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90" w:type="dxa"/>
            <w:vAlign w:val="bottom"/>
          </w:tcPr>
          <w:p>
            <w:pPr>
              <w:spacing w:after="0"/>
              <w:rPr>
                <w:sz w:val="8"/>
                <w:szCs w:val="8"/>
                <w:color w:val="auto"/>
              </w:rPr>
            </w:pPr>
          </w:p>
        </w:tc>
        <w:tc>
          <w:tcPr>
            <w:tcW w:w="49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74,434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78,367</w:t>
            </w: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Cost of sales</w:t>
            </w:r>
          </w:p>
        </w:tc>
        <w:tc>
          <w:tcPr>
            <w:tcW w:w="90" w:type="dxa"/>
            <w:vAlign w:val="bottom"/>
          </w:tcPr>
          <w:p>
            <w:pPr>
              <w:spacing w:after="0"/>
              <w:rPr>
                <w:sz w:val="19"/>
                <w:szCs w:val="19"/>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w w:val="83"/>
              </w:rPr>
              <w:t>58,797</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79.0%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61,783</w:t>
            </w:r>
          </w:p>
        </w:tc>
        <w:tc>
          <w:tcPr>
            <w:tcW w:w="5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8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90" w:type="dxa"/>
            <w:vAlign w:val="bottom"/>
          </w:tcPr>
          <w:p>
            <w:pPr>
              <w:spacing w:after="0"/>
              <w:rPr>
                <w:sz w:val="8"/>
                <w:szCs w:val="8"/>
                <w:color w:val="auto"/>
              </w:rPr>
            </w:pPr>
          </w:p>
        </w:tc>
        <w:tc>
          <w:tcPr>
            <w:tcW w:w="49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9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15,637</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16,584</w:t>
            </w: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90" w:type="dxa"/>
            <w:vAlign w:val="bottom"/>
          </w:tcPr>
          <w:p>
            <w:pPr>
              <w:spacing w:after="0"/>
              <w:rPr>
                <w:sz w:val="18"/>
                <w:szCs w:val="18"/>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w w:val="83"/>
              </w:rPr>
              <w:t>15,037</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15,472</w:t>
            </w:r>
          </w:p>
        </w:tc>
        <w:tc>
          <w:tcPr>
            <w:tcW w:w="5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impaired fixed asset charges</w:t>
            </w:r>
          </w:p>
        </w:tc>
        <w:tc>
          <w:tcPr>
            <w:tcW w:w="90" w:type="dxa"/>
            <w:vAlign w:val="bottom"/>
            <w:shd w:val="clear" w:color="auto" w:fill="CCEEFF"/>
          </w:tcPr>
          <w:p>
            <w:pPr>
              <w:spacing w:after="0"/>
              <w:rPr>
                <w:sz w:val="18"/>
                <w:szCs w:val="18"/>
                <w:color w:val="auto"/>
              </w:rPr>
            </w:pPr>
          </w:p>
        </w:tc>
        <w:tc>
          <w:tcPr>
            <w:tcW w:w="101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80" w:type="dxa"/>
            <w:vAlign w:val="bottom"/>
          </w:tcPr>
          <w:p>
            <w:pPr>
              <w:spacing w:after="0"/>
              <w:rPr>
                <w:sz w:val="8"/>
                <w:szCs w:val="8"/>
                <w:color w:val="auto"/>
              </w:rPr>
            </w:pPr>
          </w:p>
        </w:tc>
        <w:tc>
          <w:tcPr>
            <w:tcW w:w="90" w:type="dxa"/>
            <w:vAlign w:val="bottom"/>
          </w:tcPr>
          <w:p>
            <w:pPr>
              <w:spacing w:after="0"/>
              <w:rPr>
                <w:sz w:val="8"/>
                <w:szCs w:val="8"/>
                <w:color w:val="auto"/>
              </w:rPr>
            </w:pPr>
          </w:p>
        </w:tc>
        <w:tc>
          <w:tcPr>
            <w:tcW w:w="49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15,037</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16,723</w:t>
            </w: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90" w:type="dxa"/>
            <w:vAlign w:val="bottom"/>
          </w:tcPr>
          <w:p>
            <w:pPr>
              <w:spacing w:after="0"/>
              <w:rPr>
                <w:sz w:val="18"/>
                <w:szCs w:val="18"/>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600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(139)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9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(948)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90" w:type="dxa"/>
            <w:vAlign w:val="bottom"/>
          </w:tcPr>
          <w:p>
            <w:pPr>
              <w:spacing w:after="0"/>
              <w:rPr>
                <w:sz w:val="8"/>
                <w:szCs w:val="8"/>
                <w:color w:val="auto"/>
              </w:rPr>
            </w:pPr>
          </w:p>
        </w:tc>
        <w:tc>
          <w:tcPr>
            <w:tcW w:w="49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9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(1,087)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90" w:type="dxa"/>
            <w:vAlign w:val="bottom"/>
          </w:tcPr>
          <w:p>
            <w:pPr>
              <w:spacing w:after="0"/>
              <w:rPr>
                <w:sz w:val="19"/>
                <w:szCs w:val="19"/>
                <w:color w:val="auto"/>
              </w:rPr>
            </w:pPr>
          </w:p>
        </w:tc>
        <w:tc>
          <w:tcPr>
            <w:tcW w:w="1010" w:type="dxa"/>
            <w:vAlign w:val="bottom"/>
            <w:gridSpan w:val="3"/>
          </w:tcPr>
          <w:p>
            <w:pPr>
              <w:jc w:val="right"/>
              <w:ind w:right="460"/>
              <w:spacing w:after="0"/>
              <w:rPr>
                <w:sz w:val="20"/>
                <w:szCs w:val="20"/>
                <w:color w:val="auto"/>
              </w:rPr>
            </w:pPr>
            <w:r>
              <w:rPr>
                <w:rFonts w:ascii="Arial" w:cs="Arial" w:eastAsia="Arial" w:hAnsi="Arial"/>
                <w:sz w:val="18"/>
                <w:szCs w:val="18"/>
                <w:color w:val="auto"/>
              </w:rPr>
              <w:t>(332)</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369</w:t>
            </w:r>
          </w:p>
        </w:tc>
        <w:tc>
          <w:tcPr>
            <w:tcW w:w="5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8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90" w:type="dxa"/>
            <w:vAlign w:val="bottom"/>
          </w:tcPr>
          <w:p>
            <w:pPr>
              <w:spacing w:after="0"/>
              <w:rPr>
                <w:sz w:val="8"/>
                <w:szCs w:val="8"/>
                <w:color w:val="auto"/>
              </w:rPr>
            </w:pPr>
          </w:p>
        </w:tc>
        <w:tc>
          <w:tcPr>
            <w:tcW w:w="49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(718)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49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80" w:type="dxa"/>
            <w:vAlign w:val="bottom"/>
          </w:tcPr>
          <w:p>
            <w:pPr>
              <w:spacing w:after="0"/>
              <w:rPr>
                <w:sz w:val="9"/>
                <w:szCs w:val="9"/>
                <w:color w:val="auto"/>
              </w:rPr>
            </w:pPr>
          </w:p>
        </w:tc>
        <w:tc>
          <w:tcPr>
            <w:tcW w:w="90" w:type="dxa"/>
            <w:vAlign w:val="bottom"/>
          </w:tcPr>
          <w:p>
            <w:pPr>
              <w:spacing w:after="0"/>
              <w:rPr>
                <w:sz w:val="9"/>
                <w:szCs w:val="9"/>
                <w:color w:val="auto"/>
              </w:rPr>
            </w:pPr>
          </w:p>
        </w:tc>
        <w:tc>
          <w:tcPr>
            <w:tcW w:w="49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share:</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(0.06)</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49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80" w:type="dxa"/>
            <w:vAlign w:val="bottom"/>
          </w:tcPr>
          <w:p>
            <w:pPr>
              <w:spacing w:after="0"/>
              <w:rPr>
                <w:sz w:val="9"/>
                <w:szCs w:val="9"/>
                <w:color w:val="auto"/>
              </w:rPr>
            </w:pPr>
          </w:p>
        </w:tc>
        <w:tc>
          <w:tcPr>
            <w:tcW w:w="90" w:type="dxa"/>
            <w:vAlign w:val="bottom"/>
          </w:tcPr>
          <w:p>
            <w:pPr>
              <w:spacing w:after="0"/>
              <w:rPr>
                <w:sz w:val="9"/>
                <w:szCs w:val="9"/>
                <w:color w:val="auto"/>
              </w:rPr>
            </w:pPr>
          </w:p>
        </w:tc>
        <w:tc>
          <w:tcPr>
            <w:tcW w:w="49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(0.06)</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49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-629285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-629285</wp:posOffset>
            </wp:positionV>
            <wp:extent cx="2159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-629285</wp:posOffset>
            </wp:positionV>
            <wp:extent cx="3873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-629285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-629285</wp:posOffset>
            </wp:positionV>
            <wp:extent cx="3873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-629285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-629285</wp:posOffset>
            </wp:positionV>
            <wp:extent cx="2159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-629285</wp:posOffset>
            </wp:positionV>
            <wp:extent cx="3873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-629285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-629285</wp:posOffset>
            </wp:positionV>
            <wp:extent cx="38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-329565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-329565</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-329565</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-329565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-329565</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-329565</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-29210</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BASSETT FURNITURE INDUSTRIES, INC.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Income (Loss)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(Stated in thousands of dollars except for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4"/>
          </w:tcPr>
          <w:p>
            <w:pPr>
              <w:jc w:val="right"/>
              <w:ind w:right="980"/>
              <w:spacing w:after="0"/>
              <w:rPr>
                <w:sz w:val="20"/>
                <w:szCs w:val="20"/>
                <w:color w:val="auto"/>
              </w:rPr>
            </w:pPr>
            <w:r>
              <w:rPr>
                <w:rFonts w:ascii="Arial" w:cs="Arial" w:eastAsia="Arial" w:hAnsi="Arial"/>
                <w:sz w:val="14"/>
                <w:szCs w:val="14"/>
                <w:color w:val="auto"/>
              </w:rPr>
              <w:t>39 Weeks Ended</w:t>
            </w:r>
          </w:p>
        </w:tc>
        <w:tc>
          <w:tcPr>
            <w:tcW w:w="100" w:type="dxa"/>
            <w:vAlign w:val="bottom"/>
          </w:tcPr>
          <w:p>
            <w:pPr>
              <w:spacing w:after="0"/>
              <w:rPr>
                <w:sz w:val="14"/>
                <w:szCs w:val="14"/>
                <w:color w:val="auto"/>
              </w:rPr>
            </w:pPr>
          </w:p>
        </w:tc>
        <w:tc>
          <w:tcPr>
            <w:tcW w:w="1800" w:type="dxa"/>
            <w:vAlign w:val="bottom"/>
            <w:gridSpan w:val="4"/>
          </w:tcPr>
          <w:p>
            <w:pPr>
              <w:jc w:val="right"/>
              <w:ind w:right="580"/>
              <w:spacing w:after="0"/>
              <w:rPr>
                <w:sz w:val="20"/>
                <w:szCs w:val="20"/>
                <w:color w:val="auto"/>
              </w:rPr>
            </w:pPr>
            <w:r>
              <w:rPr>
                <w:rFonts w:ascii="Arial" w:cs="Arial" w:eastAsia="Arial" w:hAnsi="Arial"/>
                <w:sz w:val="14"/>
                <w:szCs w:val="14"/>
                <w:color w:val="auto"/>
              </w:rPr>
              <w:t>40 Weeks Ended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4"/>
          </w:tcPr>
          <w:p>
            <w:pPr>
              <w:jc w:val="right"/>
              <w:ind w:right="980"/>
              <w:spacing w:after="0"/>
              <w:rPr>
                <w:sz w:val="20"/>
                <w:szCs w:val="20"/>
                <w:color w:val="auto"/>
              </w:rPr>
            </w:pPr>
            <w:r>
              <w:rPr>
                <w:rFonts w:ascii="Arial" w:cs="Arial" w:eastAsia="Arial" w:hAnsi="Arial"/>
                <w:sz w:val="14"/>
                <w:szCs w:val="14"/>
                <w:color w:val="auto"/>
              </w:rPr>
              <w:t>August 30, 2003</w:t>
            </w:r>
          </w:p>
        </w:tc>
        <w:tc>
          <w:tcPr>
            <w:tcW w:w="100" w:type="dxa"/>
            <w:vAlign w:val="bottom"/>
          </w:tcPr>
          <w:p>
            <w:pPr>
              <w:spacing w:after="0"/>
              <w:rPr>
                <w:sz w:val="14"/>
                <w:szCs w:val="14"/>
                <w:color w:val="auto"/>
              </w:rPr>
            </w:pPr>
          </w:p>
        </w:tc>
        <w:tc>
          <w:tcPr>
            <w:tcW w:w="1800" w:type="dxa"/>
            <w:vAlign w:val="bottom"/>
            <w:gridSpan w:val="4"/>
          </w:tcPr>
          <w:p>
            <w:pPr>
              <w:jc w:val="right"/>
              <w:ind w:right="580"/>
              <w:spacing w:after="0"/>
              <w:rPr>
                <w:sz w:val="20"/>
                <w:szCs w:val="20"/>
                <w:color w:val="auto"/>
              </w:rPr>
            </w:pPr>
            <w:r>
              <w:rPr>
                <w:rFonts w:ascii="Arial" w:cs="Arial" w:eastAsia="Arial" w:hAnsi="Arial"/>
                <w:sz w:val="14"/>
                <w:szCs w:val="14"/>
                <w:color w:val="auto"/>
              </w:rPr>
              <w:t>August 31,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color w:val="auto"/>
                <w:w w:val="84"/>
              </w:rPr>
              <w:t>Percent of</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w w:val="84"/>
              </w:rPr>
              <w:t>Percent of</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4"/>
                <w:szCs w:val="14"/>
                <w:color w:val="auto"/>
                <w:w w:val="95"/>
              </w:rPr>
              <w:t>Amount</w:t>
            </w:r>
          </w:p>
        </w:tc>
        <w:tc>
          <w:tcPr>
            <w:tcW w:w="1120" w:type="dxa"/>
            <w:vAlign w:val="bottom"/>
            <w:gridSpan w:val="2"/>
          </w:tcPr>
          <w:p>
            <w:pPr>
              <w:jc w:val="right"/>
              <w:ind w:right="580"/>
              <w:spacing w:after="0"/>
              <w:rPr>
                <w:sz w:val="20"/>
                <w:szCs w:val="20"/>
                <w:color w:val="auto"/>
              </w:rPr>
            </w:pPr>
            <w:r>
              <w:rPr>
                <w:rFonts w:ascii="Arial" w:cs="Arial" w:eastAsia="Arial" w:hAnsi="Arial"/>
                <w:sz w:val="14"/>
                <w:szCs w:val="14"/>
                <w:color w:val="auto"/>
                <w:w w:val="85"/>
              </w:rPr>
              <w:t>Net Sales</w:t>
            </w:r>
          </w:p>
        </w:tc>
        <w:tc>
          <w:tcPr>
            <w:tcW w:w="100" w:type="dxa"/>
            <w:vAlign w:val="bottom"/>
          </w:tcPr>
          <w:p>
            <w:pPr>
              <w:spacing w:after="0"/>
              <w:rPr>
                <w:sz w:val="14"/>
                <w:szCs w:val="14"/>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4"/>
                <w:szCs w:val="14"/>
                <w:color w:val="auto"/>
                <w:w w:val="91"/>
              </w:rPr>
              <w:t>Amount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w w:val="85"/>
              </w:rPr>
              <w:t>Net Sales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219,245</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244,059</w:t>
            </w: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172,639</w:t>
            </w:r>
          </w:p>
        </w:tc>
        <w:tc>
          <w:tcPr>
            <w:tcW w:w="50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192,298</w:t>
            </w:r>
          </w:p>
        </w:tc>
        <w:tc>
          <w:tcPr>
            <w:tcW w:w="5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46,606</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51,761</w:t>
            </w: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45,757</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45,020</w:t>
            </w: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Restructuring and impaired fixed asset charges</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3,200</w:t>
            </w:r>
          </w:p>
        </w:tc>
        <w:tc>
          <w:tcPr>
            <w:tcW w:w="50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1,251</w:t>
            </w:r>
          </w:p>
        </w:tc>
        <w:tc>
          <w:tcPr>
            <w:tcW w:w="5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48,957</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46,271</w:t>
            </w: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(2,351)</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w:t>
            </w: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3,772</w:t>
            </w:r>
          </w:p>
        </w:tc>
        <w:tc>
          <w:tcPr>
            <w:tcW w:w="50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1,817</w:t>
            </w:r>
          </w:p>
        </w:tc>
        <w:tc>
          <w:tcPr>
            <w:tcW w:w="5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7,307</w:t>
            </w: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(2,233)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5,074</w:t>
            </w: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-629285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-629285</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-629285</wp:posOffset>
            </wp:positionV>
            <wp:extent cx="3873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-629285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-629285</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-629285</wp:posOffset>
            </wp:positionV>
            <wp:extent cx="46736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-629285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-629285</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-329565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-329565</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-329565</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-329565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-329565</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-329565</wp:posOffset>
            </wp:positionV>
            <wp:extent cx="3873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-29210</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-29210</wp:posOffset>
            </wp:positionV>
            <wp:extent cx="3873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BASSETT FURNITURE INDUSTRIES, INC.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(Stated in thousands of dollars except for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ind w:left="20"/>
              <w:spacing w:after="0"/>
              <w:rPr>
                <w:sz w:val="20"/>
                <w:szCs w:val="20"/>
                <w:color w:val="auto"/>
              </w:rPr>
            </w:pPr>
            <w:r>
              <w:rPr>
                <w:rFonts w:ascii="Arial" w:cs="Arial" w:eastAsia="Arial" w:hAnsi="Arial"/>
                <w:sz w:val="14"/>
                <w:szCs w:val="14"/>
                <w:color w:val="auto"/>
              </w:rPr>
              <w:t>(Unaudited)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color w:val="auto"/>
              </w:rPr>
              <w:t>August 30, 2003</w:t>
            </w:r>
          </w:p>
        </w:tc>
        <w:tc>
          <w:tcPr>
            <w:tcW w:w="1100" w:type="dxa"/>
            <w:vAlign w:val="bottom"/>
            <w:gridSpan w:val="4"/>
          </w:tcPr>
          <w:p>
            <w:pPr>
              <w:ind w:left="20"/>
              <w:spacing w:after="0"/>
              <w:rPr>
                <w:sz w:val="20"/>
                <w:szCs w:val="20"/>
                <w:color w:val="auto"/>
              </w:rPr>
            </w:pPr>
            <w:r>
              <w:rPr>
                <w:rFonts w:ascii="Arial" w:cs="Arial" w:eastAsia="Arial" w:hAnsi="Arial"/>
                <w:sz w:val="14"/>
                <w:szCs w:val="14"/>
                <w:color w:val="auto"/>
                <w:w w:val="86"/>
              </w:rPr>
              <w:t>November 30,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6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5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9,751</w:t>
            </w:r>
          </w:p>
        </w:tc>
        <w:tc>
          <w:tcPr>
            <w:tcW w:w="7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ind w:left="420"/>
              <w:spacing w:after="0"/>
              <w:rPr>
                <w:sz w:val="20"/>
                <w:szCs w:val="20"/>
                <w:color w:val="auto"/>
              </w:rPr>
            </w:pPr>
            <w:r>
              <w:rPr>
                <w:rFonts w:ascii="Arial" w:cs="Arial" w:eastAsia="Arial" w:hAnsi="Arial"/>
                <w:sz w:val="18"/>
                <w:szCs w:val="18"/>
                <w:color w:val="auto"/>
              </w:rPr>
              <w:t>Accounts receivable,net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47,055</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44,806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37,263</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ind w:left="420"/>
              <w:spacing w:after="0"/>
              <w:rPr>
                <w:sz w:val="20"/>
                <w:szCs w:val="20"/>
                <w:color w:val="auto"/>
              </w:rPr>
            </w:pPr>
            <w:r>
              <w:rPr>
                <w:rFonts w:ascii="Arial" w:cs="Arial" w:eastAsia="Arial" w:hAnsi="Arial"/>
                <w:sz w:val="18"/>
                <w:szCs w:val="18"/>
                <w:color w:val="auto"/>
              </w:rPr>
              <w:t>Refundable income taxes</w:t>
            </w:r>
          </w:p>
        </w:tc>
        <w:tc>
          <w:tcPr>
            <w:tcW w:w="100" w:type="dxa"/>
            <w:vAlign w:val="bottom"/>
          </w:tcPr>
          <w:p>
            <w:pPr>
              <w:spacing w:after="0"/>
              <w:rPr>
                <w:sz w:val="18"/>
                <w:szCs w:val="18"/>
                <w:color w:val="auto"/>
              </w:rPr>
            </w:pPr>
          </w:p>
        </w:tc>
        <w:tc>
          <w:tcPr>
            <w:tcW w:w="15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ind w:left="420"/>
              <w:spacing w:after="0"/>
              <w:rPr>
                <w:sz w:val="20"/>
                <w:szCs w:val="20"/>
                <w:color w:val="auto"/>
              </w:rPr>
            </w:pPr>
            <w:r>
              <w:rPr>
                <w:rFonts w:ascii="Arial" w:cs="Arial" w:eastAsia="Arial" w:hAnsi="Arial"/>
                <w:sz w:val="18"/>
                <w:szCs w:val="18"/>
                <w:color w:val="auto"/>
              </w:rPr>
              <w:t>Net assets held for sale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2,244</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103,151</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Property and equipment, net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82,645</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ind w:left="42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62,671</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63,248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Investment in unconsolidated affiliated companies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2,517</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Notes receivable, net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15,949</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gridSpan w:val="3"/>
          </w:tcPr>
          <w:p>
            <w:pPr>
              <w:ind w:left="42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8,319</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93,875</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279,671</w:t>
            </w:r>
          </w:p>
        </w:tc>
        <w:tc>
          <w:tcPr>
            <w:tcW w:w="7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60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6"/>
              </w:rPr>
              <w:t>LIABILITIES AND STOCKHOLDERS’ EQUITY</w:t>
            </w:r>
          </w:p>
        </w:tc>
        <w:tc>
          <w:tcPr>
            <w:tcW w:w="5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13,418</w:t>
            </w:r>
          </w:p>
        </w:tc>
        <w:tc>
          <w:tcPr>
            <w:tcW w:w="7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gridSpan w:val="3"/>
          </w:tcPr>
          <w:p>
            <w:pPr>
              <w:ind w:left="42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17,474</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30,892</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tcPr>
          <w:p>
            <w:pPr>
              <w:ind w:left="420"/>
              <w:spacing w:after="0"/>
              <w:rPr>
                <w:sz w:val="20"/>
                <w:szCs w:val="20"/>
                <w:color w:val="auto"/>
              </w:rPr>
            </w:pPr>
            <w:r>
              <w:rPr>
                <w:rFonts w:ascii="Arial" w:cs="Arial" w:eastAsia="Arial" w:hAnsi="Arial"/>
                <w:sz w:val="18"/>
                <w:szCs w:val="18"/>
                <w:color w:val="auto"/>
              </w:rPr>
              <w:t>Employee benefits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9,983</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gridSpan w:val="3"/>
          </w:tcPr>
          <w:p>
            <w:pPr>
              <w:ind w:left="420"/>
              <w:spacing w:after="0"/>
              <w:rPr>
                <w:sz w:val="20"/>
                <w:szCs w:val="20"/>
                <w:color w:val="auto"/>
              </w:rPr>
            </w:pPr>
            <w:r>
              <w:rPr>
                <w:rFonts w:ascii="Arial" w:cs="Arial" w:eastAsia="Arial" w:hAnsi="Arial"/>
                <w:sz w:val="18"/>
                <w:szCs w:val="18"/>
                <w:color w:val="auto"/>
              </w:rPr>
              <w:t>Distributions in excess of affiliate earnings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15,089</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25,072</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80" w:type="dxa"/>
            <w:vAlign w:val="bottom"/>
            <w:gridSpan w:val="3"/>
          </w:tcPr>
          <w:p>
            <w:pPr>
              <w:ind w:left="420"/>
              <w:spacing w:after="0"/>
              <w:rPr>
                <w:sz w:val="20"/>
                <w:szCs w:val="20"/>
                <w:color w:val="auto"/>
              </w:rPr>
            </w:pPr>
            <w:r>
              <w:rPr>
                <w:rFonts w:ascii="Arial" w:cs="Arial" w:eastAsia="Arial" w:hAnsi="Arial"/>
                <w:sz w:val="18"/>
                <w:szCs w:val="18"/>
                <w:color w:val="auto"/>
                <w:w w:val="97"/>
              </w:rPr>
              <w:t>Common stock, par value $5 a share, 50,000,000 shares authorized, issued and outstanding – 11,589,691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60" w:type="dxa"/>
            <w:vAlign w:val="bottom"/>
            <w:gridSpan w:val="2"/>
          </w:tcPr>
          <w:p>
            <w:pPr>
              <w:ind w:left="20"/>
              <w:spacing w:after="0"/>
              <w:rPr>
                <w:sz w:val="20"/>
                <w:szCs w:val="20"/>
                <w:color w:val="auto"/>
              </w:rPr>
            </w:pPr>
            <w:r>
              <w:rPr>
                <w:rFonts w:ascii="Arial" w:cs="Arial" w:eastAsia="Arial" w:hAnsi="Arial"/>
                <w:sz w:val="18"/>
                <w:szCs w:val="18"/>
                <w:color w:val="auto"/>
              </w:rPr>
              <w:t>in 2003 and 11,660,587 in 2002</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57,948</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58,303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163,604</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gridSpan w:val="3"/>
          </w:tcPr>
          <w:p>
            <w:pPr>
              <w:ind w:left="420"/>
              <w:spacing w:after="0"/>
              <w:rPr>
                <w:sz w:val="20"/>
                <w:szCs w:val="20"/>
                <w:color w:val="auto"/>
              </w:rPr>
            </w:pPr>
            <w:r>
              <w:rPr>
                <w:rFonts w:ascii="Arial" w:cs="Arial" w:eastAsia="Arial" w:hAnsi="Arial"/>
                <w:sz w:val="18"/>
                <w:szCs w:val="18"/>
                <w:color w:val="auto"/>
              </w:rPr>
              <w:t>Accumulated other comprehensive income – unrealized holding gains, net of tax</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2,155</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223,707</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279,671</w:t>
            </w:r>
          </w:p>
        </w:tc>
        <w:tc>
          <w:tcPr>
            <w:tcW w:w="7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-3399790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-3399790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-3399790</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-3399790</wp:posOffset>
            </wp:positionV>
            <wp:extent cx="68135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1355"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BASSETT FURNITURE INDUSTRIES, INC.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(Stated in thousands of dollars)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color w:val="auto"/>
              </w:rPr>
              <w:t>39 Weeks Ended</w:t>
            </w:r>
          </w:p>
        </w:tc>
        <w:tc>
          <w:tcPr>
            <w:tcW w:w="1000" w:type="dxa"/>
            <w:vAlign w:val="bottom"/>
            <w:gridSpan w:val="3"/>
          </w:tcPr>
          <w:p>
            <w:pPr>
              <w:spacing w:after="0"/>
              <w:rPr>
                <w:sz w:val="20"/>
                <w:szCs w:val="20"/>
                <w:color w:val="auto"/>
              </w:rPr>
            </w:pPr>
            <w:r>
              <w:rPr>
                <w:rFonts w:ascii="Arial" w:cs="Arial" w:eastAsia="Arial" w:hAnsi="Arial"/>
                <w:sz w:val="14"/>
                <w:szCs w:val="14"/>
                <w:color w:val="auto"/>
                <w:w w:val="91"/>
              </w:rPr>
              <w:t>40 Weeks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right"/>
              <w:ind w:right="1060"/>
              <w:spacing w:after="0" w:line="149" w:lineRule="exact"/>
              <w:rPr>
                <w:sz w:val="20"/>
                <w:szCs w:val="20"/>
                <w:color w:val="auto"/>
              </w:rPr>
            </w:pPr>
            <w:r>
              <w:rPr>
                <w:rFonts w:ascii="Arial" w:cs="Arial" w:eastAsia="Arial" w:hAnsi="Arial"/>
                <w:sz w:val="14"/>
                <w:szCs w:val="14"/>
                <w:color w:val="auto"/>
                <w:w w:val="89"/>
              </w:rPr>
              <w:t>August 30,</w:t>
            </w:r>
          </w:p>
        </w:tc>
        <w:tc>
          <w:tcPr>
            <w:tcW w:w="12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9"/>
              </w:rPr>
              <w:t>August 31,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233"/>
              <w:spacing w:after="0"/>
              <w:rPr>
                <w:sz w:val="20"/>
                <w:szCs w:val="20"/>
                <w:color w:val="auto"/>
              </w:rPr>
            </w:pPr>
            <w:r>
              <w:rPr>
                <w:rFonts w:ascii="Arial" w:cs="Arial" w:eastAsia="Arial" w:hAnsi="Arial"/>
                <w:sz w:val="14"/>
                <w:szCs w:val="14"/>
                <w:color w:val="auto"/>
              </w:rPr>
              <w:t>2003</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233"/>
              <w:spacing w:after="0"/>
              <w:rPr>
                <w:sz w:val="20"/>
                <w:szCs w:val="20"/>
                <w:color w:val="auto"/>
              </w:rPr>
            </w:pPr>
            <w:r>
              <w:rPr>
                <w:rFonts w:ascii="Arial" w:cs="Arial" w:eastAsia="Arial" w:hAnsi="Arial"/>
                <w:sz w:val="14"/>
                <w:szCs w:val="14"/>
                <w:color w:val="auto"/>
              </w:rPr>
              <w:t>2002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1,420</w:t>
            </w:r>
          </w:p>
        </w:tc>
        <w:tc>
          <w:tcPr>
            <w:tcW w:w="9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7,732</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undistributed income of investments</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(5,998)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Provision for write-down of property and equipment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1,530</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write-down of notes receivable</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Net gain from sales of investment securities</w:t>
            </w:r>
          </w:p>
        </w:tc>
        <w:tc>
          <w:tcPr>
            <w:tcW w:w="120" w:type="dxa"/>
            <w:vAlign w:val="bottom"/>
          </w:tcPr>
          <w:p>
            <w:pPr>
              <w:spacing w:after="0"/>
              <w:rPr>
                <w:sz w:val="18"/>
                <w:szCs w:val="18"/>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gain from sales of property and equipment</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Compensation earned under restricted stock and stock option plans</w:t>
            </w:r>
          </w:p>
        </w:tc>
        <w:tc>
          <w:tcPr>
            <w:tcW w:w="120" w:type="dxa"/>
            <w:vAlign w:val="bottom"/>
          </w:tcPr>
          <w:p>
            <w:pPr>
              <w:spacing w:after="0"/>
              <w:rPr>
                <w:sz w:val="18"/>
                <w:szCs w:val="18"/>
                <w:color w:val="auto"/>
              </w:rPr>
            </w:pPr>
          </w:p>
        </w:tc>
        <w:tc>
          <w:tcPr>
            <w:tcW w:w="168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Changes in employee benefit liabilities</w:t>
            </w:r>
          </w:p>
        </w:tc>
        <w:tc>
          <w:tcPr>
            <w:tcW w:w="120" w:type="dxa"/>
            <w:vAlign w:val="bottom"/>
          </w:tcPr>
          <w:p>
            <w:pPr>
              <w:spacing w:after="0"/>
              <w:rPr>
                <w:sz w:val="18"/>
                <w:szCs w:val="18"/>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 exclusive of assets and liabilities acquired in a business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combination:</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860"/>
              <w:spacing w:after="0"/>
              <w:rPr>
                <w:sz w:val="20"/>
                <w:szCs w:val="20"/>
                <w:color w:val="auto"/>
              </w:rPr>
            </w:pPr>
            <w:r>
              <w:rPr>
                <w:rFonts w:ascii="Arial" w:cs="Arial" w:eastAsia="Arial" w:hAnsi="Arial"/>
                <w:sz w:val="18"/>
                <w:szCs w:val="18"/>
                <w:color w:val="auto"/>
              </w:rPr>
              <w:t>Trade accounts receivable</w:t>
            </w:r>
          </w:p>
        </w:tc>
        <w:tc>
          <w:tcPr>
            <w:tcW w:w="120" w:type="dxa"/>
            <w:vAlign w:val="bottom"/>
          </w:tcPr>
          <w:p>
            <w:pPr>
              <w:spacing w:after="0"/>
              <w:rPr>
                <w:sz w:val="18"/>
                <w:szCs w:val="18"/>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8"/>
                <w:szCs w:val="18"/>
                <w:color w:val="auto"/>
              </w:rPr>
              <w:t>(2,249)</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6,186</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860"/>
              <w:spacing w:after="0"/>
              <w:rPr>
                <w:sz w:val="20"/>
                <w:szCs w:val="20"/>
                <w:color w:val="auto"/>
              </w:rPr>
            </w:pPr>
            <w:r>
              <w:rPr>
                <w:rFonts w:ascii="Arial" w:cs="Arial" w:eastAsia="Arial" w:hAnsi="Arial"/>
                <w:sz w:val="18"/>
                <w:szCs w:val="18"/>
                <w:color w:val="auto"/>
              </w:rPr>
              <w:t>Refundable income taxes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3,536</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0" w:type="dxa"/>
            <w:vAlign w:val="bottom"/>
          </w:tcPr>
          <w:p>
            <w:pPr>
              <w:ind w:left="860"/>
              <w:spacing w:after="0"/>
              <w:rPr>
                <w:sz w:val="20"/>
                <w:szCs w:val="20"/>
                <w:color w:val="auto"/>
              </w:rPr>
            </w:pPr>
            <w:r>
              <w:rPr>
                <w:rFonts w:ascii="Arial" w:cs="Arial" w:eastAsia="Arial" w:hAnsi="Arial"/>
                <w:sz w:val="18"/>
                <w:szCs w:val="18"/>
                <w:color w:val="auto"/>
              </w:rPr>
              <w:t>Accounts payable and accrued liabilities</w:t>
            </w:r>
          </w:p>
        </w:tc>
        <w:tc>
          <w:tcPr>
            <w:tcW w:w="120" w:type="dxa"/>
            <w:vAlign w:val="bottom"/>
          </w:tcPr>
          <w:p>
            <w:pPr>
              <w:spacing w:after="0"/>
              <w:rPr>
                <w:sz w:val="19"/>
                <w:szCs w:val="19"/>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8"/>
                <w:szCs w:val="18"/>
                <w:color w:val="auto"/>
              </w:rPr>
              <w:t>(3,252)</w:t>
            </w:r>
          </w:p>
        </w:tc>
        <w:tc>
          <w:tcPr>
            <w:tcW w:w="1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(3,291)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13,647</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tcPr>
          <w:p>
            <w:pPr>
              <w:spacing w:after="0"/>
              <w:rPr>
                <w:sz w:val="18"/>
                <w:szCs w:val="18"/>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8"/>
                <w:szCs w:val="18"/>
                <w:color w:val="auto"/>
              </w:rPr>
              <w:t>(4,497)</w:t>
            </w: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sales of property and equipment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Proceeds from sales of investment securities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17,000</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from investments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5,154</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Purchases of investment securities</w:t>
            </w:r>
          </w:p>
        </w:tc>
        <w:tc>
          <w:tcPr>
            <w:tcW w:w="120" w:type="dxa"/>
            <w:vAlign w:val="bottom"/>
          </w:tcPr>
          <w:p>
            <w:pPr>
              <w:spacing w:after="0"/>
              <w:rPr>
                <w:sz w:val="18"/>
                <w:szCs w:val="18"/>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8"/>
                <w:szCs w:val="18"/>
                <w:color w:val="auto"/>
              </w:rPr>
              <w:t>(12,000)</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 in unconsolidated affiliated companies</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19"/>
                <w:szCs w:val="19"/>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investing activities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Repayments under revolving credit arrangement, net</w:t>
            </w:r>
          </w:p>
        </w:tc>
        <w:tc>
          <w:tcPr>
            <w:tcW w:w="120" w:type="dxa"/>
            <w:vAlign w:val="bottom"/>
          </w:tcPr>
          <w:p>
            <w:pPr>
              <w:spacing w:after="0"/>
              <w:rPr>
                <w:sz w:val="18"/>
                <w:szCs w:val="18"/>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stock, net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Repurchases of common stock</w:t>
            </w:r>
          </w:p>
        </w:tc>
        <w:tc>
          <w:tcPr>
            <w:tcW w:w="120" w:type="dxa"/>
            <w:vAlign w:val="bottom"/>
          </w:tcPr>
          <w:p>
            <w:pPr>
              <w:spacing w:after="0"/>
              <w:rPr>
                <w:sz w:val="18"/>
                <w:szCs w:val="18"/>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8"/>
                <w:szCs w:val="18"/>
                <w:color w:val="auto"/>
              </w:rPr>
              <w:t>(1,191)</w:t>
            </w: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dividends</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(6,947)</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(7,030)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financing activities</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(10,960)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(15,808)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8,380</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9,751</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-29210</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3873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2019-12-20T17:00:15Z</dcterms:created>
  <dcterms:modified xsi:type="dcterms:W3CDTF">2019-12-20T17:00:15Z</dcterms:modified>
</cp:coreProperties>
</file>