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60"/>
        <w:spacing w:after="0"/>
        <w:rPr>
          <w:sz w:val="20"/>
          <w:szCs w:val="20"/>
          <w:color w:val="auto"/>
        </w:rPr>
      </w:pPr>
      <w:r>
        <w:rPr>
          <w:rFonts w:ascii="Courier New" w:cs="Courier New" w:eastAsia="Courier New" w:hAnsi="Courier New"/>
          <w:sz w:val="18"/>
          <w:szCs w:val="18"/>
          <w:color w:val="auto"/>
        </w:rPr>
        <w:t>UNITED STATES</w:t>
      </w:r>
    </w:p>
    <w:p>
      <w:pPr>
        <w:ind w:left="22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(Amendment No.__1__)*</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Bassett Furniture Industries, Incorporated</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07020310</w:t>
      </w:r>
    </w:p>
    <w:p>
      <w:pPr>
        <w:ind w:left="2200"/>
        <w:spacing w:after="0" w:line="238" w:lineRule="auto"/>
        <w:rPr>
          <w:sz w:val="20"/>
          <w:szCs w:val="20"/>
          <w:color w:val="auto"/>
        </w:rPr>
      </w:pPr>
      <w:r>
        <w:rPr>
          <w:rFonts w:ascii="Courier New" w:cs="Courier New" w:eastAsia="Courier New" w:hAnsi="Courier New"/>
          <w:sz w:val="18"/>
          <w:szCs w:val="18"/>
          <w:color w:val="auto"/>
        </w:rPr>
        <w:t>----------------------------------</w:t>
      </w:r>
    </w:p>
    <w:p>
      <w:pPr>
        <w:ind w:left="32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/__/. (A fee is not required only if the filing person: (1) has a previous statement on file reporting beneficial ownership of more than five percent of the class of securities described in Item l; and (2) has filed no amendment subsequent thereto reporting beneficial ownership of five percent or less of such class.) (See Rule 13d-7).</w:t>
      </w:r>
    </w:p>
    <w:p>
      <w:pPr>
        <w:spacing w:after="0" w:line="2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tabs>
          <w:tab w:leader="none" w:pos="302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1 of 8 pages</w:t>
      </w:r>
    </w:p>
    <w:p>
      <w:pPr>
        <w:sectPr>
          <w:pgSz w:w="11900" w:h="16838" w:orient="portrait"/>
          <w:cols w:equalWidth="0" w:num="1">
            <w:col w:w="9679"/>
          </w:cols>
          <w:pgMar w:left="780" w:top="852" w:right="1440" w:bottom="1440" w:gutter="0" w:footer="0" w:header="0"/>
        </w:sectPr>
      </w:pPr>
    </w:p>
    <w:bookmarkStart w:id="1" w:name="page2"/>
    <w:bookmarkEnd w:id="1"/>
    <w:p>
      <w:pPr>
        <w:ind w:left="5"/>
        <w:spacing w:after="0"/>
        <w:tabs>
          <w:tab w:leader="none" w:pos="3765" w:val="left"/>
          <w:tab w:leader="none" w:pos="6085"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00" w:lineRule="exact"/>
        <w:rPr>
          <w:sz w:val="20"/>
          <w:szCs w:val="20"/>
          <w:color w:val="auto"/>
        </w:rPr>
      </w:pPr>
    </w:p>
    <w:p>
      <w:pPr>
        <w:spacing w:after="0" w:line="204" w:lineRule="exact"/>
        <w:rPr>
          <w:sz w:val="20"/>
          <w:szCs w:val="20"/>
          <w:color w:val="auto"/>
        </w:rPr>
      </w:pPr>
    </w:p>
    <w:p>
      <w:pPr>
        <w:ind w:left="945" w:hanging="840"/>
        <w:spacing w:after="0"/>
        <w:tabs>
          <w:tab w:leader="none" w:pos="94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785"/>
        <w:spacing w:after="0"/>
        <w:rPr>
          <w:sz w:val="20"/>
          <w:szCs w:val="20"/>
          <w:color w:val="auto"/>
        </w:rPr>
      </w:pPr>
      <w:r>
        <w:rPr>
          <w:rFonts w:ascii="Courier New" w:cs="Courier New" w:eastAsia="Courier New" w:hAnsi="Courier New"/>
          <w:sz w:val="18"/>
          <w:szCs w:val="18"/>
          <w:color w:val="auto"/>
        </w:rPr>
        <w:t>Mitchell Hutchins Asset Management Inc.</w:t>
      </w:r>
    </w:p>
    <w:p>
      <w:pPr>
        <w:ind w:left="1785"/>
        <w:spacing w:after="0" w:line="238" w:lineRule="auto"/>
        <w:rPr>
          <w:sz w:val="20"/>
          <w:szCs w:val="20"/>
          <w:color w:val="auto"/>
        </w:rPr>
      </w:pPr>
      <w:r>
        <w:rPr>
          <w:rFonts w:ascii="Courier New" w:cs="Courier New" w:eastAsia="Courier New" w:hAnsi="Courier New"/>
          <w:sz w:val="18"/>
          <w:szCs w:val="18"/>
          <w:color w:val="auto"/>
        </w:rPr>
        <w:t>IRS ID No.: 13-2895752</w:t>
      </w:r>
    </w:p>
    <w:p>
      <w:pPr>
        <w:spacing w:after="0" w:line="202" w:lineRule="exact"/>
        <w:rPr>
          <w:sz w:val="20"/>
          <w:szCs w:val="20"/>
          <w:color w:val="auto"/>
        </w:rPr>
      </w:pPr>
    </w:p>
    <w:p>
      <w:pPr>
        <w:ind w:left="945" w:hanging="840"/>
        <w:spacing w:after="0"/>
        <w:tabs>
          <w:tab w:leader="none" w:pos="94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tbl>
      <w:tblPr>
        <w:tblLayout w:type="fixed"/>
        <w:tblInd w:w="105"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410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Joint filing</w:t>
            </w:r>
          </w:p>
        </w:tc>
        <w:tc>
          <w:tcPr>
            <w:tcW w:w="200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(a)</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w:t>
            </w:r>
          </w:p>
        </w:tc>
      </w:tr>
      <w:tr>
        <w:trPr>
          <w:trHeight w:val="203"/>
        </w:trPr>
        <w:tc>
          <w:tcPr>
            <w:tcW w:w="4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00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w:t>
            </w:r>
          </w:p>
        </w:tc>
      </w:tr>
      <w:tr>
        <w:trPr>
          <w:trHeight w:val="203"/>
        </w:trPr>
        <w:tc>
          <w:tcPr>
            <w:tcW w:w="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73"/>
              </w:rPr>
              <w:t>3</w:t>
            </w:r>
          </w:p>
        </w:tc>
        <w:tc>
          <w:tcPr>
            <w:tcW w:w="4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SEC USE ONLY</w:t>
            </w:r>
          </w:p>
        </w:tc>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785" w:right="4939" w:hanging="1680"/>
        <w:spacing w:after="0" w:line="470" w:lineRule="auto"/>
        <w:tabs>
          <w:tab w:leader="none" w:pos="94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0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00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8"/>
              </w:rPr>
              <w:t>SHARES</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353,625</w:t>
            </w:r>
          </w:p>
        </w:tc>
      </w:tr>
      <w:tr>
        <w:trPr>
          <w:trHeight w:val="203"/>
        </w:trPr>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BENEFICIALLY</w:t>
            </w: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20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0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20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REPORTING</w:t>
            </w:r>
          </w:p>
        </w:tc>
        <w:tc>
          <w:tcPr>
            <w:tcW w:w="12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05"/>
        </w:trPr>
        <w:tc>
          <w:tcPr>
            <w:tcW w:w="200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8"/>
              </w:rPr>
              <w:t>PERSON</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353,625</w:t>
            </w:r>
          </w:p>
        </w:tc>
      </w:tr>
      <w:tr>
        <w:trPr>
          <w:trHeight w:val="203"/>
        </w:trPr>
        <w:tc>
          <w:tcPr>
            <w:tcW w:w="20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WITH</w:t>
            </w: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945" w:hanging="840"/>
        <w:spacing w:after="0"/>
        <w:tabs>
          <w:tab w:leader="none" w:pos="94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945" w:right="2619"/>
        <w:spacing w:after="0" w:line="235" w:lineRule="auto"/>
        <w:rPr>
          <w:sz w:val="20"/>
          <w:szCs w:val="20"/>
          <w:color w:val="auto"/>
        </w:rPr>
      </w:pPr>
      <w:r>
        <w:rPr>
          <w:rFonts w:ascii="Courier New" w:cs="Courier New" w:eastAsia="Courier New" w:hAnsi="Courier New"/>
          <w:sz w:val="18"/>
          <w:szCs w:val="18"/>
          <w:color w:val="auto"/>
        </w:rPr>
        <w:t>353,625 (Not to be construed as an admission of Beneficial ownership)</w:t>
      </w:r>
    </w:p>
    <w:p>
      <w:pPr>
        <w:spacing w:after="0" w:line="208" w:lineRule="exact"/>
        <w:rPr>
          <w:sz w:val="20"/>
          <w:szCs w:val="20"/>
          <w:color w:val="auto"/>
        </w:rPr>
      </w:pPr>
    </w:p>
    <w:p>
      <w:pPr>
        <w:ind w:left="945" w:right="2319" w:hanging="945"/>
        <w:spacing w:after="0" w:line="235" w:lineRule="auto"/>
        <w:tabs>
          <w:tab w:leader="none" w:pos="9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45" w:hanging="945"/>
        <w:spacing w:after="0"/>
        <w:tabs>
          <w:tab w:leader="none" w:pos="9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2.59</w:t>
      </w:r>
    </w:p>
    <w:p>
      <w:pPr>
        <w:spacing w:after="0" w:line="201" w:lineRule="exact"/>
        <w:rPr>
          <w:sz w:val="20"/>
          <w:szCs w:val="20"/>
          <w:color w:val="auto"/>
        </w:rPr>
      </w:pPr>
    </w:p>
    <w:p>
      <w:pPr>
        <w:ind w:left="5"/>
        <w:spacing w:after="0"/>
        <w:tabs>
          <w:tab w:leader="none" w:pos="925"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CO, BD,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
        <w:spacing w:after="0"/>
        <w:tabs>
          <w:tab w:leader="none" w:pos="3025"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2 of 8 pages</w:t>
      </w:r>
    </w:p>
    <w:p>
      <w:pPr>
        <w:sectPr>
          <w:pgSz w:w="11900" w:h="16838" w:orient="portrait"/>
          <w:cols w:equalWidth="0" w:num="1">
            <w:col w:w="9684"/>
          </w:cols>
          <w:pgMar w:left="775" w:top="1325" w:right="1440" w:bottom="1440" w:gutter="0" w:footer="0" w:header="0"/>
        </w:sectPr>
      </w:pPr>
    </w:p>
    <w:bookmarkStart w:id="2" w:name="page3"/>
    <w:bookmarkEnd w:id="2"/>
    <w:p>
      <w:pPr>
        <w:ind w:left="5"/>
        <w:spacing w:after="0"/>
        <w:tabs>
          <w:tab w:leader="none" w:pos="3765" w:val="left"/>
          <w:tab w:leader="none" w:pos="6085"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00" w:lineRule="exact"/>
        <w:rPr>
          <w:sz w:val="20"/>
          <w:szCs w:val="20"/>
          <w:color w:val="auto"/>
        </w:rPr>
      </w:pPr>
    </w:p>
    <w:p>
      <w:pPr>
        <w:spacing w:after="0" w:line="204" w:lineRule="exact"/>
        <w:rPr>
          <w:sz w:val="20"/>
          <w:szCs w:val="20"/>
          <w:color w:val="auto"/>
        </w:rPr>
      </w:pPr>
    </w:p>
    <w:p>
      <w:pPr>
        <w:ind w:left="945" w:hanging="840"/>
        <w:spacing w:after="0"/>
        <w:tabs>
          <w:tab w:leader="none" w:pos="94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785"/>
        <w:spacing w:after="0"/>
        <w:rPr>
          <w:sz w:val="20"/>
          <w:szCs w:val="20"/>
          <w:color w:val="auto"/>
        </w:rPr>
      </w:pPr>
      <w:r>
        <w:rPr>
          <w:rFonts w:ascii="Courier New" w:cs="Courier New" w:eastAsia="Courier New" w:hAnsi="Courier New"/>
          <w:sz w:val="18"/>
          <w:szCs w:val="18"/>
          <w:color w:val="auto"/>
        </w:rPr>
        <w:t>Mitchell Hutchins Institutional Investors Inc.</w:t>
      </w:r>
    </w:p>
    <w:p>
      <w:pPr>
        <w:ind w:left="1785"/>
        <w:spacing w:after="0" w:line="238" w:lineRule="auto"/>
        <w:rPr>
          <w:sz w:val="20"/>
          <w:szCs w:val="20"/>
          <w:color w:val="auto"/>
        </w:rPr>
      </w:pPr>
      <w:r>
        <w:rPr>
          <w:rFonts w:ascii="Courier New" w:cs="Courier New" w:eastAsia="Courier New" w:hAnsi="Courier New"/>
          <w:sz w:val="18"/>
          <w:szCs w:val="18"/>
          <w:color w:val="auto"/>
        </w:rPr>
        <w:t>IRS ID No.: 13-3180862</w:t>
      </w:r>
    </w:p>
    <w:p>
      <w:pPr>
        <w:spacing w:after="0" w:line="202" w:lineRule="exact"/>
        <w:rPr>
          <w:sz w:val="20"/>
          <w:szCs w:val="20"/>
          <w:color w:val="auto"/>
        </w:rPr>
      </w:pPr>
    </w:p>
    <w:p>
      <w:pPr>
        <w:ind w:left="945" w:hanging="840"/>
        <w:spacing w:after="0"/>
        <w:tabs>
          <w:tab w:leader="none" w:pos="94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tbl>
      <w:tblPr>
        <w:tblLayout w:type="fixed"/>
        <w:tblInd w:w="105"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410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Joint filing</w:t>
            </w:r>
          </w:p>
        </w:tc>
        <w:tc>
          <w:tcPr>
            <w:tcW w:w="200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(a)</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w:t>
            </w:r>
          </w:p>
        </w:tc>
      </w:tr>
      <w:tr>
        <w:trPr>
          <w:trHeight w:val="203"/>
        </w:trPr>
        <w:tc>
          <w:tcPr>
            <w:tcW w:w="4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00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(b)</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w:t>
            </w:r>
          </w:p>
        </w:tc>
      </w:tr>
      <w:tr>
        <w:trPr>
          <w:trHeight w:val="203"/>
        </w:trPr>
        <w:tc>
          <w:tcPr>
            <w:tcW w:w="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73"/>
              </w:rPr>
              <w:t>3</w:t>
            </w:r>
          </w:p>
        </w:tc>
        <w:tc>
          <w:tcPr>
            <w:tcW w:w="4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SEC USE ONLY</w:t>
            </w:r>
          </w:p>
        </w:tc>
        <w:tc>
          <w:tcPr>
            <w:tcW w:w="20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785" w:right="4939" w:hanging="1680"/>
        <w:spacing w:after="0" w:line="470" w:lineRule="auto"/>
        <w:tabs>
          <w:tab w:leader="none" w:pos="94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20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200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8"/>
              </w:rPr>
              <w:t>SHARES</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353,625</w:t>
            </w:r>
          </w:p>
        </w:tc>
      </w:tr>
      <w:tr>
        <w:trPr>
          <w:trHeight w:val="203"/>
        </w:trPr>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BENEFICIALLY</w:t>
            </w: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20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0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405"/>
        </w:trPr>
        <w:tc>
          <w:tcPr>
            <w:tcW w:w="20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REPORTING</w:t>
            </w:r>
          </w:p>
        </w:tc>
        <w:tc>
          <w:tcPr>
            <w:tcW w:w="12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05"/>
        </w:trPr>
        <w:tc>
          <w:tcPr>
            <w:tcW w:w="200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8"/>
              </w:rPr>
              <w:t>PERSON</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2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9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353,625</w:t>
            </w:r>
          </w:p>
        </w:tc>
      </w:tr>
      <w:tr>
        <w:trPr>
          <w:trHeight w:val="203"/>
        </w:trPr>
        <w:tc>
          <w:tcPr>
            <w:tcW w:w="2000" w:type="dxa"/>
            <w:vAlign w:val="bottom"/>
          </w:tcPr>
          <w:p>
            <w:pPr>
              <w:jc w:val="center"/>
              <w:ind w:right="852"/>
              <w:spacing w:after="0" w:line="203" w:lineRule="exact"/>
              <w:rPr>
                <w:sz w:val="20"/>
                <w:szCs w:val="20"/>
                <w:color w:val="auto"/>
              </w:rPr>
            </w:pPr>
            <w:r>
              <w:rPr>
                <w:rFonts w:ascii="Courier New" w:cs="Courier New" w:eastAsia="Courier New" w:hAnsi="Courier New"/>
                <w:sz w:val="18"/>
                <w:szCs w:val="18"/>
                <w:color w:val="auto"/>
                <w:w w:val="97"/>
              </w:rPr>
              <w:t>WITH</w:t>
            </w:r>
          </w:p>
        </w:tc>
        <w:tc>
          <w:tcPr>
            <w:tcW w:w="12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945" w:hanging="840"/>
        <w:spacing w:after="0"/>
        <w:tabs>
          <w:tab w:leader="none" w:pos="94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945" w:right="2619"/>
        <w:spacing w:after="0" w:line="235" w:lineRule="auto"/>
        <w:rPr>
          <w:sz w:val="20"/>
          <w:szCs w:val="20"/>
          <w:color w:val="auto"/>
        </w:rPr>
      </w:pPr>
      <w:r>
        <w:rPr>
          <w:rFonts w:ascii="Courier New" w:cs="Courier New" w:eastAsia="Courier New" w:hAnsi="Courier New"/>
          <w:sz w:val="18"/>
          <w:szCs w:val="18"/>
          <w:color w:val="auto"/>
        </w:rPr>
        <w:t>353,625 (Not to be construed as an admission of Beneficial ownership)</w:t>
      </w:r>
    </w:p>
    <w:p>
      <w:pPr>
        <w:spacing w:after="0" w:line="208" w:lineRule="exact"/>
        <w:rPr>
          <w:sz w:val="20"/>
          <w:szCs w:val="20"/>
          <w:color w:val="auto"/>
        </w:rPr>
      </w:pPr>
    </w:p>
    <w:p>
      <w:pPr>
        <w:ind w:left="945" w:right="2319" w:hanging="945"/>
        <w:spacing w:after="0" w:line="235" w:lineRule="auto"/>
        <w:tabs>
          <w:tab w:leader="none" w:pos="94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945" w:hanging="945"/>
        <w:spacing w:after="0"/>
        <w:tabs>
          <w:tab w:leader="none" w:pos="94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2.59</w:t>
      </w:r>
    </w:p>
    <w:p>
      <w:pPr>
        <w:spacing w:after="0" w:line="201" w:lineRule="exact"/>
        <w:rPr>
          <w:sz w:val="20"/>
          <w:szCs w:val="20"/>
          <w:color w:val="auto"/>
        </w:rPr>
      </w:pPr>
    </w:p>
    <w:p>
      <w:pPr>
        <w:ind w:left="5"/>
        <w:spacing w:after="0"/>
        <w:tabs>
          <w:tab w:leader="none" w:pos="925"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
        <w:spacing w:after="0"/>
        <w:tabs>
          <w:tab w:leader="none" w:pos="3025"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3 of 8 pages</w:t>
      </w:r>
    </w:p>
    <w:p>
      <w:pPr>
        <w:sectPr>
          <w:pgSz w:w="11900" w:h="16838" w:orient="portrait"/>
          <w:cols w:equalWidth="0" w:num="1">
            <w:col w:w="9684"/>
          </w:cols>
          <w:pgMar w:left="775" w:top="1325" w:right="1440" w:bottom="1440" w:gutter="0" w:footer="0" w:header="0"/>
        </w:sectPr>
      </w:pPr>
    </w:p>
    <w:bookmarkStart w:id="3" w:name="page4"/>
    <w:bookmarkEnd w:id="3"/>
    <w:p>
      <w:pPr>
        <w:spacing w:after="0"/>
        <w:tabs>
          <w:tab w:leader="none" w:pos="3760" w:val="left"/>
          <w:tab w:leader="none" w:pos="6080"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780" w:hanging="837"/>
        <w:spacing w:after="0" w:line="238" w:lineRule="auto"/>
        <w:tabs>
          <w:tab w:leader="none" w:pos="17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jc w:val="center"/>
        <w:ind w:right="-220"/>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6" w:lineRule="exact"/>
        <w:rPr>
          <w:sz w:val="20"/>
          <w:szCs w:val="20"/>
          <w:color w:val="auto"/>
        </w:rPr>
      </w:pPr>
    </w:p>
    <w:p>
      <w:pPr>
        <w:ind w:left="2740" w:right="2939" w:hanging="1797"/>
        <w:spacing w:after="0" w:line="235" w:lineRule="auto"/>
        <w:tabs>
          <w:tab w:leader="none" w:pos="179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P.O. Box 626</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Bassett, VA  24055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780" w:hanging="837"/>
        <w:spacing w:after="0" w:line="238" w:lineRule="auto"/>
        <w:tabs>
          <w:tab w:leader="none" w:pos="17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2"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Mitchell Hutchins Asset Management Inc.</w:t>
      </w:r>
    </w:p>
    <w:p>
      <w:pPr>
        <w:spacing w:after="0" w:line="207" w:lineRule="exact"/>
        <w:rPr>
          <w:sz w:val="20"/>
          <w:szCs w:val="20"/>
          <w:color w:val="auto"/>
        </w:rPr>
      </w:pPr>
    </w:p>
    <w:p>
      <w:pPr>
        <w:ind w:left="1780" w:right="2739" w:hanging="837"/>
        <w:spacing w:after="0" w:line="235" w:lineRule="auto"/>
        <w:tabs>
          <w:tab w:leader="none" w:pos="17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1285 Avenue of the Americas</w:t>
      </w:r>
    </w:p>
    <w:p>
      <w:pPr>
        <w:ind w:left="2740"/>
        <w:spacing w:after="0" w:line="238" w:lineRule="auto"/>
        <w:tabs>
          <w:tab w:leader="none" w:pos="4180" w:val="left"/>
        </w:tabs>
        <w:rPr>
          <w:sz w:val="20"/>
          <w:szCs w:val="20"/>
          <w:color w:val="auto"/>
        </w:rPr>
      </w:pPr>
      <w:r>
        <w:rPr>
          <w:rFonts w:ascii="Courier New" w:cs="Courier New" w:eastAsia="Courier New" w:hAnsi="Courier New"/>
          <w:sz w:val="18"/>
          <w:szCs w:val="18"/>
          <w:color w:val="auto"/>
        </w:rPr>
        <w:t>New York, NY</w:t>
        <w:tab/>
        <w:t>10019</w:t>
      </w:r>
    </w:p>
    <w:p>
      <w:pPr>
        <w:spacing w:after="0" w:line="207" w:lineRule="exact"/>
        <w:rPr>
          <w:sz w:val="20"/>
          <w:szCs w:val="20"/>
          <w:color w:val="auto"/>
        </w:rPr>
      </w:pPr>
    </w:p>
    <w:p>
      <w:pPr>
        <w:ind w:left="2740" w:right="6099" w:hanging="1797"/>
        <w:spacing w:after="0" w:line="536" w:lineRule="auto"/>
        <w:tabs>
          <w:tab w:leader="none" w:pos="179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Delaware</w:t>
      </w:r>
    </w:p>
    <w:p>
      <w:pPr>
        <w:ind w:left="2740" w:right="4939" w:hanging="1797"/>
        <w:spacing w:after="0" w:line="470" w:lineRule="auto"/>
        <w:tabs>
          <w:tab w:leader="none" w:pos="179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6" w:lineRule="exact"/>
        <w:rPr>
          <w:rFonts w:ascii="Courier New" w:cs="Courier New" w:eastAsia="Courier New" w:hAnsi="Courier New"/>
          <w:sz w:val="18"/>
          <w:szCs w:val="18"/>
          <w:color w:val="auto"/>
        </w:rPr>
      </w:pPr>
    </w:p>
    <w:p>
      <w:pPr>
        <w:ind w:left="1780" w:hanging="837"/>
        <w:spacing w:after="0"/>
        <w:tabs>
          <w:tab w:leader="none" w:pos="17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07020310</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8" w:lineRule="exact"/>
        <w:rPr>
          <w:sz w:val="20"/>
          <w:szCs w:val="20"/>
          <w:color w:val="auto"/>
        </w:rPr>
      </w:pPr>
    </w:p>
    <w:p>
      <w:pPr>
        <w:ind w:left="2740" w:right="1999" w:hanging="1797"/>
        <w:spacing w:after="0" w:line="235" w:lineRule="auto"/>
        <w:tabs>
          <w:tab w:leader="none" w:pos="137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/X_/Broker or Dealer registered under Section 15 of the Act</w:t>
      </w:r>
    </w:p>
    <w:p>
      <w:pPr>
        <w:spacing w:after="0" w:line="202" w:lineRule="exact"/>
        <w:rPr>
          <w:rFonts w:ascii="Courier New" w:cs="Courier New" w:eastAsia="Courier New" w:hAnsi="Courier New"/>
          <w:sz w:val="18"/>
          <w:szCs w:val="18"/>
          <w:color w:val="auto"/>
        </w:rPr>
      </w:pPr>
    </w:p>
    <w:p>
      <w:pPr>
        <w:ind w:left="1360" w:hanging="417"/>
        <w:spacing w:after="0"/>
        <w:tabs>
          <w:tab w:leader="none" w:pos="13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w:t>
      </w:r>
      <w:r>
        <w:rPr>
          <w:rFonts w:ascii="Courier New" w:cs="Courier New" w:eastAsia="Courier New" w:hAnsi="Courier New"/>
          <w:sz w:val="16"/>
          <w:szCs w:val="16"/>
          <w:color w:val="auto"/>
        </w:rPr>
        <w:t>Bank as defined in section 3(a)(6) of the Act</w:t>
      </w:r>
    </w:p>
    <w:p>
      <w:pPr>
        <w:spacing w:after="0" w:line="206" w:lineRule="exact"/>
        <w:rPr>
          <w:rFonts w:ascii="Courier New" w:cs="Courier New" w:eastAsia="Courier New" w:hAnsi="Courier New"/>
          <w:sz w:val="18"/>
          <w:szCs w:val="18"/>
          <w:color w:val="auto"/>
        </w:rPr>
      </w:pPr>
    </w:p>
    <w:p>
      <w:pPr>
        <w:ind w:left="2740" w:right="1879" w:hanging="1797"/>
        <w:spacing w:after="0" w:line="235" w:lineRule="auto"/>
        <w:tabs>
          <w:tab w:leader="none" w:pos="137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/__/Insurance Company as defined in section 3(a)(19) of the act</w:t>
      </w:r>
    </w:p>
    <w:p>
      <w:pPr>
        <w:spacing w:after="0" w:line="208" w:lineRule="exact"/>
        <w:rPr>
          <w:rFonts w:ascii="Courier New" w:cs="Courier New" w:eastAsia="Courier New" w:hAnsi="Courier New"/>
          <w:sz w:val="18"/>
          <w:szCs w:val="18"/>
          <w:color w:val="auto"/>
        </w:rPr>
      </w:pPr>
    </w:p>
    <w:p>
      <w:pPr>
        <w:ind w:left="2740" w:right="1879" w:hanging="1797"/>
        <w:spacing w:after="0" w:line="235" w:lineRule="auto"/>
        <w:tabs>
          <w:tab w:leader="none" w:pos="137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2740" w:right="1999" w:hanging="1797"/>
        <w:spacing w:after="0" w:line="235" w:lineRule="auto"/>
        <w:tabs>
          <w:tab w:leader="none" w:pos="137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/X_/Investment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2740" w:right="2319" w:hanging="1797"/>
        <w:spacing w:after="0" w:line="290" w:lineRule="auto"/>
        <w:tabs>
          <w:tab w:leader="none" w:pos="137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w:t>
      </w:r>
      <w:r>
        <w:rPr>
          <w:rFonts w:ascii="Courier New" w:cs="Courier New" w:eastAsia="Courier New" w:hAnsi="Courier New"/>
          <w:sz w:val="16"/>
          <w:szCs w:val="16"/>
          <w:color w:val="auto"/>
        </w:rPr>
        <w:t>Employee Benefit Plan, Pension Fund which is subject to the provisions of the Employee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4 of 8 pages</w:t>
      </w:r>
    </w:p>
    <w:p>
      <w:pPr>
        <w:sectPr>
          <w:pgSz w:w="11900" w:h="16838" w:orient="portrait"/>
          <w:cols w:equalWidth="0" w:num="1">
            <w:col w:w="9679"/>
          </w:cols>
          <w:pgMar w:left="780" w:top="1325" w:right="1440" w:bottom="1440" w:gutter="0" w:footer="0" w:header="0"/>
        </w:sectPr>
      </w:pPr>
    </w:p>
    <w:bookmarkStart w:id="4" w:name="page5"/>
    <w:bookmarkEnd w:id="4"/>
    <w:p>
      <w:pPr>
        <w:spacing w:after="0"/>
        <w:tabs>
          <w:tab w:leader="none" w:pos="3760" w:val="left"/>
          <w:tab w:leader="none" w:pos="6080"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Retirement Income Security Act of 1974 or</w:t>
      </w:r>
    </w:p>
    <w:p>
      <w:pPr>
        <w:ind w:left="2740"/>
        <w:spacing w:after="0" w:line="238" w:lineRule="auto"/>
        <w:rPr>
          <w:sz w:val="20"/>
          <w:szCs w:val="20"/>
          <w:color w:val="auto"/>
        </w:rPr>
      </w:pPr>
      <w:r>
        <w:rPr>
          <w:rFonts w:ascii="Courier New" w:cs="Courier New" w:eastAsia="Courier New" w:hAnsi="Courier New"/>
          <w:sz w:val="18"/>
          <w:szCs w:val="18"/>
          <w:color w:val="auto"/>
        </w:rPr>
        <w:t>Endowment Fund; see 240.13d-l(b)(l)(ii)(F)</w:t>
      </w:r>
    </w:p>
    <w:p>
      <w:pPr>
        <w:spacing w:after="0" w:line="207" w:lineRule="exact"/>
        <w:rPr>
          <w:sz w:val="20"/>
          <w:szCs w:val="20"/>
          <w:color w:val="auto"/>
        </w:rPr>
      </w:pPr>
    </w:p>
    <w:p>
      <w:pPr>
        <w:ind w:left="2740" w:right="2519" w:hanging="1797"/>
        <w:spacing w:after="0" w:line="290" w:lineRule="auto"/>
        <w:tabs>
          <w:tab w:leader="none" w:pos="137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/X_/</w:t>
      </w:r>
      <w:r>
        <w:rPr>
          <w:rFonts w:ascii="Courier New" w:cs="Courier New" w:eastAsia="Courier New" w:hAnsi="Courier New"/>
          <w:sz w:val="16"/>
          <w:szCs w:val="16"/>
          <w:color w:val="auto"/>
        </w:rPr>
        <w:t>Parent Holding Company, in accordance with 240.13d-l(b)(ii)(G) (Note: See Item 7)</w:t>
      </w:r>
    </w:p>
    <w:p>
      <w:pPr>
        <w:spacing w:after="0" w:line="169" w:lineRule="exact"/>
        <w:rPr>
          <w:rFonts w:ascii="Courier New" w:cs="Courier New" w:eastAsia="Courier New" w:hAnsi="Courier New"/>
          <w:sz w:val="18"/>
          <w:szCs w:val="18"/>
          <w:color w:val="auto"/>
        </w:rPr>
      </w:pPr>
    </w:p>
    <w:p>
      <w:pPr>
        <w:ind w:right="1879" w:firstLine="943"/>
        <w:spacing w:after="0" w:line="470"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 Group, in accordance with 240.13d-l(b)(l)(ii)(H) Item 4. Ownership</w:t>
      </w:r>
    </w:p>
    <w:p>
      <w:pPr>
        <w:spacing w:after="0" w:line="12" w:lineRule="exact"/>
        <w:rPr>
          <w:sz w:val="20"/>
          <w:szCs w:val="20"/>
          <w:color w:val="auto"/>
        </w:rPr>
      </w:pPr>
    </w:p>
    <w:p>
      <w:pPr>
        <w:ind w:left="940" w:right="2099"/>
        <w:spacing w:after="0" w:line="237" w:lineRule="auto"/>
        <w:rPr>
          <w:sz w:val="20"/>
          <w:szCs w:val="20"/>
          <w:color w:val="auto"/>
        </w:rPr>
      </w:pPr>
      <w:r>
        <w:rPr>
          <w:rFonts w:ascii="Courier New" w:cs="Courier New" w:eastAsia="Courier New" w:hAnsi="Courier New"/>
          <w:sz w:val="18"/>
          <w:szCs w:val="18"/>
          <w:color w:val="auto"/>
        </w:rPr>
        <w:t>Mitchell Hutchins Asset Management Inc. ("MHAM") and Mitchell Hutchins Institutional Investors Inc. ("MHII") each disclaim direct beneficial ownership of the securities of Bassett Furniture Industries, Incorporated reported herein, and the filing of this Schedule 13G shall not be construed as an admission that these companies are the beneficial owners of any Augat Inc. securities.</w:t>
      </w:r>
    </w:p>
    <w:p>
      <w:pPr>
        <w:spacing w:after="0" w:line="205" w:lineRule="exact"/>
        <w:rPr>
          <w:sz w:val="20"/>
          <w:szCs w:val="20"/>
          <w:color w:val="auto"/>
        </w:rPr>
      </w:pPr>
    </w:p>
    <w:p>
      <w:pPr>
        <w:ind w:left="1780" w:hanging="837"/>
        <w:spacing w:after="0"/>
        <w:tabs>
          <w:tab w:leader="none" w:pos="17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17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line item (9) of the cover pages.</w:t>
      </w:r>
    </w:p>
    <w:p>
      <w:pPr>
        <w:spacing w:after="0" w:line="201" w:lineRule="exact"/>
        <w:rPr>
          <w:rFonts w:ascii="Courier New" w:cs="Courier New" w:eastAsia="Courier New" w:hAnsi="Courier New"/>
          <w:sz w:val="18"/>
          <w:szCs w:val="18"/>
          <w:color w:val="auto"/>
        </w:rPr>
      </w:pPr>
    </w:p>
    <w:p>
      <w:pPr>
        <w:ind w:left="1780" w:hanging="837"/>
        <w:spacing w:after="0"/>
        <w:tabs>
          <w:tab w:leader="none" w:pos="17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7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line item (11) of the cover pages.</w:t>
      </w:r>
    </w:p>
    <w:p>
      <w:pPr>
        <w:spacing w:after="0" w:line="201" w:lineRule="exact"/>
        <w:rPr>
          <w:rFonts w:ascii="Courier New" w:cs="Courier New" w:eastAsia="Courier New" w:hAnsi="Courier New"/>
          <w:sz w:val="18"/>
          <w:szCs w:val="18"/>
          <w:color w:val="auto"/>
        </w:rPr>
      </w:pPr>
    </w:p>
    <w:p>
      <w:pPr>
        <w:ind w:left="1780" w:hanging="837"/>
        <w:spacing w:after="0"/>
        <w:tabs>
          <w:tab w:leader="none" w:pos="17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740" w:right="2619" w:hanging="954"/>
        <w:spacing w:after="0" w:line="536" w:lineRule="auto"/>
        <w:tabs>
          <w:tab w:leader="none" w:pos="27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See line item (5) of the cover pages.</w:t>
      </w:r>
    </w:p>
    <w:p>
      <w:pPr>
        <w:ind w:left="2740" w:right="2419" w:hanging="954"/>
        <w:spacing w:after="0" w:line="536" w:lineRule="auto"/>
        <w:tabs>
          <w:tab w:leader="none" w:pos="274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See line item (6) of the cover pages.</w:t>
      </w:r>
    </w:p>
    <w:p>
      <w:pPr>
        <w:ind w:left="2740" w:right="2939" w:hanging="954"/>
        <w:spacing w:after="0" w:line="235" w:lineRule="auto"/>
        <w:tabs>
          <w:tab w:leader="none" w:pos="2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line item (7) of the cover pages.</w:t>
      </w:r>
    </w:p>
    <w:p>
      <w:pPr>
        <w:spacing w:after="0" w:line="206" w:lineRule="exact"/>
        <w:rPr>
          <w:rFonts w:ascii="Courier New" w:cs="Courier New" w:eastAsia="Courier New" w:hAnsi="Courier New"/>
          <w:sz w:val="18"/>
          <w:szCs w:val="18"/>
          <w:color w:val="auto"/>
        </w:rPr>
      </w:pPr>
    </w:p>
    <w:p>
      <w:pPr>
        <w:ind w:left="2740" w:right="2739" w:hanging="954"/>
        <w:spacing w:after="0" w:line="235" w:lineRule="auto"/>
        <w:tabs>
          <w:tab w:leader="none" w:pos="2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line item (8) of the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940" w:right="219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5 of 8 pages</w:t>
      </w:r>
    </w:p>
    <w:p>
      <w:pPr>
        <w:sectPr>
          <w:pgSz w:w="11900" w:h="16838" w:orient="portrait"/>
          <w:cols w:equalWidth="0" w:num="1">
            <w:col w:w="9679"/>
          </w:cols>
          <w:pgMar w:left="780" w:top="1325" w:right="1440" w:bottom="1440" w:gutter="0" w:footer="0" w:header="0"/>
        </w:sectPr>
      </w:pPr>
    </w:p>
    <w:bookmarkStart w:id="5" w:name="page6"/>
    <w:bookmarkEnd w:id="5"/>
    <w:p>
      <w:pPr>
        <w:ind w:left="5"/>
        <w:spacing w:after="0"/>
        <w:tabs>
          <w:tab w:leader="none" w:pos="3765" w:val="left"/>
          <w:tab w:leader="none" w:pos="6085"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200" w:lineRule="exact"/>
        <w:rPr>
          <w:sz w:val="20"/>
          <w:szCs w:val="20"/>
          <w:color w:val="auto"/>
        </w:rPr>
      </w:pPr>
    </w:p>
    <w:p>
      <w:pPr>
        <w:spacing w:after="0" w:line="209" w:lineRule="exact"/>
        <w:rPr>
          <w:sz w:val="20"/>
          <w:szCs w:val="20"/>
          <w:color w:val="auto"/>
        </w:rPr>
      </w:pPr>
    </w:p>
    <w:p>
      <w:pPr>
        <w:ind w:left="945" w:right="2939"/>
        <w:spacing w:after="0" w:line="235" w:lineRule="auto"/>
        <w:rPr>
          <w:sz w:val="20"/>
          <w:szCs w:val="20"/>
          <w:color w:val="auto"/>
        </w:rPr>
      </w:pPr>
      <w:r>
        <w:rPr>
          <w:rFonts w:ascii="Courier New" w:cs="Courier New" w:eastAsia="Courier New" w:hAnsi="Courier New"/>
          <w:sz w:val="18"/>
          <w:szCs w:val="18"/>
          <w:color w:val="auto"/>
        </w:rPr>
        <w:t>beneficial owner of more than 5 percent of the class of securities, check the following (X).</w:t>
      </w:r>
    </w:p>
    <w:p>
      <w:pPr>
        <w:spacing w:after="0" w:line="203"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jc w:val="both"/>
        <w:ind w:left="945" w:right="18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or proceeds from the sale of securities reported herein.</w:t>
      </w:r>
    </w:p>
    <w:p>
      <w:pPr>
        <w:spacing w:after="0" w:line="209" w:lineRule="exact"/>
        <w:rPr>
          <w:sz w:val="20"/>
          <w:szCs w:val="20"/>
          <w:color w:val="auto"/>
        </w:rPr>
      </w:pPr>
    </w:p>
    <w:p>
      <w:pPr>
        <w:ind w:left="5"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45"/>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945"/>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945"/>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945"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ind w:left="945"/>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45"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684"/>
          </w:cols>
          <w:pgMar w:left="775" w:top="1325" w:right="1440" w:bottom="1440" w:gutter="0" w:footer="0" w:header="0"/>
        </w:sectPr>
      </w:pPr>
    </w:p>
    <w:p>
      <w:pPr>
        <w:spacing w:after="0" w:line="20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13, 1996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Katz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Katz</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&amp; Senior Vice President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814" w:lineRule="exact"/>
        <w:rPr>
          <w:sz w:val="20"/>
          <w:szCs w:val="20"/>
          <w:color w:val="auto"/>
        </w:rPr>
      </w:pPr>
    </w:p>
    <w:p>
      <w:pPr>
        <w:sectPr>
          <w:pgSz w:w="11900" w:h="16838" w:orient="portrait"/>
          <w:cols w:equalWidth="0" w:num="4">
            <w:col w:w="525" w:space="220"/>
            <w:col w:w="2540" w:space="720"/>
            <w:col w:w="2520" w:space="0"/>
            <w:col w:w="3159"/>
          </w:cols>
          <w:pgMar w:left="775" w:top="1325"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_______________</w:t>
      </w:r>
    </w:p>
    <w:p>
      <w:pPr>
        <w:sectPr>
          <w:pgSz w:w="11900" w:h="16838" w:orient="portrait"/>
          <w:cols w:equalWidth="0" w:num="1">
            <w:col w:w="9684"/>
          </w:cols>
          <w:pgMar w:left="775" w:top="1325" w:right="1440" w:bottom="1440" w:gutter="0" w:footer="0" w:header="0"/>
          <w:type w:val="continuous"/>
        </w:sectPr>
      </w:pPr>
    </w:p>
    <w:p>
      <w:pPr>
        <w:spacing w:after="0" w:line="224" w:lineRule="exact"/>
        <w:rPr>
          <w:sz w:val="20"/>
          <w:szCs w:val="20"/>
          <w:color w:val="auto"/>
        </w:rPr>
      </w:pPr>
    </w:p>
    <w:p>
      <w:pPr>
        <w:ind w:left="945" w:right="1879" w:hanging="945"/>
        <w:spacing w:after="0" w:line="237" w:lineRule="auto"/>
        <w:tabs>
          <w:tab w:leader="none" w:pos="94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affixed by Hiam Arfa pursuant to a power of attorney dated February 9, 1996 and incorporated by reference from Schedule 13G filed with the Securities and Exchange Commission by Mitchell Hutchins Asset Management Inc. et al. on February 13, 1996 with respect to Flowers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
        <w:spacing w:after="0"/>
        <w:tabs>
          <w:tab w:leader="none" w:pos="3025"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6 of 8 pages</w:t>
      </w:r>
    </w:p>
    <w:p>
      <w:pPr>
        <w:sectPr>
          <w:pgSz w:w="11900" w:h="16838" w:orient="portrait"/>
          <w:cols w:equalWidth="0" w:num="1">
            <w:col w:w="9684"/>
          </w:cols>
          <w:pgMar w:left="775" w:top="1325" w:right="1440" w:bottom="1440" w:gutter="0" w:footer="0" w:header="0"/>
          <w:type w:val="continuous"/>
        </w:sectPr>
      </w:pPr>
    </w:p>
    <w:bookmarkStart w:id="6" w:name="page7"/>
    <w:bookmarkEnd w:id="6"/>
    <w:p>
      <w:pPr>
        <w:spacing w:after="0"/>
        <w:tabs>
          <w:tab w:leader="none" w:pos="3760" w:val="left"/>
          <w:tab w:leader="none" w:pos="6080"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200" w:lineRule="exact"/>
        <w:rPr>
          <w:sz w:val="20"/>
          <w:szCs w:val="20"/>
          <w:color w:val="auto"/>
        </w:rPr>
      </w:pPr>
    </w:p>
    <w:p>
      <w:pPr>
        <w:spacing w:after="0" w:line="204"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8"/>
          <w:szCs w:val="18"/>
          <w:color w:val="auto"/>
        </w:rPr>
        <w:t>EXHIBIT A TO SCHEDULE 13G</w:t>
      </w:r>
    </w:p>
    <w:p>
      <w:pPr>
        <w:spacing w:after="0" w:line="201"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ITEM 7 DISCLOSURE RESPECTING SUBSIDIARIES</w:t>
      </w:r>
    </w:p>
    <w:p>
      <w:pPr>
        <w:spacing w:after="0" w:line="200" w:lineRule="exact"/>
        <w:rPr>
          <w:sz w:val="20"/>
          <w:szCs w:val="20"/>
          <w:color w:val="auto"/>
        </w:rPr>
      </w:pPr>
    </w:p>
    <w:p>
      <w:pPr>
        <w:spacing w:after="0" w:line="209" w:lineRule="exact"/>
        <w:rPr>
          <w:sz w:val="20"/>
          <w:szCs w:val="20"/>
          <w:color w:val="auto"/>
        </w:rPr>
      </w:pPr>
    </w:p>
    <w:p>
      <w:pPr>
        <w:ind w:right="2960" w:firstLine="948"/>
        <w:spacing w:after="0" w:line="237" w:lineRule="auto"/>
        <w:rPr>
          <w:sz w:val="20"/>
          <w:szCs w:val="20"/>
          <w:color w:val="auto"/>
        </w:rPr>
      </w:pPr>
      <w:r>
        <w:rPr>
          <w:rFonts w:ascii="Courier New" w:cs="Courier New" w:eastAsia="Courier New" w:hAnsi="Courier New"/>
          <w:sz w:val="18"/>
          <w:szCs w:val="18"/>
          <w:color w:val="auto"/>
        </w:rPr>
        <w:t>Mitchell Hutchins Institutional Investors Inc. ("MHII") is a wholly-owned subsidiary of Mitchell Hutchins Asset Management Inc. ("MHAM"). MHAM is a parent holding company as that term is defined by Rule 13d-1(b)(1)(ii)(G) of the Securities Exchange Act of 1934 (the "Act"). MHAM is a broker-dealer registered under Section 15 of the Act. MHAM and MHII are investment advisers registered under section 203 of the Investment Advisers Act of 1940.</w:t>
      </w:r>
    </w:p>
    <w:p>
      <w:pPr>
        <w:spacing w:after="0" w:line="211" w:lineRule="exact"/>
        <w:rPr>
          <w:sz w:val="20"/>
          <w:szCs w:val="20"/>
          <w:color w:val="auto"/>
        </w:rPr>
      </w:pPr>
    </w:p>
    <w:p>
      <w:pPr>
        <w:ind w:left="940" w:right="2840"/>
        <w:spacing w:after="0" w:line="235" w:lineRule="auto"/>
        <w:rPr>
          <w:sz w:val="20"/>
          <w:szCs w:val="20"/>
          <w:color w:val="auto"/>
        </w:rPr>
      </w:pPr>
      <w:r>
        <w:rPr>
          <w:rFonts w:ascii="Courier New" w:cs="Courier New" w:eastAsia="Courier New" w:hAnsi="Courier New"/>
          <w:sz w:val="18"/>
          <w:szCs w:val="18"/>
          <w:color w:val="auto"/>
        </w:rPr>
        <w:t>MHAM and MHII are Delaware corporations whose business address is as follows:</w:t>
      </w:r>
    </w:p>
    <w:p>
      <w:pPr>
        <w:spacing w:after="0" w:line="203"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1285 Avenue of the Americas</w:t>
      </w:r>
    </w:p>
    <w:p>
      <w:pPr>
        <w:ind w:left="1780"/>
        <w:spacing w:after="0"/>
        <w:tabs>
          <w:tab w:leader="none" w:pos="324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w:t>
      </w:r>
    </w:p>
    <w:p>
      <w:pPr>
        <w:spacing w:after="0" w:line="207" w:lineRule="exact"/>
        <w:rPr>
          <w:sz w:val="20"/>
          <w:szCs w:val="20"/>
          <w:color w:val="auto"/>
        </w:rPr>
      </w:pPr>
    </w:p>
    <w:p>
      <w:pPr>
        <w:ind w:right="3160" w:firstLine="948"/>
        <w:spacing w:after="0" w:line="236" w:lineRule="auto"/>
        <w:rPr>
          <w:sz w:val="20"/>
          <w:szCs w:val="20"/>
          <w:color w:val="auto"/>
        </w:rPr>
      </w:pPr>
      <w:r>
        <w:rPr>
          <w:rFonts w:ascii="Courier New" w:cs="Courier New" w:eastAsia="Courier New" w:hAnsi="Courier New"/>
          <w:sz w:val="18"/>
          <w:szCs w:val="18"/>
          <w:color w:val="auto"/>
        </w:rPr>
        <w:t>The companies filing this joint Schedule 13G report beneficial ownership of the Common Stock of Bassett Furniture Industries in the following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9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Shares Owned Directly</w:t>
            </w:r>
          </w:p>
        </w:tc>
        <w:tc>
          <w:tcPr>
            <w:tcW w:w="232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or through</w:t>
            </w:r>
          </w:p>
        </w:tc>
        <w:tc>
          <w:tcPr>
            <w:tcW w:w="23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Shares Beneficially</w:t>
            </w:r>
          </w:p>
        </w:tc>
      </w:tr>
      <w:tr>
        <w:trPr>
          <w:trHeight w:val="203"/>
        </w:trPr>
        <w:tc>
          <w:tcPr>
            <w:tcW w:w="360" w:type="dxa"/>
            <w:vAlign w:val="bottom"/>
          </w:tcPr>
          <w:p>
            <w:pPr>
              <w:spacing w:after="0"/>
              <w:rPr>
                <w:sz w:val="17"/>
                <w:szCs w:val="17"/>
                <w:color w:val="auto"/>
              </w:rPr>
            </w:pPr>
          </w:p>
        </w:tc>
        <w:tc>
          <w:tcPr>
            <w:tcW w:w="4900" w:type="dxa"/>
            <w:vAlign w:val="bottom"/>
          </w:tcPr>
          <w:p>
            <w:pPr>
              <w:ind w:left="1960"/>
              <w:spacing w:after="0" w:line="203" w:lineRule="exact"/>
              <w:rPr>
                <w:sz w:val="20"/>
                <w:szCs w:val="20"/>
                <w:color w:val="auto"/>
              </w:rPr>
            </w:pPr>
            <w:r>
              <w:rPr>
                <w:rFonts w:ascii="Courier New" w:cs="Courier New" w:eastAsia="Courier New" w:hAnsi="Courier New"/>
                <w:sz w:val="18"/>
                <w:szCs w:val="18"/>
                <w:color w:val="auto"/>
              </w:rPr>
              <w:t>Company</w:t>
            </w:r>
          </w:p>
        </w:tc>
        <w:tc>
          <w:tcPr>
            <w:tcW w:w="2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Managed Accounts</w:t>
            </w:r>
          </w:p>
        </w:tc>
        <w:tc>
          <w:tcPr>
            <w:tcW w:w="232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Owned</w:t>
            </w:r>
          </w:p>
        </w:tc>
      </w:tr>
      <w:tr>
        <w:trPr>
          <w:trHeight w:val="608"/>
        </w:trPr>
        <w:tc>
          <w:tcPr>
            <w:tcW w:w="360" w:type="dxa"/>
            <w:vAlign w:val="bottom"/>
          </w:tcPr>
          <w:p>
            <w:pPr>
              <w:jc w:val="right"/>
              <w:ind w:right="52"/>
              <w:spacing w:after="0"/>
              <w:rPr>
                <w:sz w:val="20"/>
                <w:szCs w:val="20"/>
                <w:color w:val="auto"/>
              </w:rPr>
            </w:pPr>
            <w:r>
              <w:rPr>
                <w:rFonts w:ascii="Courier New" w:cs="Courier New" w:eastAsia="Courier New" w:hAnsi="Courier New"/>
                <w:sz w:val="18"/>
                <w:szCs w:val="18"/>
                <w:color w:val="auto"/>
                <w:w w:val="92"/>
              </w:rPr>
              <w:t>1.</w:t>
            </w:r>
          </w:p>
        </w:tc>
        <w:tc>
          <w:tcPr>
            <w:tcW w:w="4900" w:type="dxa"/>
            <w:vAlign w:val="bottom"/>
          </w:tcPr>
          <w:p>
            <w:pPr>
              <w:ind w:left="160"/>
              <w:spacing w:after="0"/>
              <w:rPr>
                <w:sz w:val="20"/>
                <w:szCs w:val="20"/>
                <w:color w:val="auto"/>
              </w:rPr>
            </w:pPr>
            <w:r>
              <w:rPr>
                <w:rFonts w:ascii="Courier New" w:cs="Courier New" w:eastAsia="Courier New" w:hAnsi="Courier New"/>
                <w:sz w:val="18"/>
                <w:szCs w:val="18"/>
                <w:color w:val="auto"/>
              </w:rPr>
              <w:t>Mitchell Hutchins Institutional Investors</w:t>
            </w:r>
          </w:p>
        </w:tc>
        <w:tc>
          <w:tcPr>
            <w:tcW w:w="29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353,625</w:t>
            </w:r>
          </w:p>
        </w:tc>
        <w:tc>
          <w:tcPr>
            <w:tcW w:w="232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353,625</w:t>
            </w:r>
          </w:p>
        </w:tc>
      </w:tr>
      <w:tr>
        <w:trPr>
          <w:trHeight w:val="203"/>
        </w:trPr>
        <w:tc>
          <w:tcPr>
            <w:tcW w:w="360" w:type="dxa"/>
            <w:vAlign w:val="bottom"/>
          </w:tcPr>
          <w:p>
            <w:pPr>
              <w:spacing w:after="0"/>
              <w:rPr>
                <w:sz w:val="17"/>
                <w:szCs w:val="17"/>
                <w:color w:val="auto"/>
              </w:rPr>
            </w:pP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w:t>
            </w:r>
          </w:p>
        </w:tc>
        <w:tc>
          <w:tcPr>
            <w:tcW w:w="29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2"/>
              </w:rPr>
              <w:t>2.</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Mitchell Hutchins Asset Management Inc.</w:t>
            </w:r>
          </w:p>
        </w:tc>
        <w:tc>
          <w:tcPr>
            <w:tcW w:w="2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None</w:t>
            </w:r>
          </w:p>
        </w:tc>
        <w:tc>
          <w:tcPr>
            <w:tcW w:w="232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7"/>
              </w:rPr>
              <w:t>353,625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7 of 8 pages</w:t>
      </w:r>
    </w:p>
    <w:p>
      <w:pPr>
        <w:sectPr>
          <w:pgSz w:w="11900" w:h="16838" w:orient="portrait"/>
          <w:cols w:equalWidth="0" w:num="1">
            <w:col w:w="10640"/>
          </w:cols>
          <w:pgMar w:left="780" w:top="1325" w:right="479" w:bottom="1440" w:gutter="0" w:footer="0" w:header="0"/>
        </w:sectPr>
      </w:pPr>
    </w:p>
    <w:bookmarkStart w:id="7" w:name="page8"/>
    <w:bookmarkEnd w:id="7"/>
    <w:p>
      <w:pPr>
        <w:spacing w:after="0"/>
        <w:tabs>
          <w:tab w:leader="none" w:pos="3760" w:val="left"/>
          <w:tab w:leader="none" w:pos="6080" w:val="left"/>
        </w:tabs>
        <w:rPr>
          <w:sz w:val="20"/>
          <w:szCs w:val="20"/>
          <w:color w:val="auto"/>
        </w:rPr>
      </w:pPr>
      <w:r>
        <w:rPr>
          <w:rFonts w:ascii="Courier New" w:cs="Courier New" w:eastAsia="Courier New" w:hAnsi="Courier New"/>
          <w:sz w:val="18"/>
          <w:szCs w:val="18"/>
          <w:color w:val="auto"/>
        </w:rPr>
        <w:t>CUSIP No. 07020310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40" w:firstLine="948"/>
        <w:spacing w:after="0" w:line="237" w:lineRule="auto"/>
        <w:rPr>
          <w:sz w:val="20"/>
          <w:szCs w:val="20"/>
          <w:color w:val="auto"/>
        </w:rPr>
      </w:pPr>
      <w:r>
        <w:rPr>
          <w:rFonts w:ascii="Courier New" w:cs="Courier New" w:eastAsia="Courier New" w:hAnsi="Courier New"/>
          <w:sz w:val="18"/>
          <w:szCs w:val="18"/>
          <w:color w:val="auto"/>
        </w:rPr>
        <w:t>Each of the undersigned persons hereby agrees and consents to this joint filing of Schedule 13G on such person s behalf, pursuant to section 13(d) and (g) of the Securities and Exchange Act of 1934, as amended, and the rules promulgated thereunder. Each of these persons is not responsible for the completeness or accuracy of the information concerning the other persons making this filing, unless such person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13, 1996</w:t>
      </w:r>
    </w:p>
    <w:p>
      <w:pPr>
        <w:sectPr>
          <w:pgSz w:w="11900" w:h="16838" w:orient="portrait"/>
          <w:cols w:equalWidth="0" w:num="1">
            <w:col w:w="10520"/>
          </w:cols>
          <w:pgMar w:left="780" w:top="1325"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Mitchell Hutchins Asset 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Mitchell Hutchins Institutional Investors Inc.</w:t>
      </w:r>
    </w:p>
    <w:p>
      <w:pPr>
        <w:spacing w:after="0" w:line="200" w:lineRule="exact"/>
        <w:rPr>
          <w:sz w:val="20"/>
          <w:szCs w:val="20"/>
          <w:color w:val="auto"/>
        </w:rPr>
      </w:pPr>
    </w:p>
    <w:p>
      <w:pPr>
        <w:sectPr>
          <w:pgSz w:w="11900" w:h="16838" w:orient="portrait"/>
          <w:cols w:equalWidth="0" w:num="2">
            <w:col w:w="4960" w:space="720"/>
            <w:col w:w="4840"/>
          </w:cols>
          <w:pgMar w:left="780" w:top="1325"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tabs>
          <w:tab w:leader="none" w:pos="2200" w:val="left"/>
        </w:tabs>
        <w:rPr>
          <w:sz w:val="20"/>
          <w:szCs w:val="20"/>
          <w:color w:val="auto"/>
        </w:rPr>
      </w:pPr>
      <w:r>
        <w:rPr>
          <w:rFonts w:ascii="Courier New" w:cs="Courier New" w:eastAsia="Courier New" w:hAnsi="Courier New"/>
          <w:sz w:val="18"/>
          <w:szCs w:val="18"/>
          <w:color w:val="auto"/>
        </w:rPr>
        <w:t>/s/Michael Katz</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Michael Katz</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Chief Financial Officer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/s/Michael Katz</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Michael Katz</w:t>
      </w:r>
    </w:p>
    <w:p>
      <w:pPr>
        <w:ind w:left="42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20"/>
        <w:spacing w:after="0"/>
        <w:rPr>
          <w:sz w:val="20"/>
          <w:szCs w:val="20"/>
          <w:color w:val="auto"/>
        </w:rPr>
      </w:pPr>
      <w:r>
        <w:rPr>
          <w:rFonts w:ascii="Courier New" w:cs="Courier New" w:eastAsia="Courier New" w:hAnsi="Courier New"/>
          <w:sz w:val="18"/>
          <w:szCs w:val="18"/>
          <w:color w:val="auto"/>
        </w:rPr>
        <w:t>&amp; Senior Vice President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011" w:lineRule="exact"/>
        <w:rPr>
          <w:sz w:val="20"/>
          <w:szCs w:val="20"/>
          <w:color w:val="auto"/>
        </w:rPr>
      </w:pPr>
    </w:p>
    <w:p>
      <w:pPr>
        <w:sectPr>
          <w:pgSz w:w="11900" w:h="16838" w:orient="portrait"/>
          <w:cols w:equalWidth="0" w:num="4">
            <w:col w:w="420" w:space="100"/>
            <w:col w:w="4440" w:space="720"/>
            <w:col w:w="3160" w:space="420"/>
            <w:col w:w="1260"/>
          </w:cols>
          <w:pgMar w:left="780" w:top="1325" w:right="599" w:bottom="1440" w:gutter="0" w:footer="0" w:header="0"/>
          <w:type w:val="continuous"/>
        </w:sectPr>
      </w:pPr>
    </w:p>
    <w:p>
      <w:pPr>
        <w:ind w:left="840" w:hanging="213"/>
        <w:spacing w:after="0"/>
        <w:tabs>
          <w:tab w:leader="none" w:pos="8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Senior Vice President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420" w:right="2720" w:hanging="421"/>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Signature affixed by Hiam Arfa pursuant to a power of attorney dated February 9, 1996 and incorporated by reference from Schedule 13G filed with the Securities and Exchange Commission by Mitchell Hutchins Asset Management Inc. et al. on February 13, 1996 with respect to Flowers Industries,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8"/>
          <w:szCs w:val="18"/>
          <w:color w:val="auto"/>
        </w:rPr>
        <w:t>SEC 1745 (2/92)</w:t>
      </w:r>
      <w:r>
        <w:rPr>
          <w:sz w:val="20"/>
          <w:szCs w:val="20"/>
          <w:color w:val="auto"/>
        </w:rPr>
        <w:tab/>
      </w:r>
      <w:r>
        <w:rPr>
          <w:rFonts w:ascii="Courier New" w:cs="Courier New" w:eastAsia="Courier New" w:hAnsi="Courier New"/>
          <w:sz w:val="16"/>
          <w:szCs w:val="16"/>
          <w:color w:val="auto"/>
        </w:rPr>
        <w:t>Page 8 of 8 pages</w:t>
      </w:r>
    </w:p>
    <w:p>
      <w:pPr>
        <w:sectPr>
          <w:pgSz w:w="11900" w:h="16838" w:orient="portrait"/>
          <w:cols w:equalWidth="0" w:num="1">
            <w:col w:w="10520"/>
          </w:cols>
          <w:pgMar w:left="780" w:top="1325" w:right="599" w:bottom="1440" w:gutter="0" w:footer="0" w:header="0"/>
          <w:type w:val="continuous"/>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bullet"/>
      <w:start w:val="1"/>
    </w:lvl>
  </w:abstractNum>
  <w:abstractNum w:abstractNumId="1">
    <w:nsid w:val="1F16E9E8"/>
    <w:multiLevelType w:val="hybridMultilevel"/>
    <w:lvl w:ilvl="0">
      <w:lvlJc w:val="left"/>
      <w:lvlText w:val="2"/>
      <w:numFmt w:val="bullet"/>
      <w:start w:val="1"/>
    </w:lvl>
  </w:abstractNum>
  <w:abstractNum w:abstractNumId="2">
    <w:nsid w:val="1190CDE7"/>
    <w:multiLevelType w:val="hybridMultilevel"/>
    <w:lvl w:ilvl="0">
      <w:lvlJc w:val="left"/>
      <w:lvlText w:val="4"/>
      <w:numFmt w:val="bullet"/>
      <w:start w:val="1"/>
    </w:lvl>
  </w:abstractNum>
  <w:abstractNum w:abstractNumId="3">
    <w:nsid w:val="66EF438D"/>
    <w:multiLevelType w:val="hybridMultilevel"/>
    <w:lvl w:ilvl="0">
      <w:lvlJc w:val="left"/>
      <w:lvlText w:val="9"/>
      <w:numFmt w:val="bullet"/>
      <w:start w:val="1"/>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4"/>
      <w:numFmt w:val="bullet"/>
      <w:start w:val="1"/>
    </w:lvl>
  </w:abstractNum>
  <w:abstractNum w:abstractNumId="8">
    <w:nsid w:val="7FDCC233"/>
    <w:multiLevelType w:val="hybridMultilevel"/>
    <w:lvl w:ilvl="0">
      <w:lvlJc w:val="left"/>
      <w:lvlText w:val="9"/>
      <w:numFmt w:val="bullet"/>
      <w:start w:val="1"/>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7"/>
    </w:lvl>
  </w:abstractNum>
  <w:abstractNum w:abstractNumId="17">
    <w:nsid w:val="7C83E458"/>
    <w:multiLevelType w:val="hybridMultilevel"/>
    <w:lvl w:ilvl="0">
      <w:lvlJc w:val="left"/>
      <w:lvlText w:val="(%1)"/>
      <w:numFmt w:val="lowerLetter"/>
      <w:start w:val="1"/>
    </w:lvl>
    <w:lvl w:ilvl="1">
      <w:lvlJc w:val="left"/>
      <w:lvlText w:val="(%2)"/>
      <w:numFmt w:val="lowerRoman"/>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2019-12-20T00:00:35Z</dcterms:created>
  <dcterms:modified xsi:type="dcterms:W3CDTF">2019-12-20T00:00:35Z</dcterms:modified>
</cp:coreProperties>
</file>