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194310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BASSETT FURNITURE INDUSTRIES,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000-00209</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54-0135270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180" w:space="720"/>
            <w:col w:w="2560"/>
          </w:cols>
          <w:pgMar w:left="320" w:top="796" w:right="339" w:bottom="1440" w:gutter="0" w:footer="0" w:header="0"/>
          <w:type w:val="continuous"/>
        </w:sectPr>
      </w:pPr>
    </w:p>
    <w:p>
      <w:pPr>
        <w:spacing w:after="0" w:line="30"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3525 Fairystone Park Highway</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Bassett, Virginia</w:t>
      </w:r>
    </w:p>
    <w:p>
      <w:pPr>
        <w:spacing w:after="0" w:line="9" w:lineRule="exact"/>
        <w:rPr>
          <w:sz w:val="24"/>
          <w:szCs w:val="24"/>
          <w:color w:val="auto"/>
        </w:rPr>
      </w:pPr>
    </w:p>
    <w:p>
      <w:pPr>
        <w:jc w:val="center"/>
        <w:ind w:right="14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24055</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640" w:space="720"/>
            <w:col w:w="2880"/>
          </w:cols>
          <w:pgMar w:left="320" w:top="796" w:right="339" w:bottom="1440" w:gutter="0" w:footer="0" w:header="0"/>
          <w:type w:val="continuous"/>
        </w:sectPr>
      </w:pP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 (276) 629-6000</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4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2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300" w:type="dxa"/>
            <w:vAlign w:val="bottom"/>
          </w:tcPr>
          <w:p>
            <w:pPr>
              <w:spacing w:after="0"/>
              <w:rPr>
                <w:sz w:val="20"/>
                <w:szCs w:val="20"/>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24"/>
        </w:trPr>
        <w:tc>
          <w:tcPr>
            <w:tcW w:w="3240" w:type="dxa"/>
            <w:vAlign w:val="bottom"/>
          </w:tcPr>
          <w:p>
            <w:pPr>
              <w:jc w:val="center"/>
              <w:spacing w:after="0"/>
              <w:rPr>
                <w:sz w:val="20"/>
                <w:szCs w:val="20"/>
                <w:color w:val="auto"/>
              </w:rPr>
            </w:pPr>
            <w:r>
              <w:rPr>
                <w:rFonts w:ascii="Arial" w:cs="Arial" w:eastAsia="Arial" w:hAnsi="Arial"/>
                <w:sz w:val="18"/>
                <w:szCs w:val="18"/>
                <w:color w:val="auto"/>
                <w:w w:val="90"/>
              </w:rPr>
              <w:t>Common Stock ($5.00 par value)</w:t>
            </w:r>
          </w:p>
        </w:tc>
        <w:tc>
          <w:tcPr>
            <w:tcW w:w="3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BSET</w:t>
            </w:r>
          </w:p>
        </w:tc>
        <w:tc>
          <w:tcPr>
            <w:tcW w:w="30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7"/>
              </w:rPr>
              <w:t>NASDAQ</w:t>
            </w:r>
          </w:p>
        </w:tc>
      </w:tr>
    </w:tbl>
    <w:p>
      <w:pPr>
        <w:spacing w:after="0" w:line="1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8.01Other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5, 2023, Bassett Furniture Industries issued a news release relating to the declaration of a quarterly dividend of $0.18 per share of common stock payable on November 24, 2023, to shareholders of record at the close of business on November 10, 2023. A copy of the news release is attached to the report as Exhibit 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EE"/>
        </w:rPr>
        <w:t>News release issued by Bassett Furniture Industries, Inc. on October 5, 2023.</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October 5, 2023</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J. Michael Daniel</w:t>
            </w:r>
          </w:p>
        </w:tc>
      </w:tr>
      <w:tr>
        <w:trPr>
          <w:trHeight w:val="195"/>
        </w:trPr>
        <w:tc>
          <w:tcPr>
            <w:tcW w:w="5640" w:type="dxa"/>
            <w:vAlign w:val="bottom"/>
          </w:tcPr>
          <w:p>
            <w:pPr>
              <w:spacing w:after="0"/>
              <w:rPr>
                <w:sz w:val="16"/>
                <w:szCs w:val="16"/>
                <w:color w:val="auto"/>
              </w:rPr>
            </w:pP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J. Michael Daniel</w:t>
            </w:r>
          </w:p>
        </w:tc>
      </w:tr>
      <w:tr>
        <w:trPr>
          <w:trHeight w:val="216"/>
        </w:trPr>
        <w:tc>
          <w:tcPr>
            <w:tcW w:w="56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Title: Senior Vice President – Chief Financial &amp;</w:t>
            </w:r>
          </w:p>
        </w:tc>
      </w:tr>
      <w:tr>
        <w:trPr>
          <w:trHeight w:val="230"/>
        </w:trPr>
        <w:tc>
          <w:tcPr>
            <w:tcW w:w="5640" w:type="dxa"/>
            <w:vAlign w:val="bottom"/>
          </w:tcPr>
          <w:p>
            <w:pPr>
              <w:spacing w:after="0"/>
              <w:rPr>
                <w:sz w:val="20"/>
                <w:szCs w:val="20"/>
                <w:color w:val="auto"/>
              </w:rPr>
            </w:pPr>
          </w:p>
        </w:tc>
        <w:tc>
          <w:tcPr>
            <w:tcW w:w="4260" w:type="dxa"/>
            <w:vAlign w:val="bottom"/>
          </w:tcPr>
          <w:p>
            <w:pPr>
              <w:ind w:left="480"/>
              <w:spacing w:after="0"/>
              <w:rPr>
                <w:sz w:val="20"/>
                <w:szCs w:val="20"/>
                <w:color w:val="auto"/>
              </w:rPr>
            </w:pPr>
            <w:r>
              <w:rPr>
                <w:rFonts w:ascii="Arial" w:cs="Arial" w:eastAsia="Arial" w:hAnsi="Arial"/>
                <w:sz w:val="18"/>
                <w:szCs w:val="18"/>
                <w:color w:val="auto"/>
              </w:rPr>
              <w:t>Administrative Officer</w:t>
            </w:r>
          </w:p>
        </w:tc>
      </w:tr>
    </w:tbl>
    <w:p>
      <w:pPr>
        <w:sectPr>
          <w:pgSz w:w="11900" w:h="16838" w:orient="portrait"/>
          <w:cols w:equalWidth="0" w:num="1">
            <w:col w:w="11240"/>
          </w:cols>
          <w:pgMar w:left="320" w:top="58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208405"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840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Bassett Furniture Industries, Inc.</w:t>
            </w:r>
          </w:p>
        </w:tc>
        <w:tc>
          <w:tcPr>
            <w:tcW w:w="5780" w:type="dxa"/>
            <w:vAlign w:val="bottom"/>
            <w:gridSpan w:val="3"/>
          </w:tcPr>
          <w:p>
            <w:pPr>
              <w:ind w:left="1620"/>
              <w:spacing w:after="0"/>
              <w:rPr>
                <w:sz w:val="20"/>
                <w:szCs w:val="20"/>
                <w:color w:val="auto"/>
              </w:rPr>
            </w:pPr>
            <w:r>
              <w:rPr>
                <w:rFonts w:ascii="Arial" w:cs="Arial" w:eastAsia="Arial" w:hAnsi="Arial"/>
                <w:sz w:val="18"/>
                <w:szCs w:val="18"/>
                <w:b w:val="1"/>
                <w:bCs w:val="1"/>
                <w:color w:val="auto"/>
              </w:rPr>
              <w:t>J. Michael Daniel, Senior Vice</w:t>
            </w:r>
          </w:p>
        </w:tc>
        <w:tc>
          <w:tcPr>
            <w:tcW w:w="0" w:type="dxa"/>
            <w:vAlign w:val="bottom"/>
          </w:tcPr>
          <w:p>
            <w:pPr>
              <w:spacing w:after="0"/>
              <w:rPr>
                <w:sz w:val="1"/>
                <w:szCs w:val="1"/>
                <w:color w:val="auto"/>
              </w:rPr>
            </w:pPr>
          </w:p>
        </w:tc>
      </w:tr>
      <w:tr>
        <w:trPr>
          <w:trHeight w:val="220"/>
        </w:trPr>
        <w:tc>
          <w:tcPr>
            <w:tcW w:w="4000" w:type="dxa"/>
            <w:vAlign w:val="bottom"/>
          </w:tcPr>
          <w:p>
            <w:pPr>
              <w:spacing w:after="0"/>
              <w:rPr>
                <w:sz w:val="20"/>
                <w:szCs w:val="20"/>
                <w:color w:val="auto"/>
              </w:rPr>
            </w:pPr>
            <w:r>
              <w:rPr>
                <w:rFonts w:ascii="Arial" w:cs="Arial" w:eastAsia="Arial" w:hAnsi="Arial"/>
                <w:sz w:val="18"/>
                <w:szCs w:val="18"/>
                <w:color w:val="auto"/>
              </w:rPr>
              <w:t>P.O. Box 626</w:t>
            </w:r>
          </w:p>
        </w:tc>
        <w:tc>
          <w:tcPr>
            <w:tcW w:w="5780" w:type="dxa"/>
            <w:vAlign w:val="bottom"/>
            <w:gridSpan w:val="3"/>
          </w:tcPr>
          <w:p>
            <w:pPr>
              <w:ind w:left="1620"/>
              <w:spacing w:after="0"/>
              <w:rPr>
                <w:sz w:val="20"/>
                <w:szCs w:val="20"/>
                <w:color w:val="auto"/>
              </w:rPr>
            </w:pPr>
            <w:r>
              <w:rPr>
                <w:rFonts w:ascii="Arial" w:cs="Arial" w:eastAsia="Arial" w:hAnsi="Arial"/>
                <w:sz w:val="18"/>
                <w:szCs w:val="18"/>
                <w:b w:val="1"/>
                <w:bCs w:val="1"/>
                <w:color w:val="auto"/>
              </w:rPr>
              <w:t>President and Chief Financial Officer</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Bassett, VA 24055</w:t>
            </w:r>
          </w:p>
        </w:tc>
        <w:tc>
          <w:tcPr>
            <w:tcW w:w="2040" w:type="dxa"/>
            <w:vAlign w:val="bottom"/>
          </w:tcPr>
          <w:p>
            <w:pPr>
              <w:ind w:left="1620"/>
              <w:spacing w:after="0"/>
              <w:rPr>
                <w:sz w:val="20"/>
                <w:szCs w:val="20"/>
                <w:color w:val="auto"/>
              </w:rPr>
            </w:pPr>
            <w:r>
              <w:rPr>
                <w:rFonts w:ascii="Arial" w:cs="Arial" w:eastAsia="Arial" w:hAnsi="Arial"/>
                <w:sz w:val="18"/>
                <w:szCs w:val="18"/>
                <w:color w:val="auto"/>
                <w:w w:val="95"/>
              </w:rPr>
              <w:t>(276)</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629-6614</w:t>
            </w:r>
          </w:p>
        </w:tc>
        <w:tc>
          <w:tcPr>
            <w:tcW w:w="3000" w:type="dxa"/>
            <w:vAlign w:val="bottom"/>
          </w:tcPr>
          <w:p>
            <w:pPr>
              <w:ind w:left="20"/>
              <w:spacing w:after="0"/>
              <w:rPr>
                <w:sz w:val="20"/>
                <w:szCs w:val="20"/>
                <w:color w:val="auto"/>
              </w:rPr>
            </w:pPr>
            <w:r>
              <w:rPr>
                <w:rFonts w:ascii="Arial" w:cs="Arial" w:eastAsia="Arial" w:hAnsi="Arial"/>
                <w:sz w:val="18"/>
                <w:szCs w:val="18"/>
                <w:color w:val="auto"/>
              </w:rPr>
              <w:t>- Investors</w:t>
            </w:r>
          </w:p>
        </w:tc>
        <w:tc>
          <w:tcPr>
            <w:tcW w:w="0" w:type="dxa"/>
            <w:vAlign w:val="bottom"/>
          </w:tcPr>
          <w:p>
            <w:pPr>
              <w:spacing w:after="0"/>
              <w:rPr>
                <w:sz w:val="1"/>
                <w:szCs w:val="1"/>
                <w:color w:val="auto"/>
              </w:rPr>
            </w:pPr>
          </w:p>
        </w:tc>
      </w:tr>
      <w:tr>
        <w:trPr>
          <w:trHeight w:val="431"/>
        </w:trPr>
        <w:tc>
          <w:tcPr>
            <w:tcW w:w="4000" w:type="dxa"/>
            <w:vAlign w:val="bottom"/>
            <w:vMerge w:val="restart"/>
          </w:tcPr>
          <w:p>
            <w:pPr>
              <w:spacing w:after="0"/>
              <w:rPr>
                <w:sz w:val="20"/>
                <w:szCs w:val="20"/>
                <w:color w:val="auto"/>
              </w:rPr>
            </w:pPr>
            <w:r>
              <w:rPr>
                <w:rFonts w:ascii="Arial" w:cs="Arial" w:eastAsia="Arial" w:hAnsi="Arial"/>
                <w:sz w:val="22"/>
                <w:szCs w:val="22"/>
                <w:color w:val="auto"/>
              </w:rPr>
              <w:t>For Immediate Release</w:t>
            </w:r>
          </w:p>
        </w:tc>
        <w:tc>
          <w:tcPr>
            <w:tcW w:w="5780" w:type="dxa"/>
            <w:vAlign w:val="bottom"/>
            <w:gridSpan w:val="3"/>
          </w:tcPr>
          <w:p>
            <w:pPr>
              <w:ind w:left="1620"/>
              <w:spacing w:after="0"/>
              <w:rPr>
                <w:sz w:val="20"/>
                <w:szCs w:val="20"/>
                <w:color w:val="auto"/>
              </w:rPr>
            </w:pPr>
            <w:r>
              <w:rPr>
                <w:rFonts w:ascii="Arial" w:cs="Arial" w:eastAsia="Arial" w:hAnsi="Arial"/>
                <w:sz w:val="18"/>
                <w:szCs w:val="18"/>
                <w:b w:val="1"/>
                <w:bCs w:val="1"/>
                <w:color w:val="auto"/>
                <w:w w:val="90"/>
              </w:rPr>
              <w:t>Peter D. Morrison, Vice President of Communications</w:t>
            </w:r>
          </w:p>
        </w:tc>
        <w:tc>
          <w:tcPr>
            <w:tcW w:w="0" w:type="dxa"/>
            <w:vAlign w:val="bottom"/>
          </w:tcPr>
          <w:p>
            <w:pPr>
              <w:spacing w:after="0"/>
              <w:rPr>
                <w:sz w:val="1"/>
                <w:szCs w:val="1"/>
                <w:color w:val="auto"/>
              </w:rPr>
            </w:pPr>
          </w:p>
        </w:tc>
      </w:tr>
      <w:tr>
        <w:trPr>
          <w:trHeight w:val="254"/>
        </w:trPr>
        <w:tc>
          <w:tcPr>
            <w:tcW w:w="4000" w:type="dxa"/>
            <w:vAlign w:val="bottom"/>
            <w:vMerge w:val="continue"/>
          </w:tcPr>
          <w:p>
            <w:pPr>
              <w:spacing w:after="0"/>
              <w:rPr>
                <w:sz w:val="22"/>
                <w:szCs w:val="22"/>
                <w:color w:val="auto"/>
              </w:rPr>
            </w:pPr>
          </w:p>
        </w:tc>
        <w:tc>
          <w:tcPr>
            <w:tcW w:w="2040" w:type="dxa"/>
            <w:vAlign w:val="bottom"/>
          </w:tcPr>
          <w:p>
            <w:pPr>
              <w:ind w:left="1620"/>
              <w:spacing w:after="0"/>
              <w:rPr>
                <w:sz w:val="20"/>
                <w:szCs w:val="20"/>
                <w:color w:val="auto"/>
              </w:rPr>
            </w:pPr>
            <w:r>
              <w:rPr>
                <w:rFonts w:ascii="Arial" w:cs="Arial" w:eastAsia="Arial" w:hAnsi="Arial"/>
                <w:sz w:val="18"/>
                <w:szCs w:val="18"/>
                <w:color w:val="auto"/>
                <w:w w:val="95"/>
              </w:rPr>
              <w:t>(276)</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629-6387</w:t>
            </w:r>
          </w:p>
        </w:tc>
        <w:tc>
          <w:tcPr>
            <w:tcW w:w="3000" w:type="dxa"/>
            <w:vAlign w:val="bottom"/>
          </w:tcPr>
          <w:p>
            <w:pPr>
              <w:ind w:left="20"/>
              <w:spacing w:after="0"/>
              <w:rPr>
                <w:sz w:val="20"/>
                <w:szCs w:val="20"/>
                <w:color w:val="auto"/>
              </w:rPr>
            </w:pPr>
            <w:r>
              <w:rPr>
                <w:rFonts w:ascii="Arial" w:cs="Arial" w:eastAsia="Arial" w:hAnsi="Arial"/>
                <w:sz w:val="18"/>
                <w:szCs w:val="18"/>
                <w:color w:val="auto"/>
              </w:rPr>
              <w:t>– Media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Bassett Furniture News Release</w:t>
      </w: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Bassett Announces Regular Fourth Quarter Dividend</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(Bassett, Va.) – October 5, 2023–Bassett Furniture Industries, Inc. (Nasdaq: BSET) announced today that its Board of Directors has declared a regular quarterly dividend of $0.18 per share of common stock, payable on November 24, 2023, to shareholders of record at the close of business on November 10,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Bassett Furniture Industries, Inc.</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Bassett Furniture Industries, Inc. (NASDAQ:BSET), is a leading manufacturer and marketer of high quality home furnishings. With 89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For more information, visit the Company’s website at bassettfurniture.com. (BSET-E)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2023-10-05T08:41:32Z</dcterms:created>
  <dcterms:modified xsi:type="dcterms:W3CDTF">2023-10-05T08:41:32Z</dcterms:modified>
</cp:coreProperties>
</file>