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/X/ QUARTERLY REPORT PURSUANT TO SECTION 13 OR 15 (d) OF</w:t>
      </w:r>
    </w:p>
    <w:p>
      <w:pPr>
        <w:spacing w:after="0" w:line="1"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71" w:lineRule="exact"/>
        <w:rPr>
          <w:sz w:val="24"/>
          <w:szCs w:val="24"/>
          <w:color w:val="auto"/>
        </w:rPr>
      </w:pPr>
    </w:p>
    <w:p>
      <w:pPr>
        <w:ind w:left="780"/>
        <w:spacing w:after="0"/>
        <w:rPr>
          <w:sz w:val="20"/>
          <w:szCs w:val="20"/>
          <w:color w:val="auto"/>
        </w:rPr>
      </w:pPr>
      <w:r>
        <w:rPr>
          <w:rFonts w:ascii="Courier New" w:cs="Courier New" w:eastAsia="Courier New" w:hAnsi="Courier New"/>
          <w:sz w:val="15"/>
          <w:szCs w:val="15"/>
          <w:color w:val="auto"/>
        </w:rPr>
        <w:t>FOR THE QUARTERLY PERIOD ENDED MAY 31, 1996</w:t>
      </w:r>
    </w:p>
    <w:p>
      <w:pPr>
        <w:spacing w:after="0" w:line="171" w:lineRule="exact"/>
        <w:rPr>
          <w:sz w:val="24"/>
          <w:szCs w:val="24"/>
          <w:color w:val="auto"/>
        </w:rPr>
      </w:pPr>
    </w:p>
    <w:p>
      <w:pPr>
        <w:ind w:left="3460"/>
        <w:spacing w:after="0"/>
        <w:rPr>
          <w:sz w:val="20"/>
          <w:szCs w:val="20"/>
          <w:color w:val="auto"/>
        </w:rPr>
      </w:pPr>
      <w:r>
        <w:rPr>
          <w:rFonts w:ascii="Courier New" w:cs="Courier New" w:eastAsia="Courier New" w:hAnsi="Courier New"/>
          <w:sz w:val="15"/>
          <w:szCs w:val="15"/>
          <w:color w:val="auto"/>
        </w:rPr>
        <w:t>OR</w:t>
      </w:r>
    </w:p>
    <w:p>
      <w:pPr>
        <w:spacing w:after="0" w:line="345" w:lineRule="exact"/>
        <w:rPr>
          <w:sz w:val="24"/>
          <w:szCs w:val="24"/>
          <w:color w:val="auto"/>
        </w:rPr>
      </w:pPr>
    </w:p>
    <w:p>
      <w:pPr>
        <w:ind w:left="1940" w:right="4099" w:hanging="973"/>
        <w:spacing w:after="0" w:line="238" w:lineRule="auto"/>
        <w:tabs>
          <w:tab w:leader="none" w:pos="114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 (d) OF THE SECURITIES EXCHANGE ACT OF 1934</w:t>
      </w:r>
    </w:p>
    <w:p>
      <w:pPr>
        <w:sectPr>
          <w:pgSz w:w="11900" w:h="16838" w:orient="portrait"/>
          <w:cols w:equalWidth="0" w:num="1">
            <w:col w:w="10219"/>
          </w:cols>
          <w:pgMar w:left="240" w:top="230"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3" w:lineRule="exact"/>
        <w:rPr>
          <w:sz w:val="24"/>
          <w:szCs w:val="24"/>
          <w:color w:val="auto"/>
        </w:rPr>
      </w:pPr>
    </w:p>
    <w:p>
      <w:pPr>
        <w:sectPr>
          <w:pgSz w:w="11900" w:h="16838" w:orient="portrait"/>
          <w:cols w:equalWidth="0" w:num="2">
            <w:col w:w="3440" w:space="720"/>
            <w:col w:w="6059"/>
          </w:cols>
          <w:pgMar w:left="240" w:top="230" w:right="1440" w:bottom="1440" w:gutter="0" w:footer="0" w:header="0"/>
          <w:type w:val="continuous"/>
        </w:sect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080" w:space="340"/>
            <w:col w:w="5799"/>
          </w:cols>
          <w:pgMar w:left="240" w:top="23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Commission File No. 0-209</w:t>
      </w:r>
    </w:p>
    <w:p>
      <w:pPr>
        <w:sectPr>
          <w:pgSz w:w="11900" w:h="16838" w:orient="portrait"/>
          <w:cols w:equalWidth="0" w:num="1">
            <w:col w:w="10219"/>
          </w:cols>
          <w:pgMar w:left="240" w:top="230" w:right="1440" w:bottom="1440" w:gutter="0" w:footer="0" w:header="0"/>
          <w:type w:val="continuous"/>
        </w:sectPr>
      </w:pPr>
    </w:p>
    <w:p>
      <w:pPr>
        <w:spacing w:after="0" w:line="35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19"/>
          </w:cols>
          <w:pgMar w:left="240" w:top="230" w:right="1440" w:bottom="1440" w:gutter="0" w:footer="0" w:header="0"/>
          <w:type w:val="continuous"/>
        </w:sectPr>
      </w:pPr>
    </w:p>
    <w:p>
      <w:pPr>
        <w:spacing w:after="0" w:line="180" w:lineRule="exact"/>
        <w:rPr>
          <w:sz w:val="24"/>
          <w:szCs w:val="24"/>
          <w:color w:val="auto"/>
        </w:rPr>
      </w:pPr>
    </w:p>
    <w:p>
      <w:pPr>
        <w:ind w:left="1500"/>
        <w:spacing w:after="0"/>
        <w:rPr>
          <w:sz w:val="20"/>
          <w:szCs w:val="20"/>
          <w:color w:val="auto"/>
        </w:rPr>
      </w:pPr>
      <w:r>
        <w:rPr>
          <w:rFonts w:ascii="Courier New" w:cs="Courier New" w:eastAsia="Courier New" w:hAnsi="Courier New"/>
          <w:sz w:val="15"/>
          <w:szCs w:val="15"/>
          <w:color w:val="auto"/>
        </w:rPr>
        <w:t>Virginia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(State or other jurisdiction</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54-0135270</w:t>
      </w:r>
    </w:p>
    <w:p>
      <w:pPr>
        <w:spacing w:after="0" w:line="3"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0" w:lineRule="exact"/>
        <w:rPr>
          <w:sz w:val="24"/>
          <w:szCs w:val="24"/>
          <w:color w:val="auto"/>
        </w:rPr>
      </w:pPr>
    </w:p>
    <w:p>
      <w:pPr>
        <w:sectPr>
          <w:pgSz w:w="11900" w:h="16838" w:orient="portrait"/>
          <w:cols w:equalWidth="0" w:num="2">
            <w:col w:w="4060" w:space="720"/>
            <w:col w:w="5439"/>
          </w:cols>
          <w:pgMar w:left="240" w:top="230" w:right="1440" w:bottom="1440" w:gutter="0" w:footer="0" w:header="0"/>
          <w:type w:val="continuous"/>
        </w:sectPr>
      </w:pPr>
    </w:p>
    <w:p>
      <w:pPr>
        <w:spacing w:after="0" w:line="142" w:lineRule="exact"/>
        <w:rPr>
          <w:sz w:val="24"/>
          <w:szCs w:val="24"/>
          <w:color w:val="auto"/>
        </w:rPr>
      </w:pPr>
    </w:p>
    <w:p>
      <w:pPr>
        <w:ind w:left="2480"/>
        <w:spacing w:after="0"/>
        <w:tabs>
          <w:tab w:leader="none" w:pos="4240" w:val="left"/>
        </w:tabs>
        <w:rPr>
          <w:sz w:val="20"/>
          <w:szCs w:val="20"/>
          <w:color w:val="auto"/>
        </w:rPr>
      </w:pPr>
      <w:r>
        <w:rPr>
          <w:rFonts w:ascii="Courier New" w:cs="Courier New" w:eastAsia="Courier New" w:hAnsi="Courier New"/>
          <w:sz w:val="15"/>
          <w:szCs w:val="15"/>
          <w:color w:val="auto"/>
        </w:rPr>
        <w:t>Bassett, Virginia</w:t>
      </w:r>
      <w:r>
        <w:rPr>
          <w:sz w:val="20"/>
          <w:szCs w:val="20"/>
          <w:color w:val="auto"/>
        </w:rPr>
        <w:tab/>
      </w:r>
      <w:r>
        <w:rPr>
          <w:rFonts w:ascii="Courier New" w:cs="Courier New" w:eastAsia="Courier New" w:hAnsi="Courier New"/>
          <w:sz w:val="14"/>
          <w:szCs w:val="14"/>
          <w:color w:val="auto"/>
        </w:rPr>
        <w:t>24055</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 w:lineRule="exact"/>
        <w:rPr>
          <w:sz w:val="24"/>
          <w:szCs w:val="24"/>
          <w:color w:val="auto"/>
        </w:rPr>
      </w:pPr>
    </w:p>
    <w:p>
      <w:pPr>
        <w:ind w:left="3100"/>
        <w:spacing w:after="0"/>
        <w:rPr>
          <w:sz w:val="20"/>
          <w:szCs w:val="20"/>
          <w:color w:val="auto"/>
        </w:rPr>
      </w:pPr>
      <w:r>
        <w:rPr>
          <w:rFonts w:ascii="Courier New" w:cs="Courier New" w:eastAsia="Courier New" w:hAnsi="Courier New"/>
          <w:sz w:val="15"/>
          <w:szCs w:val="15"/>
          <w:color w:val="auto"/>
        </w:rPr>
        <w:t>(Zip Code)</w:t>
      </w:r>
    </w:p>
    <w:p>
      <w:pPr>
        <w:spacing w:after="0" w:line="342"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(540) 629-6000</w:t>
      </w:r>
    </w:p>
    <w:p>
      <w:pPr>
        <w:spacing w:after="0" w:line="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(Registrant's telephone number, including area code)</w:t>
      </w:r>
    </w:p>
    <w:p>
      <w:pPr>
        <w:sectPr>
          <w:pgSz w:w="11900" w:h="16838" w:orient="portrait"/>
          <w:cols w:equalWidth="0" w:num="1">
            <w:col w:w="10219"/>
          </w:cols>
          <w:pgMar w:left="240" w:top="230" w:right="1440" w:bottom="1440" w:gutter="0" w:footer="0" w:header="0"/>
          <w:type w:val="continuous"/>
        </w:sectPr>
      </w:pP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required to be filed by Section 13 or 15(d) of the Securities Exchange Act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of 1934 during the preceding 12 months, and (2) has been subject to such</w:t>
      </w:r>
    </w:p>
    <w:p>
      <w:pPr>
        <w:spacing w:after="0" w:line="1" w:lineRule="exact"/>
        <w:rPr>
          <w:sz w:val="24"/>
          <w:szCs w:val="24"/>
          <w:color w:val="auto"/>
        </w:rPr>
      </w:pPr>
    </w:p>
    <w:p>
      <w:pPr>
        <w:spacing w:after="0"/>
        <w:tabs>
          <w:tab w:leader="none" w:pos="3780" w:val="left"/>
          <w:tab w:leader="none" w:pos="4240" w:val="left"/>
          <w:tab w:leader="none" w:pos="4680" w:val="left"/>
        </w:tabs>
        <w:rPr>
          <w:sz w:val="20"/>
          <w:szCs w:val="20"/>
          <w:color w:val="auto"/>
        </w:rPr>
      </w:pPr>
      <w:r>
        <w:rPr>
          <w:rFonts w:ascii="Courier New" w:cs="Courier New" w:eastAsia="Courier New" w:hAnsi="Courier New"/>
          <w:sz w:val="15"/>
          <w:szCs w:val="15"/>
          <w:color w:val="auto"/>
        </w:rPr>
        <w:t>filing requirements for the past 90 days.</w:t>
        <w:tab/>
        <w:t>Yes</w:t>
        <w:tab/>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4080"/>
        <w:spacing w:after="0"/>
        <w:tabs>
          <w:tab w:leader="none" w:pos="4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230" w:right="1440" w:bottom="1440" w:gutter="0" w:footer="0" w:header="0"/>
          <w:type w:val="continuous"/>
        </w:sectPr>
      </w:pPr>
    </w:p>
    <w:p>
      <w:pPr>
        <w:spacing w:after="0" w:line="174" w:lineRule="exact"/>
        <w:rPr>
          <w:sz w:val="24"/>
          <w:szCs w:val="24"/>
          <w:color w:val="auto"/>
        </w:rPr>
      </w:pPr>
    </w:p>
    <w:p>
      <w:pPr>
        <w:spacing w:after="0" w:line="238" w:lineRule="auto"/>
        <w:rPr>
          <w:sz w:val="20"/>
          <w:szCs w:val="20"/>
          <w:color w:val="auto"/>
        </w:rPr>
      </w:pPr>
      <w:r>
        <w:rPr>
          <w:rFonts w:ascii="Courier New" w:cs="Courier New" w:eastAsia="Courier New" w:hAnsi="Courier New"/>
          <w:sz w:val="15"/>
          <w:szCs w:val="15"/>
          <w:color w:val="auto"/>
        </w:rPr>
        <w:t>At May 31, 1996, 13,337,538 outstanding.</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shares of common stock of the Registrant were</w:t>
      </w:r>
    </w:p>
    <w:p>
      <w:pPr>
        <w:spacing w:after="0" w:line="378" w:lineRule="exact"/>
        <w:rPr>
          <w:sz w:val="24"/>
          <w:szCs w:val="24"/>
          <w:color w:val="auto"/>
        </w:rPr>
      </w:pPr>
    </w:p>
    <w:p>
      <w:pPr>
        <w:sectPr>
          <w:pgSz w:w="11900" w:h="16838" w:orient="portrait"/>
          <w:cols w:equalWidth="0" w:num="2">
            <w:col w:w="2380" w:space="180"/>
            <w:col w:w="7659"/>
          </w:cols>
          <w:pgMar w:left="240" w:top="230"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color w:val="auto"/>
        </w:rPr>
        <w:t>Page 1 of 8</w:t>
      </w:r>
    </w:p>
    <w:p>
      <w:pPr>
        <w:sectPr>
          <w:pgSz w:w="11900" w:h="16838" w:orient="portrait"/>
          <w:cols w:equalWidth="0" w:num="1">
            <w:col w:w="10219"/>
          </w:cols>
          <w:pgMar w:left="24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PART I - FINANCIAL INFORMATION</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AND SUBSIDIARIES</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 OF INCOME AND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RETAINED EARNINGS - 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336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SIX MONTHS ENDED MAY 31,</w:t>
            </w:r>
          </w:p>
        </w:tc>
        <w:tc>
          <w:tcPr>
            <w:tcW w:w="32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4920" w:type="dxa"/>
            <w:vAlign w:val="bottom"/>
          </w:tcPr>
          <w:p>
            <w:pPr>
              <w:spacing w:after="0"/>
              <w:rPr>
                <w:sz w:val="14"/>
                <w:szCs w:val="14"/>
                <w:color w:val="auto"/>
              </w:rPr>
            </w:pPr>
          </w:p>
        </w:tc>
        <w:tc>
          <w:tcPr>
            <w:tcW w:w="3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3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1996</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1995</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r>
      <w:tr>
        <w:trPr>
          <w:trHeight w:val="512"/>
        </w:trPr>
        <w:tc>
          <w:tcPr>
            <w:tcW w:w="49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$223,224,174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$242,568,556</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$111,273,154</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$119,018,005</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Cost of sales</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187,741,206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202,624,957</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93,558,086</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99,696,395</w:t>
            </w: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Selling, general and administrative</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31,323,263</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32,506,437</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15,836,130</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16,490,093</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219,064,469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235,131,394</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109,394,216</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116,186,488</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 from operations</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4,159,705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7,437,162</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1,878,938</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2,831,517</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8,321,465</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6,498,934</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4,278,271</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4,185,733</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 before income taxes</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12,481,170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13,936,096</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6,157,209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7,017,250</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(2,775,000)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(4,063,000)</w:t>
            </w:r>
          </w:p>
        </w:tc>
        <w:tc>
          <w:tcPr>
            <w:tcW w:w="18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(1,165,000)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(2,040,500)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NET INCOME</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9,706,170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9,873,096</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4,992,209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4,976,750</w:t>
            </w:r>
          </w:p>
        </w:tc>
      </w:tr>
      <w:tr>
        <w:trPr>
          <w:trHeight w:val="34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Retained earnings - beginning of period</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225,718,704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221,949,817</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226,287,719</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224,028,800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235,424,874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231,822,913</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231,279,928</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229,005,550</w:t>
            </w: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Cash dividends</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(5,394,558)</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(5,634,893)</w:t>
            </w:r>
          </w:p>
        </w:tc>
        <w:tc>
          <w:tcPr>
            <w:tcW w:w="18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(2,678,008)</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(2,817,530)</w:t>
            </w:r>
          </w:p>
        </w:tc>
      </w:tr>
      <w:tr>
        <w:trPr>
          <w:trHeight w:val="171"/>
        </w:trPr>
        <w:tc>
          <w:tcPr>
            <w:tcW w:w="4920" w:type="dxa"/>
            <w:vAlign w:val="bottom"/>
          </w:tcPr>
          <w:p>
            <w:pPr>
              <w:ind w:left="340"/>
              <w:spacing w:after="0"/>
              <w:rPr>
                <w:sz w:val="20"/>
                <w:szCs w:val="20"/>
                <w:color w:val="auto"/>
              </w:rPr>
            </w:pPr>
            <w:r>
              <w:rPr>
                <w:rFonts w:ascii="Courier New" w:cs="Courier New" w:eastAsia="Courier New" w:hAnsi="Courier New"/>
                <w:sz w:val="15"/>
                <w:szCs w:val="15"/>
                <w:color w:val="auto"/>
              </w:rPr>
              <w:t>Purchase and retirement of common stock</w:t>
            </w:r>
          </w:p>
        </w:tc>
        <w:tc>
          <w:tcPr>
            <w:tcW w:w="2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(6,357,974)</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8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(4,929,578)</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6"/>
              </w:rPr>
              <w:t>-0-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Retained earnings - end of period</w:t>
            </w: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$223,672,342</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$226,188,020</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$223,672,342</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$226,188,020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853"/>
        </w:trPr>
        <w:tc>
          <w:tcPr>
            <w:tcW w:w="4920" w:type="dxa"/>
            <w:vAlign w:val="bottom"/>
          </w:tcPr>
          <w:p>
            <w:pPr>
              <w:ind w:left="780"/>
              <w:spacing w:after="0"/>
              <w:rPr>
                <w:sz w:val="20"/>
                <w:szCs w:val="20"/>
                <w:color w:val="auto"/>
              </w:rPr>
            </w:pPr>
            <w:r>
              <w:rPr>
                <w:rFonts w:ascii="Courier New" w:cs="Courier New" w:eastAsia="Courier New" w:hAnsi="Courier New"/>
                <w:sz w:val="15"/>
                <w:szCs w:val="15"/>
                <w:color w:val="auto"/>
              </w:rPr>
              <w:t>NET INCOME PER SHARE</w:t>
            </w:r>
          </w:p>
        </w:tc>
        <w:tc>
          <w:tcPr>
            <w:tcW w:w="2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.72</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.70</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.37</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rPr>
              <w:t>$ .35</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rPr>
              <w:t>=====</w:t>
            </w:r>
          </w:p>
        </w:tc>
      </w:tr>
      <w:tr>
        <w:trPr>
          <w:trHeight w:val="341"/>
        </w:trPr>
        <w:tc>
          <w:tcPr>
            <w:tcW w:w="4920" w:type="dxa"/>
            <w:vAlign w:val="bottom"/>
          </w:tcPr>
          <w:p>
            <w:pPr>
              <w:ind w:left="780"/>
              <w:spacing w:after="0"/>
              <w:rPr>
                <w:sz w:val="20"/>
                <w:szCs w:val="20"/>
                <w:color w:val="auto"/>
              </w:rPr>
            </w:pPr>
            <w:r>
              <w:rPr>
                <w:rFonts w:ascii="Courier New" w:cs="Courier New" w:eastAsia="Courier New" w:hAnsi="Courier New"/>
                <w:sz w:val="15"/>
                <w:szCs w:val="15"/>
                <w:color w:val="auto"/>
              </w:rPr>
              <w:t>DIVIDENDS PER SHARE</w:t>
            </w:r>
          </w:p>
        </w:tc>
        <w:tc>
          <w:tcPr>
            <w:tcW w:w="2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 .40</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.40</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.20</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rPr>
              <w:t>$ .20</w:t>
            </w:r>
          </w:p>
        </w:tc>
      </w:tr>
      <w:tr>
        <w:trPr>
          <w:trHeight w:val="171"/>
        </w:trPr>
        <w:tc>
          <w:tcPr>
            <w:tcW w:w="4920" w:type="dxa"/>
            <w:vAlign w:val="bottom"/>
          </w:tcPr>
          <w:p>
            <w:pPr>
              <w:spacing w:after="0"/>
              <w:rPr>
                <w:sz w:val="14"/>
                <w:szCs w:val="14"/>
                <w:color w:val="auto"/>
              </w:rPr>
            </w:pPr>
          </w:p>
        </w:tc>
        <w:tc>
          <w:tcPr>
            <w:tcW w:w="2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20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5220"/>
        <w:spacing w:after="0" w:line="238" w:lineRule="auto"/>
        <w:rPr>
          <w:sz w:val="20"/>
          <w:szCs w:val="20"/>
          <w:color w:val="auto"/>
        </w:rPr>
      </w:pPr>
      <w:r>
        <w:rPr>
          <w:rFonts w:ascii="Courier New" w:cs="Courier New" w:eastAsia="Courier New" w:hAnsi="Courier New"/>
          <w:sz w:val="15"/>
          <w:szCs w:val="15"/>
          <w:color w:val="auto"/>
        </w:rPr>
        <w:t>The accompanying note is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2 of 8</w:t>
      </w:r>
    </w:p>
    <w:p>
      <w:pPr>
        <w:sectPr>
          <w:pgSz w:w="11900" w:h="16838" w:orient="portrait"/>
          <w:cols w:equalWidth="0" w:num="1">
            <w:col w:w="11520"/>
          </w:cols>
          <w:pgMar w:left="240" w:top="287" w:right="139"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40" w:type="dxa"/>
            <w:vAlign w:val="bottom"/>
          </w:tcPr>
          <w:p>
            <w:pPr>
              <w:ind w:left="1420"/>
              <w:spacing w:after="0"/>
              <w:rPr>
                <w:sz w:val="20"/>
                <w:szCs w:val="20"/>
                <w:color w:val="auto"/>
              </w:rPr>
            </w:pPr>
            <w:r>
              <w:rPr>
                <w:rFonts w:ascii="Courier New" w:cs="Courier New" w:eastAsia="Courier New" w:hAnsi="Courier New"/>
                <w:sz w:val="15"/>
                <w:szCs w:val="15"/>
                <w:color w:val="auto"/>
              </w:rPr>
              <w:t>CONDENSED CONSOLIDATED BALANCE SHEET - UNAUDITED</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683"/>
        </w:trPr>
        <w:tc>
          <w:tcPr>
            <w:tcW w:w="5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MAY 31, 1996</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NOVEMBER 30, 1995</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$ 69,686,579</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$ 51,331,119</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Trade accounts receivable, less allowances</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620"/>
              <w:spacing w:after="0"/>
              <w:rPr>
                <w:sz w:val="20"/>
                <w:szCs w:val="20"/>
                <w:color w:val="auto"/>
              </w:rPr>
            </w:pPr>
            <w:r>
              <w:rPr>
                <w:rFonts w:ascii="Courier New" w:cs="Courier New" w:eastAsia="Courier New" w:hAnsi="Courier New"/>
                <w:sz w:val="15"/>
                <w:szCs w:val="15"/>
                <w:color w:val="auto"/>
              </w:rPr>
              <w:t>for doubtful accounts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58,376,422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68,591,514</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Inventories:</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520"/>
              <w:spacing w:after="0"/>
              <w:rPr>
                <w:sz w:val="20"/>
                <w:szCs w:val="20"/>
                <w:color w:val="auto"/>
              </w:rPr>
            </w:pPr>
            <w:r>
              <w:rPr>
                <w:rFonts w:ascii="Courier New" w:cs="Courier New" w:eastAsia="Courier New" w:hAnsi="Courier New"/>
                <w:sz w:val="15"/>
                <w:szCs w:val="15"/>
                <w:color w:val="auto"/>
              </w:rPr>
              <w:t>Finished goods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47,808,655</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46,490,589</w:t>
            </w:r>
          </w:p>
        </w:tc>
      </w:tr>
      <w:tr>
        <w:trPr>
          <w:trHeight w:val="171"/>
        </w:trPr>
        <w:tc>
          <w:tcPr>
            <w:tcW w:w="5840" w:type="dxa"/>
            <w:vAlign w:val="bottom"/>
          </w:tcPr>
          <w:p>
            <w:pPr>
              <w:ind w:left="520"/>
              <w:spacing w:after="0"/>
              <w:rPr>
                <w:sz w:val="20"/>
                <w:szCs w:val="20"/>
                <w:color w:val="auto"/>
              </w:rPr>
            </w:pPr>
            <w:r>
              <w:rPr>
                <w:rFonts w:ascii="Courier New" w:cs="Courier New" w:eastAsia="Courier New" w:hAnsi="Courier New"/>
                <w:sz w:val="15"/>
                <w:szCs w:val="15"/>
                <w:color w:val="auto"/>
              </w:rPr>
              <w:t>Work in process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14,831,977</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16,231,269</w:t>
            </w:r>
          </w:p>
        </w:tc>
      </w:tr>
      <w:tr>
        <w:trPr>
          <w:trHeight w:val="171"/>
        </w:trPr>
        <w:tc>
          <w:tcPr>
            <w:tcW w:w="5840" w:type="dxa"/>
            <w:vAlign w:val="bottom"/>
          </w:tcPr>
          <w:p>
            <w:pPr>
              <w:ind w:left="520"/>
              <w:spacing w:after="0"/>
              <w:rPr>
                <w:sz w:val="20"/>
                <w:szCs w:val="20"/>
                <w:color w:val="auto"/>
              </w:rPr>
            </w:pPr>
            <w:r>
              <w:rPr>
                <w:rFonts w:ascii="Courier New" w:cs="Courier New" w:eastAsia="Courier New" w:hAnsi="Courier New"/>
                <w:sz w:val="15"/>
                <w:szCs w:val="15"/>
                <w:color w:val="auto"/>
              </w:rPr>
              <w:t>Raw materials and supplies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39,188,822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45,305,749</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101,829,454</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108,027,607</w:t>
            </w:r>
          </w:p>
        </w:tc>
      </w:tr>
      <w:tr>
        <w:trPr>
          <w:trHeight w:val="171"/>
        </w:trPr>
        <w:tc>
          <w:tcPr>
            <w:tcW w:w="5840" w:type="dxa"/>
            <w:vAlign w:val="bottom"/>
          </w:tcPr>
          <w:p>
            <w:pPr>
              <w:ind w:left="520"/>
              <w:spacing w:after="0"/>
              <w:rPr>
                <w:sz w:val="20"/>
                <w:szCs w:val="20"/>
                <w:color w:val="auto"/>
              </w:rPr>
            </w:pPr>
            <w:r>
              <w:rPr>
                <w:rFonts w:ascii="Courier New" w:cs="Courier New" w:eastAsia="Courier New" w:hAnsi="Courier New"/>
                <w:sz w:val="15"/>
                <w:szCs w:val="15"/>
                <w:color w:val="auto"/>
              </w:rPr>
              <w:t>Less LIFO adjustment</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27,601,000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26,801,000</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74,228,454</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81,226,607</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Prepaid expenses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508,243</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1,757,658</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1,804,000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2,008,000</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204,603,698</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204,914,898</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Cost</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214,581,336</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211,790,217</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Less allowances for depreciation</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162,724,380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158,665,871</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51,856,956</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53,124,346</w:t>
            </w:r>
          </w:p>
        </w:tc>
      </w:tr>
      <w:tr>
        <w:trPr>
          <w:trHeight w:val="341"/>
        </w:trPr>
        <w:tc>
          <w:tcPr>
            <w:tcW w:w="584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Investment in securities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28,939,889</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39,055,319</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Investment in affiliated companies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42,917,981</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40,398,574</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Other</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8,206,292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9,227,317</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80,064,162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88,681,210</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$336,524,816</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$346,720,454</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Accounts payable</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$ 26,239,086</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$ 29,710,299</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Accrued compensation</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4,509,949</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4,778,966</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Income taxes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64,247</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902,476</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30,813,282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35,391,741</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Deferrals</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Deferred liabilities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10,591,502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10,296,244</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Deferred income taxes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1,509,000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2,129,000</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12,100,502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12,425,244</w:t>
            </w:r>
          </w:p>
        </w:tc>
      </w:tr>
      <w:tr>
        <w:trPr>
          <w:trHeight w:val="171"/>
        </w:trPr>
        <w:tc>
          <w:tcPr>
            <w:tcW w:w="58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Common stock</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66,687,690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68,294,765</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Retained earnings</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223,672,342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225,718,704</w:t>
            </w:r>
          </w:p>
        </w:tc>
      </w:tr>
      <w:tr>
        <w:trPr>
          <w:trHeight w:val="171"/>
        </w:trPr>
        <w:tc>
          <w:tcPr>
            <w:tcW w:w="5840" w:type="dxa"/>
            <w:vAlign w:val="bottom"/>
          </w:tcPr>
          <w:p>
            <w:pPr>
              <w:ind w:left="340"/>
              <w:spacing w:after="0"/>
              <w:rPr>
                <w:sz w:val="20"/>
                <w:szCs w:val="20"/>
                <w:color w:val="auto"/>
              </w:rPr>
            </w:pPr>
            <w:r>
              <w:rPr>
                <w:rFonts w:ascii="Courier New" w:cs="Courier New" w:eastAsia="Courier New" w:hAnsi="Courier New"/>
                <w:sz w:val="15"/>
                <w:szCs w:val="15"/>
                <w:color w:val="auto"/>
              </w:rPr>
              <w:t>Unrealized holding gains, net of tax</w:t>
            </w: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3,251,000</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4,890,000</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293,611,032</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298,903,469</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$336,524,816</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$346,720,454</w:t>
            </w:r>
          </w:p>
        </w:tc>
      </w:tr>
      <w:tr>
        <w:trPr>
          <w:trHeight w:val="171"/>
        </w:trPr>
        <w:tc>
          <w:tcPr>
            <w:tcW w:w="5840" w:type="dxa"/>
            <w:vAlign w:val="bottom"/>
          </w:tcPr>
          <w:p>
            <w:pPr>
              <w:spacing w:after="0"/>
              <w:rPr>
                <w:sz w:val="14"/>
                <w:szCs w:val="14"/>
                <w:color w:val="auto"/>
              </w:rPr>
            </w:pPr>
          </w:p>
        </w:tc>
        <w:tc>
          <w:tcPr>
            <w:tcW w:w="16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The accompanying note is an integral part of the condensed consolidated financial statements.</w:t>
      </w:r>
    </w:p>
    <w:p>
      <w:pPr>
        <w:spacing w:after="0" w:line="343"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3 of 8</w:t>
      </w:r>
    </w:p>
    <w:p>
      <w:pPr>
        <w:sectPr>
          <w:pgSz w:w="11900" w:h="16838" w:orient="portrait"/>
          <w:cols w:equalWidth="0" w:num="1">
            <w:col w:w="10219"/>
          </w:cols>
          <w:pgMar w:left="240" w:top="287" w:right="1440" w:bottom="1440" w:gutter="0" w:footer="0" w:header="0"/>
        </w:sectPr>
      </w:pPr>
    </w:p>
    <w:bookmarkStart w:id="3" w:name="page4"/>
    <w:bookmarkEnd w:id="3"/>
    <w:p>
      <w:pPr>
        <w:ind w:left="269"/>
        <w:spacing w:after="0"/>
        <w:rPr>
          <w:sz w:val="20"/>
          <w:szCs w:val="20"/>
          <w:color w:val="auto"/>
        </w:rPr>
      </w:pPr>
      <w:r>
        <w:rPr>
          <w:rFonts w:ascii="Courier New" w:cs="Courier New" w:eastAsia="Courier New" w:hAnsi="Courier New"/>
          <w:sz w:val="15"/>
          <w:szCs w:val="15"/>
          <w:color w:val="auto"/>
        </w:rPr>
        <w:t>4</w:t>
      </w:r>
    </w:p>
    <w:p>
      <w:pPr>
        <w:spacing w:after="0" w:line="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736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BASSETT FURNITURE INDUSTRIES, INCORPORATED AND SUBSIDIARIES</w:t>
            </w:r>
          </w:p>
        </w:tc>
        <w:tc>
          <w:tcPr>
            <w:tcW w:w="1500" w:type="dxa"/>
            <w:vAlign w:val="bottom"/>
          </w:tcPr>
          <w:p>
            <w:pPr>
              <w:spacing w:after="0"/>
              <w:rPr>
                <w:sz w:val="14"/>
                <w:szCs w:val="14"/>
                <w:color w:val="auto"/>
              </w:rPr>
            </w:pPr>
          </w:p>
        </w:tc>
      </w:tr>
      <w:tr>
        <w:trPr>
          <w:trHeight w:val="171"/>
        </w:trPr>
        <w:tc>
          <w:tcPr>
            <w:tcW w:w="736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CONDENSED CONSOLIDATED STATEMENT OF CASH FLOWS - UNAUDITED</w:t>
            </w:r>
          </w:p>
        </w:tc>
        <w:tc>
          <w:tcPr>
            <w:tcW w:w="1500" w:type="dxa"/>
            <w:vAlign w:val="bottom"/>
          </w:tcPr>
          <w:p>
            <w:pPr>
              <w:spacing w:after="0"/>
              <w:rPr>
                <w:sz w:val="14"/>
                <w:szCs w:val="14"/>
                <w:color w:val="auto"/>
              </w:rPr>
            </w:pPr>
          </w:p>
        </w:tc>
      </w:tr>
      <w:tr>
        <w:trPr>
          <w:trHeight w:val="853"/>
        </w:trPr>
        <w:tc>
          <w:tcPr>
            <w:tcW w:w="5360" w:type="dxa"/>
            <w:vAlign w:val="bottom"/>
          </w:tcPr>
          <w:p>
            <w:pPr>
              <w:spacing w:after="0"/>
              <w:rPr>
                <w:sz w:val="24"/>
                <w:szCs w:val="24"/>
                <w:color w:val="auto"/>
              </w:rPr>
            </w:pPr>
          </w:p>
        </w:tc>
        <w:tc>
          <w:tcPr>
            <w:tcW w:w="3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SIX MONTHS ENDED MAY 31,</w:t>
            </w:r>
          </w:p>
        </w:tc>
      </w:tr>
      <w:tr>
        <w:trPr>
          <w:trHeight w:val="171"/>
        </w:trPr>
        <w:tc>
          <w:tcPr>
            <w:tcW w:w="5360" w:type="dxa"/>
            <w:vAlign w:val="bottom"/>
          </w:tcPr>
          <w:p>
            <w:pPr>
              <w:spacing w:after="0"/>
              <w:rPr>
                <w:sz w:val="14"/>
                <w:szCs w:val="14"/>
                <w:color w:val="auto"/>
              </w:rPr>
            </w:pPr>
          </w:p>
        </w:tc>
        <w:tc>
          <w:tcPr>
            <w:tcW w:w="3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1996</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$22,885,290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$16,920,923</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Net change in cost of investment securities</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11,618,801</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1,010,153</w:t>
            </w:r>
          </w:p>
        </w:tc>
      </w:tr>
      <w:tr>
        <w:trPr>
          <w:trHeight w:val="171"/>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Purchases of property, plant and equipment</w:t>
            </w:r>
          </w:p>
        </w:tc>
        <w:tc>
          <w:tcPr>
            <w:tcW w:w="20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(3,084,172)</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(5,323,407)</w:t>
            </w:r>
          </w:p>
        </w:tc>
      </w:tr>
      <w:tr>
        <w:trPr>
          <w:trHeight w:val="171"/>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property, plant and equipment</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76,635</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Dividends from affiliated company</w:t>
            </w:r>
          </w:p>
        </w:tc>
        <w:tc>
          <w:tcPr>
            <w:tcW w:w="20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544,753</w:t>
            </w:r>
          </w:p>
        </w:tc>
      </w:tr>
      <w:tr>
        <w:trPr>
          <w:trHeight w:val="171"/>
        </w:trPr>
        <w:tc>
          <w:tcPr>
            <w:tcW w:w="5360" w:type="dxa"/>
            <w:vAlign w:val="bottom"/>
          </w:tcPr>
          <w:p>
            <w:pPr>
              <w:ind w:left="440"/>
              <w:spacing w:after="0"/>
              <w:rPr>
                <w:sz w:val="20"/>
                <w:szCs w:val="20"/>
                <w:color w:val="auto"/>
              </w:rPr>
            </w:pPr>
            <w:r>
              <w:rPr>
                <w:rFonts w:ascii="Courier New" w:cs="Courier New" w:eastAsia="Courier New" w:hAnsi="Courier New"/>
                <w:sz w:val="15"/>
                <w:szCs w:val="15"/>
                <w:color w:val="auto"/>
              </w:rPr>
              <w:t>Other</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218,513</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450,592</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8,829,777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(3,267,909)</w:t>
            </w:r>
          </w:p>
        </w:tc>
      </w:tr>
      <w:tr>
        <w:trPr>
          <w:trHeight w:val="171"/>
        </w:trPr>
        <w:tc>
          <w:tcPr>
            <w:tcW w:w="5360" w:type="dxa"/>
            <w:vAlign w:val="bottom"/>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200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Issuance of common stock</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25,364</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48,733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Purchase and retirement of common stock</w:t>
            </w:r>
          </w:p>
        </w:tc>
        <w:tc>
          <w:tcPr>
            <w:tcW w:w="20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(7,990,413)</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w:t>
            </w:r>
          </w:p>
        </w:tc>
        <w:tc>
          <w:tcPr>
            <w:tcW w:w="20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(5,394,558)</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(5,634,893)</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(13,359,607)</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(5,612,160)</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18,355,460</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8,040,854</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 beginning of period</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51,331,119</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42,314,957</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CASH AND CASH EQUIVALENTS - end of period</w:t>
            </w: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$69,686,579</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$50,355,811</w:t>
            </w:r>
          </w:p>
        </w:tc>
      </w:tr>
      <w:tr>
        <w:trPr>
          <w:trHeight w:val="171"/>
        </w:trPr>
        <w:tc>
          <w:tcPr>
            <w:tcW w:w="5360" w:type="dxa"/>
            <w:vAlign w:val="bottom"/>
          </w:tcPr>
          <w:p>
            <w:pPr>
              <w:spacing w:after="0"/>
              <w:rPr>
                <w:sz w:val="14"/>
                <w:szCs w:val="14"/>
                <w:color w:val="auto"/>
              </w:rPr>
            </w:pPr>
          </w:p>
        </w:tc>
        <w:tc>
          <w:tcPr>
            <w:tcW w:w="20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NOTE TO CONDENSED CONSOLIDATED FINANCIAL STATEMENTS</w:t>
      </w:r>
    </w:p>
    <w:p>
      <w:pPr>
        <w:spacing w:after="0" w:line="174" w:lineRule="exact"/>
        <w:rPr>
          <w:sz w:val="20"/>
          <w:szCs w:val="20"/>
          <w:color w:val="auto"/>
        </w:rPr>
      </w:pPr>
    </w:p>
    <w:p>
      <w:pPr>
        <w:ind w:left="349" w:right="3399" w:hanging="349"/>
        <w:spacing w:after="0" w:line="271" w:lineRule="auto"/>
        <w:tabs>
          <w:tab w:leader="none" w:pos="349"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amounts are based on 13,519,393 and 14,087,540 weighted average number of shares outstanding at May 31, 1996 and 1995, respectively.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4 of 8</w:t>
      </w:r>
    </w:p>
    <w:p>
      <w:pPr>
        <w:sectPr>
          <w:pgSz w:w="11900" w:h="16838" w:orient="portrait"/>
          <w:cols w:equalWidth="0" w:num="1">
            <w:col w:w="10228"/>
          </w:cols>
          <w:pgMar w:left="231" w:top="287"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AND SUBSIDIARIES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4" w:lineRule="exact"/>
        <w:rPr>
          <w:sz w:val="20"/>
          <w:szCs w:val="20"/>
          <w:color w:val="auto"/>
        </w:rPr>
      </w:pPr>
    </w:p>
    <w:p>
      <w:pPr>
        <w:ind w:right="4180"/>
        <w:spacing w:after="0" w:line="260"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w:t>
      </w:r>
    </w:p>
    <w:p>
      <w:pPr>
        <w:spacing w:after="0" w:line="164" w:lineRule="exact"/>
        <w:rPr>
          <w:sz w:val="20"/>
          <w:szCs w:val="20"/>
          <w:color w:val="auto"/>
        </w:rPr>
      </w:pPr>
    </w:p>
    <w:p>
      <w:pPr>
        <w:ind w:right="4260"/>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components of net income expressed as a percentage of net sales:</w:t>
      </w:r>
    </w:p>
    <w:p>
      <w:pPr>
        <w:spacing w:after="0" w:line="200" w:lineRule="exact"/>
        <w:rPr>
          <w:sz w:val="20"/>
          <w:szCs w:val="20"/>
          <w:color w:val="auto"/>
        </w:rPr>
      </w:pPr>
    </w:p>
    <w:p>
      <w:pPr>
        <w:spacing w:after="0" w:line="31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302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Six Months Ended May 31,</w:t>
            </w:r>
          </w:p>
        </w:tc>
        <w:tc>
          <w:tcPr>
            <w:tcW w:w="29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2700" w:type="dxa"/>
            <w:vAlign w:val="bottom"/>
          </w:tcPr>
          <w:p>
            <w:pPr>
              <w:spacing w:after="0"/>
              <w:rPr>
                <w:sz w:val="14"/>
                <w:szCs w:val="14"/>
                <w:color w:val="auto"/>
              </w:rPr>
            </w:pPr>
          </w:p>
        </w:tc>
        <w:tc>
          <w:tcPr>
            <w:tcW w:w="3020" w:type="dxa"/>
            <w:vAlign w:val="bottom"/>
            <w:gridSpan w:val="3"/>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298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700" w:type="dxa"/>
            <w:vAlign w:val="bottom"/>
          </w:tcPr>
          <w:p>
            <w:pPr>
              <w:spacing w:after="0"/>
              <w:rPr>
                <w:sz w:val="14"/>
                <w:szCs w:val="14"/>
                <w:color w:val="auto"/>
              </w:rPr>
            </w:pP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84.11%</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83.53%</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82.20%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84.08%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80.84%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Selling, general and admin.</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14.03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12.73</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14.23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13.86</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12.74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1.86</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5.07</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2.38</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1.81</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3.84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5.59</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6.88</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5.53</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5.89</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1.24</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2.04</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1.05</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1.71</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2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4.35</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4.07</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4.64</w:t>
            </w:r>
          </w:p>
        </w:tc>
        <w:tc>
          <w:tcPr>
            <w:tcW w:w="11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4.48</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4.18</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sales for the current two periods compared to prior years:</w:t>
      </w:r>
    </w:p>
    <w:p>
      <w:pPr>
        <w:spacing w:after="0" w:line="200" w:lineRule="exact"/>
        <w:rPr>
          <w:sz w:val="20"/>
          <w:szCs w:val="20"/>
          <w:color w:val="auto"/>
        </w:rPr>
      </w:pPr>
    </w:p>
    <w:p>
      <w:pPr>
        <w:spacing w:after="0" w:line="31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354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Six Months Ended May 31,</w:t>
            </w:r>
          </w:p>
        </w:tc>
        <w:tc>
          <w:tcPr>
            <w:tcW w:w="34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2360" w:type="dxa"/>
            <w:vAlign w:val="bottom"/>
          </w:tcPr>
          <w:p>
            <w:pPr>
              <w:spacing w:after="0"/>
              <w:rPr>
                <w:sz w:val="14"/>
                <w:szCs w:val="14"/>
                <w:color w:val="auto"/>
              </w:rPr>
            </w:pPr>
          </w:p>
        </w:tc>
        <w:tc>
          <w:tcPr>
            <w:tcW w:w="354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c>
          <w:tcPr>
            <w:tcW w:w="3420" w:type="dxa"/>
            <w:vAlign w:val="bottom"/>
            <w:gridSpan w:val="3"/>
          </w:tcPr>
          <w:p>
            <w:pPr>
              <w:jc w:val="center"/>
              <w:ind w:left="14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360" w:type="dxa"/>
            <w:vAlign w:val="bottom"/>
          </w:tcPr>
          <w:p>
            <w:pPr>
              <w:spacing w:after="0"/>
              <w:rPr>
                <w:sz w:val="14"/>
                <w:szCs w:val="14"/>
                <w:color w:val="auto"/>
              </w:rPr>
            </w:pP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1995</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2360" w:type="dxa"/>
            <w:vAlign w:val="bottom"/>
          </w:tcPr>
          <w:p>
            <w:pPr>
              <w:spacing w:after="0"/>
              <w:rPr>
                <w:sz w:val="14"/>
                <w:szCs w:val="14"/>
                <w:color w:val="auto"/>
              </w:rPr>
            </w:pP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341"/>
        </w:trPr>
        <w:tc>
          <w:tcPr>
            <w:tcW w:w="2360" w:type="dxa"/>
            <w:vAlign w:val="bottom"/>
          </w:tcPr>
          <w:p>
            <w:pPr>
              <w:spacing w:after="0"/>
              <w:rPr>
                <w:sz w:val="20"/>
                <w:szCs w:val="20"/>
                <w:color w:val="auto"/>
              </w:rPr>
            </w:pPr>
            <w:r>
              <w:rPr>
                <w:rFonts w:ascii="Courier New" w:cs="Courier New" w:eastAsia="Courier New" w:hAnsi="Courier New"/>
                <w:sz w:val="15"/>
                <w:szCs w:val="15"/>
                <w:color w:val="auto"/>
              </w:rPr>
              <w:t>Net sales (thousands)</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$223,224</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$242,569</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$256,304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$111,273</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$119,018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$134,639</w:t>
            </w:r>
          </w:p>
        </w:tc>
      </w:tr>
      <w:tr>
        <w:trPr>
          <w:trHeight w:val="171"/>
        </w:trPr>
        <w:tc>
          <w:tcPr>
            <w:tcW w:w="2360" w:type="dxa"/>
            <w:vAlign w:val="bottom"/>
          </w:tcPr>
          <w:p>
            <w:pPr>
              <w:spacing w:after="0"/>
              <w:rPr>
                <w:sz w:val="20"/>
                <w:szCs w:val="20"/>
                <w:color w:val="auto"/>
              </w:rPr>
            </w:pPr>
            <w:r>
              <w:rPr>
                <w:rFonts w:ascii="Courier New" w:cs="Courier New" w:eastAsia="Courier New" w:hAnsi="Courier New"/>
                <w:sz w:val="15"/>
                <w:szCs w:val="15"/>
                <w:color w:val="auto"/>
              </w:rPr>
              <w:t>% change from prior year</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ind w:left="400"/>
              <w:spacing w:after="0"/>
              <w:rPr>
                <w:sz w:val="20"/>
                <w:szCs w:val="20"/>
                <w:color w:val="auto"/>
              </w:rPr>
            </w:pPr>
            <w:r>
              <w:rPr>
                <w:rFonts w:ascii="Courier New" w:cs="Courier New" w:eastAsia="Courier New" w:hAnsi="Courier New"/>
                <w:sz w:val="15"/>
                <w:szCs w:val="15"/>
                <w:color w:val="auto"/>
              </w:rPr>
              <w:t>(5.4)%</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w:t>
            </w:r>
          </w:p>
        </w:tc>
        <w:tc>
          <w:tcPr>
            <w:tcW w:w="1240" w:type="dxa"/>
            <w:vAlign w:val="bottom"/>
          </w:tcPr>
          <w:p>
            <w:pPr>
              <w:ind w:left="480"/>
              <w:spacing w:after="0"/>
              <w:rPr>
                <w:sz w:val="20"/>
                <w:szCs w:val="20"/>
                <w:color w:val="auto"/>
              </w:rPr>
            </w:pPr>
            <w:r>
              <w:rPr>
                <w:rFonts w:ascii="Courier New" w:cs="Courier New" w:eastAsia="Courier New" w:hAnsi="Courier New"/>
                <w:sz w:val="15"/>
                <w:szCs w:val="15"/>
                <w:color w:val="auto"/>
              </w:rPr>
              <w:t>(6.5)%</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w:t>
            </w:r>
          </w:p>
        </w:tc>
      </w:tr>
    </w:tbl>
    <w:p>
      <w:pPr>
        <w:spacing w:after="0" w:line="345" w:lineRule="exact"/>
        <w:rPr>
          <w:sz w:val="20"/>
          <w:szCs w:val="20"/>
          <w:color w:val="auto"/>
        </w:rPr>
      </w:pPr>
    </w:p>
    <w:p>
      <w:pPr>
        <w:ind w:right="3900"/>
        <w:spacing w:after="0" w:line="239" w:lineRule="auto"/>
        <w:rPr>
          <w:sz w:val="20"/>
          <w:szCs w:val="20"/>
          <w:color w:val="auto"/>
        </w:rPr>
      </w:pPr>
      <w:r>
        <w:rPr>
          <w:rFonts w:ascii="Courier New" w:cs="Courier New" w:eastAsia="Courier New" w:hAnsi="Courier New"/>
          <w:sz w:val="15"/>
          <w:szCs w:val="15"/>
          <w:color w:val="auto"/>
        </w:rPr>
        <w:t>In the 1996 six month period, net sales increased in the Bedding Division, but were flat or decreased at other Divisions of the Company. The percentage change in net sales for the Company in the second quarter of 1996 ( (6.5%) ) improved over the change in the first quarter ( (9.4%)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w:t>
      </w:r>
    </w:p>
    <w:p>
      <w:pPr>
        <w:spacing w:after="0" w:line="3" w:lineRule="exact"/>
        <w:rPr>
          <w:sz w:val="20"/>
          <w:szCs w:val="20"/>
          <w:color w:val="auto"/>
        </w:rPr>
      </w:pPr>
    </w:p>
    <w:p>
      <w:pPr>
        <w:ind w:right="3820"/>
        <w:spacing w:after="0" w:line="238" w:lineRule="auto"/>
        <w:rPr>
          <w:sz w:val="20"/>
          <w:szCs w:val="20"/>
          <w:color w:val="auto"/>
        </w:rPr>
      </w:pPr>
      <w:r>
        <w:rPr>
          <w:rFonts w:ascii="Courier New" w:cs="Courier New" w:eastAsia="Courier New" w:hAnsi="Courier New"/>
          <w:sz w:val="15"/>
          <w:szCs w:val="15"/>
          <w:color w:val="auto"/>
        </w:rPr>
        <w:t>Cost of sales for the second quarter (84.08%) remained even with the 1996 first quarter (84.13%), however this is still up from the 1995 second quarter</w:t>
      </w:r>
    </w:p>
    <w:p>
      <w:pPr>
        <w:spacing w:after="0" w:line="4" w:lineRule="exact"/>
        <w:rPr>
          <w:sz w:val="20"/>
          <w:szCs w:val="20"/>
          <w:color w:val="auto"/>
        </w:rPr>
      </w:pPr>
    </w:p>
    <w:p>
      <w:pPr>
        <w:ind w:right="3900"/>
        <w:spacing w:after="0"/>
        <w:rPr>
          <w:sz w:val="20"/>
          <w:szCs w:val="20"/>
          <w:color w:val="auto"/>
        </w:rPr>
      </w:pPr>
      <w:r>
        <w:rPr>
          <w:rFonts w:ascii="Courier New" w:cs="Courier New" w:eastAsia="Courier New" w:hAnsi="Courier New"/>
          <w:sz w:val="15"/>
          <w:szCs w:val="15"/>
          <w:color w:val="auto"/>
        </w:rPr>
        <w:t>(83.76%). The gross profit margin for the six month period has fallen 58 basis points compared to 1995. The decrease in gross profit margins follows a decrease of approximately 90 basis points for the full fiscal year 1995 from 1994. The decline in margins has been caused primarily by the inability to increase sales prices across all product lines to compensate for incurred raw material cost increases. This is shown by a comparison of the cost components comprising cost of sales as a percentage of net sales: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740" w:type="dxa"/>
            <w:vAlign w:val="bottom"/>
          </w:tcPr>
          <w:p>
            <w:pPr>
              <w:spacing w:after="0"/>
              <w:rPr>
                <w:sz w:val="14"/>
                <w:szCs w:val="14"/>
                <w:color w:val="auto"/>
              </w:rPr>
            </w:pPr>
          </w:p>
        </w:tc>
        <w:tc>
          <w:tcPr>
            <w:tcW w:w="4200" w:type="dxa"/>
            <w:vAlign w:val="bottom"/>
            <w:gridSpan w:val="3"/>
          </w:tcPr>
          <w:p>
            <w:pPr>
              <w:ind w:left="1280"/>
              <w:spacing w:after="0"/>
              <w:rPr>
                <w:sz w:val="20"/>
                <w:szCs w:val="20"/>
                <w:color w:val="auto"/>
              </w:rPr>
            </w:pPr>
            <w:r>
              <w:rPr>
                <w:rFonts w:ascii="Courier New" w:cs="Courier New" w:eastAsia="Courier New" w:hAnsi="Courier New"/>
                <w:sz w:val="15"/>
                <w:szCs w:val="15"/>
                <w:color w:val="auto"/>
              </w:rPr>
              <w:t>Six Months Ended May 31,</w:t>
            </w:r>
          </w:p>
        </w:tc>
        <w:tc>
          <w:tcPr>
            <w:tcW w:w="32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1740" w:type="dxa"/>
            <w:vAlign w:val="bottom"/>
          </w:tcPr>
          <w:p>
            <w:pPr>
              <w:spacing w:after="0"/>
              <w:rPr>
                <w:sz w:val="14"/>
                <w:szCs w:val="14"/>
                <w:color w:val="auto"/>
              </w:rPr>
            </w:pPr>
          </w:p>
        </w:tc>
        <w:tc>
          <w:tcPr>
            <w:tcW w:w="3000" w:type="dxa"/>
            <w:vAlign w:val="bottom"/>
            <w:gridSpan w:val="2"/>
          </w:tcPr>
          <w:p>
            <w:pPr>
              <w:ind w:left="1280"/>
              <w:spacing w:after="0"/>
              <w:rPr>
                <w:sz w:val="20"/>
                <w:szCs w:val="20"/>
                <w:color w:val="auto"/>
              </w:rPr>
            </w:pPr>
            <w:r>
              <w:rPr>
                <w:rFonts w:ascii="Courier New" w:cs="Courier New" w:eastAsia="Courier New" w:hAnsi="Courier New"/>
                <w:sz w:val="15"/>
                <w:szCs w:val="15"/>
                <w:color w:val="auto"/>
                <w:w w:val="78"/>
              </w:rPr>
              <w:t>------------------------</w:t>
            </w:r>
          </w:p>
        </w:tc>
        <w:tc>
          <w:tcPr>
            <w:tcW w:w="1200" w:type="dxa"/>
            <w:vAlign w:val="bottom"/>
          </w:tcPr>
          <w:p>
            <w:pPr>
              <w:spacing w:after="0"/>
              <w:rPr>
                <w:sz w:val="14"/>
                <w:szCs w:val="14"/>
                <w:color w:val="auto"/>
              </w:rPr>
            </w:pPr>
          </w:p>
        </w:tc>
        <w:tc>
          <w:tcPr>
            <w:tcW w:w="328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w:t>
            </w:r>
          </w:p>
        </w:tc>
      </w:tr>
      <w:tr>
        <w:trPr>
          <w:trHeight w:val="171"/>
        </w:trPr>
        <w:tc>
          <w:tcPr>
            <w:tcW w:w="1740" w:type="dxa"/>
            <w:vAlign w:val="bottom"/>
          </w:tcPr>
          <w:p>
            <w:pPr>
              <w:spacing w:after="0"/>
              <w:rPr>
                <w:sz w:val="14"/>
                <w:szCs w:val="14"/>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1994</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1740" w:type="dxa"/>
            <w:vAlign w:val="bottom"/>
          </w:tcPr>
          <w:p>
            <w:pPr>
              <w:spacing w:after="0"/>
              <w:rPr>
                <w:sz w:val="14"/>
                <w:szCs w:val="14"/>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341"/>
        </w:trPr>
        <w:tc>
          <w:tcPr>
            <w:tcW w:w="1740" w:type="dxa"/>
            <w:vAlign w:val="bottom"/>
          </w:tcPr>
          <w:p>
            <w:pPr>
              <w:spacing w:after="0"/>
              <w:rPr>
                <w:sz w:val="20"/>
                <w:szCs w:val="20"/>
                <w:color w:val="auto"/>
              </w:rPr>
            </w:pPr>
            <w:r>
              <w:rPr>
                <w:rFonts w:ascii="Courier New" w:cs="Courier New" w:eastAsia="Courier New" w:hAnsi="Courier New"/>
                <w:sz w:val="15"/>
                <w:szCs w:val="15"/>
                <w:color w:val="auto"/>
              </w:rPr>
              <w:t>Materials</w:t>
            </w: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49.83%</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49.36%</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48.55%</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49.61%</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49.34%</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47.54%</w:t>
            </w:r>
          </w:p>
        </w:tc>
      </w:t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Labor</w:t>
            </w: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21.36</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21.57</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21.60</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21.44</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21.59</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21.78</w:t>
            </w:r>
          </w:p>
        </w:tc>
      </w:tr>
      <w:tr>
        <w:trPr>
          <w:trHeight w:val="171"/>
        </w:trPr>
        <w:tc>
          <w:tcPr>
            <w:tcW w:w="1740" w:type="dxa"/>
            <w:vAlign w:val="bottom"/>
          </w:tcPr>
          <w:p>
            <w:pPr>
              <w:spacing w:after="0"/>
              <w:rPr>
                <w:sz w:val="20"/>
                <w:szCs w:val="20"/>
                <w:color w:val="auto"/>
              </w:rPr>
            </w:pPr>
            <w:r>
              <w:rPr>
                <w:rFonts w:ascii="Courier New" w:cs="Courier New" w:eastAsia="Courier New" w:hAnsi="Courier New"/>
                <w:sz w:val="15"/>
                <w:szCs w:val="15"/>
                <w:color w:val="auto"/>
              </w:rPr>
              <w:t>Overhead</w:t>
            </w: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12.92</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12.60</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12.05</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13.03</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12.83</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rPr>
              <w:t>11.52</w:t>
            </w:r>
          </w:p>
        </w:tc>
      </w:tr>
      <w:tr>
        <w:trPr>
          <w:trHeight w:val="171"/>
        </w:trPr>
        <w:tc>
          <w:tcPr>
            <w:tcW w:w="1740" w:type="dxa"/>
            <w:vAlign w:val="bottom"/>
          </w:tcPr>
          <w:p>
            <w:pPr>
              <w:spacing w:after="0"/>
              <w:rPr>
                <w:sz w:val="14"/>
                <w:szCs w:val="14"/>
                <w:color w:val="auto"/>
              </w:rPr>
            </w:pPr>
          </w:p>
        </w:tc>
        <w:tc>
          <w:tcPr>
            <w:tcW w:w="208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1740" w:type="dxa"/>
            <w:vAlign w:val="bottom"/>
          </w:tcPr>
          <w:p>
            <w:pPr>
              <w:spacing w:after="0"/>
              <w:rPr>
                <w:sz w:val="14"/>
                <w:szCs w:val="14"/>
                <w:color w:val="auto"/>
              </w:rPr>
            </w:pPr>
          </w:p>
        </w:tc>
        <w:tc>
          <w:tcPr>
            <w:tcW w:w="2080" w:type="dxa"/>
            <w:vAlign w:val="bottom"/>
          </w:tcPr>
          <w:p>
            <w:pPr>
              <w:ind w:left="1100"/>
              <w:spacing w:after="0"/>
              <w:rPr>
                <w:sz w:val="20"/>
                <w:szCs w:val="20"/>
                <w:color w:val="auto"/>
              </w:rPr>
            </w:pPr>
            <w:r>
              <w:rPr>
                <w:rFonts w:ascii="Courier New" w:cs="Courier New" w:eastAsia="Courier New" w:hAnsi="Courier New"/>
                <w:sz w:val="15"/>
                <w:szCs w:val="15"/>
                <w:color w:val="auto"/>
              </w:rPr>
              <w:t>84.11%</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83.53%</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82.20%</w:t>
            </w:r>
          </w:p>
        </w:tc>
        <w:tc>
          <w:tcPr>
            <w:tcW w:w="1200" w:type="dxa"/>
            <w:vAlign w:val="bottom"/>
          </w:tcPr>
          <w:p>
            <w:pPr>
              <w:ind w:left="440"/>
              <w:spacing w:after="0"/>
              <w:rPr>
                <w:sz w:val="20"/>
                <w:szCs w:val="20"/>
                <w:color w:val="auto"/>
              </w:rPr>
            </w:pPr>
            <w:r>
              <w:rPr>
                <w:rFonts w:ascii="Courier New" w:cs="Courier New" w:eastAsia="Courier New" w:hAnsi="Courier New"/>
                <w:sz w:val="15"/>
                <w:szCs w:val="15"/>
                <w:color w:val="auto"/>
              </w:rPr>
              <w:t>84.08%</w:t>
            </w:r>
          </w:p>
        </w:tc>
        <w:tc>
          <w:tcPr>
            <w:tcW w:w="1160" w:type="dxa"/>
            <w:vAlign w:val="bottom"/>
          </w:tcPr>
          <w:p>
            <w:pPr>
              <w:ind w:left="400"/>
              <w:spacing w:after="0"/>
              <w:rPr>
                <w:sz w:val="20"/>
                <w:szCs w:val="20"/>
                <w:color w:val="auto"/>
              </w:rPr>
            </w:pPr>
            <w:r>
              <w:rPr>
                <w:rFonts w:ascii="Courier New" w:cs="Courier New" w:eastAsia="Courier New" w:hAnsi="Courier New"/>
                <w:sz w:val="15"/>
                <w:szCs w:val="15"/>
                <w:color w:val="auto"/>
              </w:rPr>
              <w:t>83.76%</w:t>
            </w:r>
          </w:p>
        </w:tc>
        <w:tc>
          <w:tcPr>
            <w:tcW w:w="920" w:type="dxa"/>
            <w:vAlign w:val="bottom"/>
          </w:tcPr>
          <w:p>
            <w:pPr>
              <w:ind w:left="400"/>
              <w:spacing w:after="0"/>
              <w:rPr>
                <w:sz w:val="20"/>
                <w:szCs w:val="20"/>
                <w:color w:val="auto"/>
              </w:rPr>
            </w:pPr>
            <w:r>
              <w:rPr>
                <w:rFonts w:ascii="Courier New" w:cs="Courier New" w:eastAsia="Courier New" w:hAnsi="Courier New"/>
                <w:sz w:val="15"/>
                <w:szCs w:val="15"/>
                <w:color w:val="auto"/>
                <w:w w:val="92"/>
              </w:rPr>
              <w:t>80.84%</w:t>
            </w:r>
          </w:p>
        </w:tc>
      </w:tr>
    </w:tbl>
    <w:p>
      <w:pPr>
        <w:spacing w:after="0" w:line="200" w:lineRule="exact"/>
        <w:rPr>
          <w:sz w:val="20"/>
          <w:szCs w:val="20"/>
          <w:color w:val="auto"/>
        </w:rPr>
      </w:pPr>
    </w:p>
    <w:p>
      <w:pPr>
        <w:sectPr>
          <w:pgSz w:w="11900" w:h="16838" w:orient="portrait"/>
          <w:cols w:equalWidth="0" w:num="1">
            <w:col w:w="10820"/>
          </w:cols>
          <w:pgMar w:left="240" w:top="287" w:right="839" w:bottom="1440" w:gutter="0" w:footer="0" w:header="0"/>
        </w:sectPr>
      </w:pPr>
    </w:p>
    <w:p>
      <w:pPr>
        <w:spacing w:after="0" w:line="145"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5 of 8</w:t>
      </w:r>
    </w:p>
    <w:p>
      <w:pPr>
        <w:sectPr>
          <w:pgSz w:w="11900" w:h="16838" w:orient="portrait"/>
          <w:cols w:equalWidth="0" w:num="1">
            <w:col w:w="10820"/>
          </w:cols>
          <w:pgMar w:left="240" w:top="287" w:right="839"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PART I - FINANCIAL INFORMATION - CONTINUED</w:t>
      </w:r>
    </w:p>
    <w:p>
      <w:pPr>
        <w:spacing w:after="0" w:line="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174" w:lineRule="exact"/>
        <w:rPr>
          <w:sz w:val="20"/>
          <w:szCs w:val="20"/>
          <w:color w:val="auto"/>
        </w:rPr>
      </w:pPr>
    </w:p>
    <w:p>
      <w:pPr>
        <w:ind w:right="4080"/>
        <w:spacing w:after="0" w:line="238"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 - CONTINUED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AND EXPENSES - continued</w:t>
      </w:r>
    </w:p>
    <w:p>
      <w:pPr>
        <w:spacing w:after="0" w:line="3" w:lineRule="exact"/>
        <w:rPr>
          <w:sz w:val="20"/>
          <w:szCs w:val="20"/>
          <w:color w:val="auto"/>
        </w:rPr>
      </w:pPr>
    </w:p>
    <w:p>
      <w:pPr>
        <w:ind w:right="3900"/>
        <w:spacing w:after="0" w:line="239" w:lineRule="auto"/>
        <w:rPr>
          <w:sz w:val="20"/>
          <w:szCs w:val="20"/>
          <w:color w:val="auto"/>
        </w:rPr>
      </w:pPr>
      <w:r>
        <w:rPr>
          <w:rFonts w:ascii="Courier New" w:cs="Courier New" w:eastAsia="Courier New" w:hAnsi="Courier New"/>
          <w:sz w:val="15"/>
          <w:szCs w:val="15"/>
          <w:color w:val="auto"/>
        </w:rPr>
        <w:t>The increase in the overhead component percentage is a result of decreased sales volume. Total overhead costs declined approximately $2 million in the 1996 six month period from 1995.</w:t>
      </w:r>
    </w:p>
    <w:p>
      <w:pPr>
        <w:spacing w:after="0" w:line="175" w:lineRule="exact"/>
        <w:rPr>
          <w:sz w:val="20"/>
          <w:szCs w:val="20"/>
          <w:color w:val="auto"/>
        </w:rPr>
      </w:pPr>
    </w:p>
    <w:p>
      <w:pPr>
        <w:ind w:right="3720"/>
        <w:spacing w:after="0" w:line="239" w:lineRule="auto"/>
        <w:rPr>
          <w:sz w:val="20"/>
          <w:szCs w:val="20"/>
          <w:color w:val="auto"/>
        </w:rPr>
      </w:pPr>
      <w:r>
        <w:rPr>
          <w:rFonts w:ascii="Courier New" w:cs="Courier New" w:eastAsia="Courier New" w:hAnsi="Courier New"/>
          <w:sz w:val="15"/>
          <w:szCs w:val="15"/>
          <w:color w:val="auto"/>
        </w:rPr>
        <w:t>The increase in SG&amp;A expenses as a percentage of net sales is also a result of the decline in net sales. Total dollars, including variable costs (primarily sales commissions), decreased in each period; and, in addition, the fixed costs also declined during the periods reported.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Components of other income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spacing w:after="0"/>
              <w:rPr>
                <w:sz w:val="14"/>
                <w:szCs w:val="14"/>
                <w:color w:val="auto"/>
              </w:rPr>
            </w:pPr>
          </w:p>
        </w:tc>
        <w:tc>
          <w:tcPr>
            <w:tcW w:w="3860" w:type="dxa"/>
            <w:vAlign w:val="bottom"/>
            <w:gridSpan w:val="3"/>
          </w:tcPr>
          <w:p>
            <w:pPr>
              <w:jc w:val="right"/>
              <w:ind w:right="1066"/>
              <w:spacing w:after="0"/>
              <w:rPr>
                <w:sz w:val="20"/>
                <w:szCs w:val="20"/>
                <w:color w:val="auto"/>
              </w:rPr>
            </w:pPr>
            <w:r>
              <w:rPr>
                <w:rFonts w:ascii="Courier New" w:cs="Courier New" w:eastAsia="Courier New" w:hAnsi="Courier New"/>
                <w:sz w:val="15"/>
                <w:szCs w:val="15"/>
                <w:color w:val="auto"/>
              </w:rPr>
              <w:t>Six Months Ended May 31,</w:t>
            </w:r>
          </w:p>
        </w:tc>
        <w:tc>
          <w:tcPr>
            <w:tcW w:w="27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Three Months Ended May 31,</w:t>
            </w:r>
          </w:p>
        </w:tc>
      </w:tr>
      <w:tr>
        <w:trPr>
          <w:trHeight w:val="171"/>
        </w:trPr>
        <w:tc>
          <w:tcPr>
            <w:tcW w:w="4020" w:type="dxa"/>
            <w:vAlign w:val="bottom"/>
          </w:tcPr>
          <w:p>
            <w:pPr>
              <w:spacing w:after="0"/>
              <w:rPr>
                <w:sz w:val="14"/>
                <w:szCs w:val="14"/>
                <w:color w:val="auto"/>
              </w:rPr>
            </w:pPr>
          </w:p>
        </w:tc>
        <w:tc>
          <w:tcPr>
            <w:tcW w:w="3860" w:type="dxa"/>
            <w:vAlign w:val="bottom"/>
            <w:gridSpan w:val="3"/>
          </w:tcPr>
          <w:p>
            <w:pPr>
              <w:jc w:val="right"/>
              <w:ind w:right="1066"/>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1994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1996</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1994</w:t>
            </w:r>
          </w:p>
        </w:tc>
      </w:tr>
      <w:tr>
        <w:trPr>
          <w:trHeight w:val="171"/>
        </w:trPr>
        <w:tc>
          <w:tcPr>
            <w:tcW w:w="402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ind w:left="780"/>
              <w:spacing w:after="0"/>
              <w:rPr>
                <w:sz w:val="20"/>
                <w:szCs w:val="20"/>
                <w:color w:val="auto"/>
              </w:rPr>
            </w:pPr>
            <w:r>
              <w:rPr>
                <w:rFonts w:ascii="Courier New" w:cs="Courier New" w:eastAsia="Courier New" w:hAnsi="Courier New"/>
                <w:sz w:val="15"/>
                <w:szCs w:val="15"/>
                <w:color w:val="auto"/>
              </w:rPr>
              <w:t>Equity in unremitted income</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020" w:type="dxa"/>
            <w:vAlign w:val="bottom"/>
          </w:tcPr>
          <w:p>
            <w:pPr>
              <w:ind w:left="960"/>
              <w:spacing w:after="0"/>
              <w:rPr>
                <w:sz w:val="20"/>
                <w:szCs w:val="20"/>
                <w:color w:val="auto"/>
              </w:rPr>
            </w:pPr>
            <w:r>
              <w:rPr>
                <w:rFonts w:ascii="Courier New" w:cs="Courier New" w:eastAsia="Courier New" w:hAnsi="Courier New"/>
                <w:sz w:val="15"/>
                <w:szCs w:val="15"/>
                <w:color w:val="auto"/>
              </w:rPr>
              <w:t>of affiliated companies</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$2,519</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$2,441</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6"/>
              </w:rPr>
              <w:t>$2,067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$1,114</w:t>
            </w:r>
          </w:p>
        </w:tc>
      </w:tr>
      <w:tr>
        <w:trPr>
          <w:trHeight w:val="171"/>
        </w:trPr>
        <w:tc>
          <w:tcPr>
            <w:tcW w:w="4020" w:type="dxa"/>
            <w:vAlign w:val="bottom"/>
          </w:tcPr>
          <w:p>
            <w:pPr>
              <w:ind w:left="780"/>
              <w:spacing w:after="0"/>
              <w:rPr>
                <w:sz w:val="20"/>
                <w:szCs w:val="20"/>
                <w:color w:val="auto"/>
              </w:rPr>
            </w:pPr>
            <w:r>
              <w:rPr>
                <w:rFonts w:ascii="Courier New" w:cs="Courier New" w:eastAsia="Courier New" w:hAnsi="Courier New"/>
                <w:sz w:val="15"/>
                <w:szCs w:val="15"/>
                <w:color w:val="auto"/>
              </w:rPr>
              <w:t>Interest (principally tax exempt)</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1,118</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1,123</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812</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545</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573</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w:t>
            </w:r>
          </w:p>
        </w:tc>
      </w:tr>
      <w:tr>
        <w:trPr>
          <w:trHeight w:val="171"/>
        </w:trPr>
        <w:tc>
          <w:tcPr>
            <w:tcW w:w="4020" w:type="dxa"/>
            <w:vAlign w:val="bottom"/>
          </w:tcPr>
          <w:p>
            <w:pPr>
              <w:ind w:left="780"/>
              <w:spacing w:after="0"/>
              <w:rPr>
                <w:sz w:val="20"/>
                <w:szCs w:val="20"/>
                <w:color w:val="auto"/>
              </w:rPr>
            </w:pPr>
            <w:r>
              <w:rPr>
                <w:rFonts w:ascii="Courier New" w:cs="Courier New" w:eastAsia="Courier New" w:hAnsi="Courier New"/>
                <w:sz w:val="15"/>
                <w:szCs w:val="15"/>
                <w:color w:val="auto"/>
              </w:rPr>
              <w:t>Dividends</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901</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1,210</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1,167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463</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667</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624</w:t>
            </w:r>
          </w:p>
        </w:tc>
      </w:tr>
      <w:tr>
        <w:trPr>
          <w:trHeight w:val="171"/>
        </w:trPr>
        <w:tc>
          <w:tcPr>
            <w:tcW w:w="4020" w:type="dxa"/>
            <w:vAlign w:val="bottom"/>
          </w:tcPr>
          <w:p>
            <w:pPr>
              <w:ind w:left="780"/>
              <w:spacing w:after="0"/>
              <w:rPr>
                <w:sz w:val="20"/>
                <w:szCs w:val="20"/>
                <w:color w:val="auto"/>
              </w:rPr>
            </w:pPr>
            <w:r>
              <w:rPr>
                <w:rFonts w:ascii="Courier New" w:cs="Courier New" w:eastAsia="Courier New" w:hAnsi="Courier New"/>
                <w:sz w:val="15"/>
                <w:szCs w:val="15"/>
                <w:color w:val="auto"/>
              </w:rPr>
              <w:t>Gains from sales of investment</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20" w:type="dxa"/>
            <w:vAlign w:val="bottom"/>
          </w:tcPr>
          <w:p>
            <w:pPr>
              <w:ind w:left="96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4,149</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1,364</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362</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2,034</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203</w:t>
            </w:r>
          </w:p>
        </w:tc>
      </w:tr>
      <w:tr>
        <w:trPr>
          <w:trHeight w:val="171"/>
        </w:trPr>
        <w:tc>
          <w:tcPr>
            <w:tcW w:w="4020" w:type="dxa"/>
            <w:vAlign w:val="bottom"/>
          </w:tcPr>
          <w:p>
            <w:pPr>
              <w:ind w:left="780"/>
              <w:spacing w:after="0"/>
              <w:rPr>
                <w:sz w:val="20"/>
                <w:szCs w:val="20"/>
                <w:color w:val="auto"/>
              </w:rPr>
            </w:pPr>
            <w:r>
              <w:rPr>
                <w:rFonts w:ascii="Courier New" w:cs="Courier New" w:eastAsia="Courier New" w:hAnsi="Courier New"/>
                <w:sz w:val="15"/>
                <w:szCs w:val="15"/>
                <w:color w:val="auto"/>
              </w:rPr>
              <w:t>Other</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(366)</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361</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236</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(182)</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1"/>
        </w:trPr>
        <w:tc>
          <w:tcPr>
            <w:tcW w:w="402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$8,321</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$6,499</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6"/>
              </w:rPr>
              <w:t>$4,644</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$4,278</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$4,186</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$2,317</w:t>
            </w:r>
          </w:p>
        </w:tc>
      </w:tr>
      <w:tr>
        <w:trPr>
          <w:trHeight w:val="171"/>
        </w:trPr>
        <w:tc>
          <w:tcPr>
            <w:tcW w:w="402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70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rPr>
              <w:t>The effective income tax rate has declined in 1996 due to the decline in</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w w:val="98"/>
              </w:rPr>
              <w:t>operating income and the increase in tax-exempt other income.</w:t>
            </w: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LIQUIDITY AND CAPITAL RESOURCES:</w:t>
            </w: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4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Six Months Ended May 31,</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20" w:type="dxa"/>
            <w:vAlign w:val="bottom"/>
            <w:gridSpan w:val="3"/>
          </w:tcPr>
          <w:p>
            <w:pPr>
              <w:jc w:val="center"/>
              <w:ind w:left="346"/>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1995</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1994</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206"/>
              <w:spacing w:after="0"/>
              <w:rPr>
                <w:sz w:val="20"/>
                <w:szCs w:val="20"/>
                <w:color w:val="auto"/>
              </w:rPr>
            </w:pPr>
            <w:r>
              <w:rPr>
                <w:rFonts w:ascii="Courier New" w:cs="Courier New" w:eastAsia="Courier New" w:hAnsi="Courier New"/>
                <w:sz w:val="15"/>
                <w:szCs w:val="15"/>
                <w:color w:val="auto"/>
                <w:w w:val="99"/>
              </w:rPr>
              <w: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54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Cash provided by operating activities (thousands)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$22,885</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$16,921</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$6,624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345" w:lineRule="exact"/>
        <w:rPr>
          <w:sz w:val="20"/>
          <w:szCs w:val="20"/>
          <w:color w:val="auto"/>
        </w:rPr>
      </w:pPr>
    </w:p>
    <w:p>
      <w:pPr>
        <w:ind w:right="3640"/>
        <w:spacing w:after="0" w:line="238" w:lineRule="auto"/>
        <w:rPr>
          <w:sz w:val="20"/>
          <w:szCs w:val="20"/>
          <w:color w:val="auto"/>
        </w:rPr>
      </w:pPr>
      <w:r>
        <w:rPr>
          <w:rFonts w:ascii="Courier New" w:cs="Courier New" w:eastAsia="Courier New" w:hAnsi="Courier New"/>
          <w:sz w:val="15"/>
          <w:szCs w:val="15"/>
          <w:color w:val="auto"/>
        </w:rPr>
        <w:t>The increase in 1996 was due to the decline in net current assets, exclusive of cash and cash equivalents.</w:t>
      </w:r>
    </w:p>
    <w:p>
      <w:pPr>
        <w:spacing w:after="0" w:line="175" w:lineRule="exact"/>
        <w:rPr>
          <w:sz w:val="20"/>
          <w:szCs w:val="20"/>
          <w:color w:val="auto"/>
        </w:rPr>
      </w:pPr>
    </w:p>
    <w:p>
      <w:pPr>
        <w:ind w:right="3640"/>
        <w:spacing w:after="0"/>
        <w:rPr>
          <w:sz w:val="20"/>
          <w:szCs w:val="20"/>
          <w:color w:val="auto"/>
        </w:rPr>
      </w:pPr>
      <w:r>
        <w:rPr>
          <w:rFonts w:ascii="Courier New" w:cs="Courier New" w:eastAsia="Courier New" w:hAnsi="Courier New"/>
          <w:sz w:val="15"/>
          <w:szCs w:val="15"/>
          <w:color w:val="auto"/>
        </w:rPr>
        <w:t>The Company continued to purchase and retire its Common Stock in the first six months of 1996, acquiring 322,400 shares at an average cost of $24.78, for a total expenditure of $7,990,000. In fiscal years 1995 and 1994, 429,701 shares and 361,386 shares were acquired for a total cost of $10,125,000 and $9,546,000 respectively.</w:t>
      </w:r>
    </w:p>
    <w:p>
      <w:pPr>
        <w:spacing w:after="0" w:line="174" w:lineRule="exact"/>
        <w:rPr>
          <w:sz w:val="20"/>
          <w:szCs w:val="20"/>
          <w:color w:val="auto"/>
        </w:rPr>
      </w:pPr>
    </w:p>
    <w:p>
      <w:pPr>
        <w:ind w:right="3720"/>
        <w:spacing w:after="0" w:line="239" w:lineRule="auto"/>
        <w:rPr>
          <w:sz w:val="20"/>
          <w:szCs w:val="20"/>
          <w:color w:val="auto"/>
        </w:rPr>
      </w:pPr>
      <w:r>
        <w:rPr>
          <w:rFonts w:ascii="Courier New" w:cs="Courier New" w:eastAsia="Courier New" w:hAnsi="Courier New"/>
          <w:sz w:val="15"/>
          <w:szCs w:val="15"/>
          <w:color w:val="auto"/>
        </w:rPr>
        <w:t>The current ratio was 6.64 to 1 at May 31, 1996 and 5.79 to 1 at November 30, 1995. Working capital increased to $174 million at May 31, 1996, up from $170 million at November 30, 1995.</w:t>
      </w:r>
    </w:p>
    <w:p>
      <w:pPr>
        <w:spacing w:after="0" w:line="175" w:lineRule="exact"/>
        <w:rPr>
          <w:sz w:val="20"/>
          <w:szCs w:val="20"/>
          <w:color w:val="auto"/>
        </w:rPr>
      </w:pPr>
    </w:p>
    <w:p>
      <w:pPr>
        <w:ind w:right="4000"/>
        <w:spacing w:after="0" w:line="238" w:lineRule="auto"/>
        <w:rPr>
          <w:sz w:val="20"/>
          <w:szCs w:val="20"/>
          <w:color w:val="auto"/>
        </w:rPr>
      </w:pPr>
      <w:r>
        <w:rPr>
          <w:rFonts w:ascii="Courier New" w:cs="Courier New" w:eastAsia="Courier New" w:hAnsi="Courier New"/>
          <w:sz w:val="15"/>
          <w:szCs w:val="15"/>
          <w:color w:val="auto"/>
        </w:rPr>
        <w:t>Cash provided by operating activities is expected to be adequate for normal future operating requirements.</w:t>
      </w:r>
    </w:p>
    <w:p>
      <w:pPr>
        <w:spacing w:after="0" w:line="175" w:lineRule="exact"/>
        <w:rPr>
          <w:sz w:val="20"/>
          <w:szCs w:val="20"/>
          <w:color w:val="auto"/>
        </w:rPr>
      </w:pPr>
    </w:p>
    <w:p>
      <w:pPr>
        <w:ind w:right="3900"/>
        <w:spacing w:after="0" w:line="239" w:lineRule="auto"/>
        <w:rPr>
          <w:sz w:val="20"/>
          <w:szCs w:val="20"/>
          <w:color w:val="auto"/>
        </w:rPr>
      </w:pPr>
      <w:r>
        <w:rPr>
          <w:rFonts w:ascii="Courier New" w:cs="Courier New" w:eastAsia="Courier New" w:hAnsi="Courier New"/>
          <w:sz w:val="15"/>
          <w:szCs w:val="15"/>
          <w:color w:val="auto"/>
        </w:rPr>
        <w:t>There were no material commitments for capital expenditures at May 31, 1996. Capital expenditures that will be made in the future for normal expansion or other operating purposes will be made from funds on hand or those generated from operations.</w:t>
      </w:r>
    </w:p>
    <w:p>
      <w:pPr>
        <w:spacing w:after="0" w:line="174"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Page 6 of 8</w:t>
      </w:r>
    </w:p>
    <w:p>
      <w:pPr>
        <w:sectPr>
          <w:pgSz w:w="11900" w:h="16838" w:orient="portrait"/>
          <w:cols w:equalWidth="0" w:num="1">
            <w:col w:w="10640"/>
          </w:cols>
          <w:pgMar w:left="240" w:top="287" w:right="1019"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7</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PART II - OTHER INFORMATION</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BASSETT FURNITURE INDUSTRIES, INCORPORATED AND SUBSIDIARIES</w:t>
      </w:r>
    </w:p>
    <w:p>
      <w:pPr>
        <w:spacing w:after="0" w:line="342"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1" w:lineRule="exact"/>
        <w:rPr>
          <w:sz w:val="20"/>
          <w:szCs w:val="20"/>
          <w:color w:val="auto"/>
        </w:rPr>
      </w:pPr>
    </w:p>
    <w:p>
      <w:pPr>
        <w:ind w:left="349" w:hanging="349"/>
        <w:spacing w:after="0"/>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789" w:hanging="434"/>
        <w:spacing w:after="0"/>
        <w:tabs>
          <w:tab w:leader="none" w:pos="789"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left="9"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BASSETT FURNITURE INDUSTRIES, INCORPORATED</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ROBERT H. SPILMAN</w:t>
      </w:r>
    </w:p>
    <w:p>
      <w:pPr>
        <w:spacing w:after="0" w:line="3" w:lineRule="exact"/>
        <w:rPr>
          <w:sz w:val="20"/>
          <w:szCs w:val="20"/>
          <w:color w:val="auto"/>
        </w:rPr>
      </w:pPr>
    </w:p>
    <w:p>
      <w:pPr>
        <w:ind w:left="169" w:hanging="169"/>
        <w:spacing w:after="0"/>
        <w:tabs>
          <w:tab w:leader="none" w:pos="16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Robert H. Spilman, Chairman of the Board, and Chief Executive Officer</w:t>
      </w:r>
    </w:p>
    <w:p>
      <w:pPr>
        <w:spacing w:after="0" w:line="342"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7/3/96</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PHILIP E. BOOKER</w:t>
      </w:r>
    </w:p>
    <w:p>
      <w:pPr>
        <w:spacing w:after="0" w:line="3"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Philip E. Booker, Vice President, Controller (Chief Accounting Officer)</w:t>
      </w:r>
    </w:p>
    <w:p>
      <w:pPr>
        <w:spacing w:after="0" w:line="342" w:lineRule="exact"/>
        <w:rPr>
          <w:sz w:val="20"/>
          <w:szCs w:val="20"/>
          <w:color w:val="auto"/>
        </w:rPr>
      </w:pPr>
    </w:p>
    <w:p>
      <w:pPr>
        <w:ind w:left="9"/>
        <w:spacing w:after="0"/>
        <w:tabs>
          <w:tab w:leader="none" w:pos="609"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7/3/96</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Page 7 of 8</w:t>
      </w:r>
    </w:p>
    <w:p>
      <w:pPr>
        <w:sectPr>
          <w:pgSz w:w="11900" w:h="16838" w:orient="portrait"/>
          <w:cols w:equalWidth="0" w:num="1">
            <w:col w:w="10228"/>
          </w:cols>
          <w:pgMar w:left="231" w:top="287"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34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QUARTERLY REPORT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For the quarter ended</w:t>
      </w:r>
    </w:p>
    <w:p>
      <w:pPr>
        <w:spacing w:after="0" w:line="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May 31,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4"/>
          <w:szCs w:val="14"/>
          <w:color w:val="auto"/>
        </w:rPr>
        <w:t>Commission File Number</w:t>
      </w:r>
    </w:p>
    <w:p>
      <w:pPr>
        <w:spacing w:after="0" w:line="9" w:lineRule="exact"/>
        <w:rPr>
          <w:sz w:val="20"/>
          <w:szCs w:val="20"/>
          <w:color w:val="auto"/>
        </w:rPr>
      </w:pPr>
    </w:p>
    <w:p>
      <w:pPr>
        <w:jc w:val="right"/>
        <w:ind w:right="4279"/>
        <w:spacing w:after="0"/>
        <w:rPr>
          <w:sz w:val="20"/>
          <w:szCs w:val="20"/>
          <w:color w:val="auto"/>
        </w:rPr>
      </w:pPr>
      <w:r>
        <w:rPr>
          <w:rFonts w:ascii="Courier New" w:cs="Courier New" w:eastAsia="Courier New" w:hAnsi="Courier New"/>
          <w:sz w:val="15"/>
          <w:szCs w:val="15"/>
          <w:color w:val="auto"/>
        </w:rPr>
        <w:t>0-209</w:t>
      </w:r>
    </w:p>
    <w:p>
      <w:pPr>
        <w:spacing w:after="0" w:line="200" w:lineRule="exact"/>
        <w:rPr>
          <w:sz w:val="20"/>
          <w:szCs w:val="20"/>
          <w:color w:val="auto"/>
        </w:rPr>
      </w:pPr>
    </w:p>
    <w:p>
      <w:pPr>
        <w:sectPr>
          <w:pgSz w:w="11900" w:h="16838" w:orient="portrait"/>
          <w:cols w:equalWidth="0" w:num="2">
            <w:col w:w="3260" w:space="720"/>
            <w:col w:w="6239"/>
          </w:cols>
          <w:pgMar w:left="240" w:top="287" w:right="1440" w:bottom="1440" w:gutter="0" w:footer="0" w:header="0"/>
          <w:type w:val="continuous"/>
        </w:sectPr>
      </w:pPr>
    </w:p>
    <w:p>
      <w:pPr>
        <w:spacing w:after="0" w:line="14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BASSETT FURNITURE INDUSTRIES, INCORPORATED</w:t>
      </w:r>
    </w:p>
    <w:p>
      <w:pPr>
        <w:spacing w:after="0" w:line="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1021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71" w:lineRule="auto"/>
        <w:rPr>
          <w:sz w:val="20"/>
          <w:szCs w:val="20"/>
          <w:color w:val="auto"/>
        </w:rPr>
      </w:pPr>
      <w:r>
        <w:rPr>
          <w:rFonts w:ascii="Courier New" w:cs="Courier New" w:eastAsia="Courier New" w:hAnsi="Courier New"/>
          <w:sz w:val="14"/>
          <w:szCs w:val="14"/>
          <w:color w:val="auto"/>
        </w:rPr>
        <w:t>Exhibit No.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3">
            <w:col w:w="1320" w:space="720"/>
            <w:col w:w="3000" w:space="720"/>
            <w:col w:w="4459"/>
          </w:cols>
          <w:pgMar w:left="240" w:top="287" w:right="1440" w:bottom="1440" w:gutter="0" w:footer="0" w:header="0"/>
          <w:type w:val="continuous"/>
        </w:sectPr>
      </w:pPr>
    </w:p>
    <w:p>
      <w:pPr>
        <w:ind w:left="34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8" w:lineRule="exact"/>
        <w:rPr>
          <w:sz w:val="20"/>
          <w:szCs w:val="20"/>
          <w:color w:val="auto"/>
        </w:rPr>
      </w:pPr>
    </w:p>
    <w:p>
      <w:pPr>
        <w:sectPr>
          <w:pgSz w:w="11900" w:h="16838" w:orient="portrait"/>
          <w:cols w:equalWidth="0" w:num="2">
            <w:col w:w="1320" w:space="720"/>
            <w:col w:w="8179"/>
          </w:cols>
          <w:pgMar w:left="240" w:top="28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Page 8 of 8</w:t>
      </w:r>
    </w:p>
    <w:p>
      <w:pPr>
        <w:sectPr>
          <w:pgSz w:w="11900" w:h="16838" w:orient="portrait"/>
          <w:cols w:equalWidth="0" w:num="1">
            <w:col w:w="10219"/>
          </w:cols>
          <w:pgMar w:left="240" w:top="287"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NOV-30-1996</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DEC-01-1995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MAY-31-1996</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69,687</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28,940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58,376</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74,228</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204,604</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214,581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162,724</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336,525</w:t>
      </w:r>
    </w:p>
    <w:p>
      <w:pPr>
        <w:spacing w:after="0" w:line="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30,813</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66,688</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226,923</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336,525</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223,224</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231,546</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187,741</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219,064</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330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2,900</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12,481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2,775</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9,706</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9,706</w:t>
      </w:r>
    </w:p>
    <w:p>
      <w:pPr>
        <w:spacing w:after="0" w:line="1"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.72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39"/>
      </w:cols>
      <w:pgMar w:left="32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9"/>
    </w:lvl>
  </w:abstractNum>
  <w:abstractNum w:abstractNumId="2">
    <w:nsid w:val="625558EC"/>
    <w:multiLevelType w:val="hybridMultilevel"/>
    <w:lvl w:ilvl="0">
      <w:lvlJc w:val="left"/>
      <w:lvlText w:val="%1."/>
      <w:numFmt w:val="lowerLetter"/>
      <w:start w:val="1"/>
    </w:lvl>
    <w:lvl w:ilvl="1">
      <w:lvlJc w:val="left"/>
      <w:lvlText w:val="(%2)"/>
      <w:numFmt w:val="decimal"/>
      <w:start w:val="27"/>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2019-12-20T04:15:57Z</dcterms:created>
  <dcterms:modified xsi:type="dcterms:W3CDTF">2019-12-20T04:15:57Z</dcterms:modified>
</cp:coreProperties>
</file>