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20" w:lineRule="exact"/>
        <w:rPr>
          <w:sz w:val="24"/>
          <w:szCs w:val="24"/>
          <w:color w:val="auto"/>
        </w:rPr>
      </w:pPr>
    </w:p>
    <w:p>
      <w:pPr>
        <w:ind w:left="3380" w:right="2260" w:hanging="1104"/>
        <w:spacing w:after="0" w:line="262" w:lineRule="auto"/>
        <w:tabs>
          <w:tab w:leader="none" w:pos="251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August 31, 2024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OR</w:t>
      </w:r>
    </w:p>
    <w:p>
      <w:pPr>
        <w:spacing w:after="0" w:line="216" w:lineRule="exact"/>
        <w:rPr>
          <w:sz w:val="24"/>
          <w:szCs w:val="24"/>
          <w:color w:val="auto"/>
        </w:rPr>
      </w:pPr>
    </w:p>
    <w:p>
      <w:pPr>
        <w:ind w:left="3380" w:right="2260" w:hanging="1112"/>
        <w:spacing w:after="0" w:line="262" w:lineRule="auto"/>
        <w:tabs>
          <w:tab w:leader="none" w:pos="250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000-00209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BASSETT FURNITURE INDUSTRIES, INCORPORATED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3" w:lineRule="exact"/>
        <w:rPr>
          <w:sz w:val="24"/>
          <w:szCs w:val="24"/>
          <w:color w:val="auto"/>
        </w:rPr>
      </w:pPr>
    </w:p>
    <w:tbl>
      <w:tblPr>
        <w:tblLayout w:type="fixed"/>
        <w:tblInd w:w="1620" w:type="dxa"/>
        <w:tblCellMar>
          <w:top w:w="0" w:type="dxa"/>
          <w:left w:w="0" w:type="dxa"/>
          <w:bottom w:w="0" w:type="dxa"/>
          <w:right w:w="0" w:type="dxa"/>
        </w:tblCellMar>
      </w:tblPr>
      <w:tr>
        <w:trPr>
          <w:trHeight w:val="253"/>
        </w:trPr>
        <w:tc>
          <w:tcPr>
            <w:tcW w:w="22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Virginia</w:t>
            </w:r>
          </w:p>
        </w:tc>
        <w:tc>
          <w:tcPr>
            <w:tcW w:w="300" w:type="dxa"/>
            <w:vAlign w:val="bottom"/>
          </w:tcPr>
          <w:p>
            <w:pPr>
              <w:spacing w:after="0"/>
              <w:rPr>
                <w:sz w:val="22"/>
                <w:szCs w:val="22"/>
                <w:color w:val="auto"/>
              </w:rPr>
            </w:pPr>
          </w:p>
        </w:tc>
        <w:tc>
          <w:tcPr>
            <w:tcW w:w="3560" w:type="dxa"/>
            <w:vAlign w:val="bottom"/>
            <w:gridSpan w:val="3"/>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54-0135270</w:t>
            </w:r>
          </w:p>
        </w:tc>
      </w:tr>
      <w:tr>
        <w:trPr>
          <w:trHeight w:val="218"/>
        </w:trPr>
        <w:tc>
          <w:tcPr>
            <w:tcW w:w="22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gridSpan w:val="4"/>
          </w:tcPr>
          <w:p>
            <w:pPr>
              <w:jc w:val="center"/>
              <w:ind w:right="1944"/>
              <w:spacing w:after="0"/>
              <w:rPr>
                <w:sz w:val="20"/>
                <w:szCs w:val="20"/>
                <w:color w:val="auto"/>
              </w:rPr>
            </w:pPr>
            <w:r>
              <w:rPr>
                <w:rFonts w:ascii="Times New Roman" w:cs="Times New Roman" w:eastAsia="Times New Roman" w:hAnsi="Times New Roman"/>
                <w:sz w:val="22"/>
                <w:szCs w:val="22"/>
                <w:color w:val="auto"/>
                <w:w w:val="98"/>
              </w:rPr>
              <w:t>3525 Fairystone Park Highway</w:t>
            </w:r>
          </w:p>
        </w:tc>
      </w:tr>
      <w:tr>
        <w:trPr>
          <w:trHeight w:val="230"/>
        </w:trPr>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2"/>
                <w:szCs w:val="22"/>
                <w:color w:val="auto"/>
                <w:w w:val="97"/>
              </w:rPr>
              <w:t>Bassett, Virginia 24055</w:t>
            </w:r>
          </w:p>
        </w:tc>
        <w:tc>
          <w:tcPr>
            <w:tcW w:w="2580" w:type="dxa"/>
            <w:vAlign w:val="bottom"/>
            <w:gridSpan w:val="2"/>
          </w:tcPr>
          <w:p>
            <w:pPr>
              <w:spacing w:after="0"/>
              <w:rPr>
                <w:sz w:val="19"/>
                <w:szCs w:val="19"/>
                <w:color w:val="auto"/>
              </w:rPr>
            </w:pPr>
          </w:p>
        </w:tc>
      </w:tr>
      <w:tr>
        <w:trPr>
          <w:trHeight w:val="218"/>
        </w:trPr>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40" w:type="dxa"/>
            <w:vAlign w:val="bottom"/>
            <w:gridSpan w:val="4"/>
          </w:tcPr>
          <w:p>
            <w:pPr>
              <w:jc w:val="center"/>
              <w:ind w:right="1944"/>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4"/>
        </w:trPr>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20" w:type="dxa"/>
            <w:vAlign w:val="bottom"/>
            <w:gridSpan w:val="3"/>
          </w:tcPr>
          <w:p>
            <w:pPr>
              <w:jc w:val="center"/>
              <w:ind w:right="2484"/>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(276) 629-6000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2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7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6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8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October 4, 2024, 8,801,137 shares of common stock of the Registrant were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082"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60" w:right="2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Financial Statements as of August 31, 2024 (unaudited) and November 25, 2023 and for the three and nine months ended August 31, 2024 (unaudited) and August 26,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shd w:val="clear" w:color="auto" w:fill="CCEEFF"/>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48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4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1A.</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Use of Proceeds and Issuer Purchases of Equity Securities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2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360" w:type="dxa"/>
            <w:vAlign w:val="bottom"/>
          </w:tcPr>
          <w:p>
            <w:pPr>
              <w:spacing w:after="0"/>
              <w:rPr>
                <w:sz w:val="24"/>
                <w:szCs w:val="24"/>
                <w:color w:val="auto"/>
              </w:rPr>
            </w:pPr>
          </w:p>
        </w:tc>
        <w:tc>
          <w:tcPr>
            <w:tcW w:w="848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2 of 37</w:t>
            </w:r>
          </w:p>
        </w:tc>
        <w:tc>
          <w:tcPr>
            <w:tcW w:w="2400" w:type="dxa"/>
            <w:vAlign w:val="bottom"/>
          </w:tcPr>
          <w:p>
            <w:pPr>
              <w:spacing w:after="0"/>
              <w:rPr>
                <w:sz w:val="24"/>
                <w:szCs w:val="24"/>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AUGUST 31, 2024 AND AUGUST 26, 2023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r>
      <w:tr>
        <w:trPr>
          <w:trHeight w:val="426"/>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26, 2023</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8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26, 2023</w:t>
            </w:r>
          </w:p>
        </w:tc>
      </w:tr>
      <w:tr>
        <w:trPr>
          <w:trHeight w:val="209"/>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75,619</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87,217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245,583</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295,434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42,173</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113,863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140,360</w:t>
            </w:r>
          </w:p>
        </w:tc>
      </w:tr>
      <w:tr>
        <w:trPr>
          <w:trHeight w:val="20"/>
        </w:trPr>
        <w:tc>
          <w:tcPr>
            <w:tcW w:w="4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40,093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131,720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155,074</w:t>
            </w:r>
          </w:p>
        </w:tc>
      </w:t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48,848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142,141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154,709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4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w:t>
            </w:r>
          </w:p>
        </w:tc>
      </w:tr>
      <w:tr>
        <w:trPr>
          <w:trHeight w:val="20"/>
        </w:trPr>
        <w:tc>
          <w:tcPr>
            <w:tcW w:w="4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r>
      <w:tr>
        <w:trPr>
          <w:trHeight w:val="210"/>
        </w:trPr>
        <w:tc>
          <w:tcPr>
            <w:tcW w:w="4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(4,505)</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(12,899)</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197"/>
        </w:trPr>
        <w:tc>
          <w:tcPr>
            <w:tcW w:w="45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197"/>
        </w:trPr>
        <w:tc>
          <w:tcPr>
            <w:tcW w:w="45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197"/>
        </w:trPr>
        <w:tc>
          <w:tcPr>
            <w:tcW w:w="45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0.54</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 (LOSS) FOR THE PERIODS ENDED AUGUST 31, 2024 AND AUGUST 26, 2023 – UNAUDITED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August 26, 2023</w:t>
            </w:r>
          </w:p>
        </w:tc>
        <w:tc>
          <w:tcPr>
            <w:tcW w:w="2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26, 2023</w:t>
            </w:r>
          </w:p>
        </w:tc>
        <w:tc>
          <w:tcPr>
            <w:tcW w:w="100" w:type="dxa"/>
            <w:vAlign w:val="bottom"/>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(4,505)</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(12,899)</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 Term Cash Awards (LTCA)</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198"/>
        </w:trPr>
        <w:tc>
          <w:tcPr>
            <w:tcW w:w="52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Amortization associated with supplemental executive retirement</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defined benefit plan (SERP)</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5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(4,521)</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(13,075)</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 AND NOVEMBER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25,</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c>
          <w:tcPr>
            <w:tcW w:w="0" w:type="dxa"/>
            <w:vAlign w:val="bottom"/>
          </w:tcPr>
          <w:p>
            <w:pPr>
              <w:spacing w:after="0"/>
              <w:rPr>
                <w:sz w:val="1"/>
                <w:szCs w:val="1"/>
                <w:color w:val="auto"/>
              </w:rPr>
            </w:pP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335,862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operating lease obligations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liabilites and accrued expenses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97,709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121,387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165,036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AUGUST 31, 2024 AND AUGUST 26, 2023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8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August 26, 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(12,337)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(14,990)</w:t>
            </w:r>
          </w:p>
        </w:tc>
      </w:tr>
      <w:tr>
        <w:trPr>
          <w:trHeight w:val="20"/>
        </w:trPr>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10,249</w:t>
            </w:r>
          </w:p>
        </w:tc>
      </w:tr>
      <w:tr>
        <w:trPr>
          <w:trHeight w:val="210"/>
        </w:trPr>
        <w:tc>
          <w:tcPr>
            <w:tcW w:w="8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disposal of discontinued operations, net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(1,664)</w:t>
            </w:r>
          </w:p>
        </w:tc>
      </w:tr>
      <w:tr>
        <w:trPr>
          <w:trHeight w:val="20"/>
        </w:trPr>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(15,321)</w:t>
            </w:r>
          </w:p>
        </w:tc>
      </w:tr>
      <w:tr>
        <w:trPr>
          <w:trHeight w:val="210"/>
        </w:trPr>
        <w:tc>
          <w:tcPr>
            <w:tcW w:w="8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48,012</w:t>
            </w: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“ASC” included hereinafter refer to the Accounting Standards Codification established by the Financial Accounting Standards Board (“FASB”) as the source of authoritative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To date we have concluded that none of our licensees represent VIEs.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the sale of furniture and accessories is reported in the accompanying condensed consolidated statements of operations net of estimates for returns and allowances.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fiscal year, which ends on the last Saturday of November, periodically results in a 53-week year instead of the normal 52 weeks. The current fiscal year ending November 30, 2024 is a 53-week year, with the additional week being included in our first fiscal quarter. Accordingly, the information presented below includes 40 weeks of operations for the nine months ended August 31, 2024 as compared with 39 weeks included in the nine months ended August 26,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in the consolidated financial statements have been reclassified to conform to the current year presentation with no effect on previously reported net income or Stockholders' equity.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Interim Financial Presentation and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condensed consolidated financial statements. The results of operations for the three and nine months ended August 31, 2024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25,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22.0% and 17.3% for the three and nine months ended August 31, 2024, respectively. The effective rates for the three and nine months ended August 31, 2024 differ from the federal statutory rate of 21% primarily due to increases in the valuation allowance placed on deferred tax assets associated with Noa Home Inc. (“Noa Home”), the effects of state income taxes and various permanent differences.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was 18.8% and 43.3% for the three and nine months ended August 26, 2023, respectively. The effective rates for the three and nine months ended August 26, 2023 differ from the federal statutory rate of 21% primarily due to the non-taxable gain on revaluation of contingent consideration associated with the acquisition of Noa Home (see Note 9), increases in the valuation allowance placed on deferred tax assets associated with Noa Home and the effects of state income taxes and various permanent differences.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August 31, 2024 and August 26, 2023, $3,476 and $6,026, respectively, of lease right-of-use assets were added through the recognition of the corresponding lease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short-term investments in CDs,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$17,834 and $17,775 at August 31, 2024 and November 25, 2023, respectively, consisted of CDs. At August 31, 2024, the CDs had original terms averaging seven months, bearing interest at rates ranging from 0.7% to 5.4% and the weighted average remaining time to maturity was approximately five months and the weighted average yield of the CDs was approximately 4.69%. Each CD is placed with a federally insured financial institution and all deposits are within federal deposit insurance limits. Due to the nature of these investments and their relatively short maturities, the carrying amount of the short-term investments at August 31, 2024 and November 25, 2023 approximates their fair value.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August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25, 2023</w:t>
            </w: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2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CONDENSED CONSOLIDATED FINANCIAL STATEMENTS-UNAUDITED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ectPr>
          <w:pgSz w:w="11900" w:h="16838" w:orient="portrait"/>
          <w:cols w:equalWidth="0" w:num="1">
            <w:col w:w="11240"/>
          </w:cols>
          <w:pgMar w:left="320" w:top="364"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the nine months ended August 31, 2024 was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November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Write-offs against allowance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August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53" w:hanging="1253"/>
        <w:spacing w:after="0"/>
        <w:tabs>
          <w:tab w:leader="none" w:pos="12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w:t>
      </w:r>
    </w:p>
    <w:p>
      <w:pPr>
        <w:spacing w:after="0" w:line="27" w:lineRule="exact"/>
        <w:rPr>
          <w:rFonts w:ascii="Times New Roman" w:cs="Times New Roman" w:eastAsia="Times New Roman" w:hAnsi="Times New Roman"/>
          <w:sz w:val="18"/>
          <w:szCs w:val="18"/>
          <w:color w:val="auto"/>
        </w:rPr>
      </w:pPr>
    </w:p>
    <w:p>
      <w:pPr>
        <w:ind w:left="12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w:t>
      </w:r>
    </w:p>
    <w:p>
      <w:pPr>
        <w:spacing w:after="0" w:line="9" w:lineRule="exact"/>
        <w:rPr>
          <w:rFonts w:ascii="Times New Roman" w:cs="Times New Roman" w:eastAsia="Times New Roman" w:hAnsi="Times New Roman"/>
          <w:sz w:val="18"/>
          <w:szCs w:val="18"/>
          <w:color w:val="auto"/>
        </w:rPr>
      </w:pPr>
    </w:p>
    <w:p>
      <w:pPr>
        <w:ind w:left="12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w:t>
      </w:r>
    </w:p>
    <w:p>
      <w:pPr>
        <w:spacing w:after="0" w:line="9" w:lineRule="exact"/>
        <w:rPr>
          <w:sz w:val="20"/>
          <w:szCs w:val="20"/>
          <w:color w:val="auto"/>
        </w:rPr>
      </w:pPr>
    </w:p>
    <w:p>
      <w:pPr>
        <w:ind w:left="1113" w:hanging="1113"/>
        <w:spacing w:after="0"/>
        <w:tabs>
          <w:tab w:leader="none" w:pos="11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320" w:space="707"/>
            <w:col w:w="3213"/>
          </w:cols>
          <w:pgMar w:left="320" w:top="364" w:right="339" w:bottom="1440" w:gutter="0" w:footer="0" w:header="0"/>
          <w:type w:val="continuous"/>
        </w:sectPr>
      </w:pP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November 25,</w:t>
            </w:r>
          </w:p>
        </w:tc>
      </w:tr>
      <w:tr>
        <w:trPr>
          <w:trHeight w:val="234"/>
        </w:trPr>
        <w:tc>
          <w:tcPr>
            <w:tcW w:w="5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August 31, 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27,521</w:t>
            </w:r>
          </w:p>
        </w:tc>
      </w:tr>
      <w:tr>
        <w:trPr>
          <w:trHeight w:val="216"/>
        </w:trPr>
        <w:tc>
          <w:tcPr>
            <w:tcW w:w="5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50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18,655</w:t>
            </w:r>
          </w:p>
        </w:tc>
      </w:tr>
      <w:tr>
        <w:trPr>
          <w:trHeight w:val="216"/>
        </w:trPr>
        <w:tc>
          <w:tcPr>
            <w:tcW w:w="5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33,090</w:t>
            </w:r>
          </w:p>
        </w:tc>
      </w:tr>
      <w:tr>
        <w:trPr>
          <w:trHeight w:val="20"/>
        </w:trPr>
        <w:tc>
          <w:tcPr>
            <w:tcW w:w="5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79,903</w:t>
            </w:r>
          </w:p>
        </w:tc>
      </w:tr>
      <w:tr>
        <w:trPr>
          <w:trHeight w:val="216"/>
        </w:trPr>
        <w:tc>
          <w:tcPr>
            <w:tcW w:w="5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(11,942)</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(11,738)</w:t>
            </w:r>
          </w:p>
        </w:tc>
      </w:tr>
      <w:tr>
        <w:trPr>
          <w:trHeight w:val="216"/>
        </w:trPr>
        <w:tc>
          <w:tcPr>
            <w:tcW w:w="50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(6,069)</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(5,183)</w:t>
            </w:r>
          </w:p>
        </w:tc>
      </w:tr>
      <w:tr>
        <w:trPr>
          <w:trHeight w:val="20"/>
        </w:trPr>
        <w:tc>
          <w:tcPr>
            <w:tcW w:w="50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r>
      <w:tr>
        <w:trPr>
          <w:trHeight w:val="20"/>
        </w:trPr>
        <w:tc>
          <w:tcPr>
            <w:tcW w:w="5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Wholesale</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Segment</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Segment</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&amp; Other (1)</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25,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4,145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8"/>
                <w:szCs w:val="18"/>
                <w:color w:val="auto"/>
              </w:rPr>
            </w:pPr>
          </w:p>
        </w:tc>
        <w:tc>
          <w:tcPr>
            <w:tcW w:w="9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3,930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(3,700)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4,375</w:t>
            </w:r>
          </w:p>
        </w:tc>
        <w:tc>
          <w:tcPr>
            <w:tcW w:w="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6,069</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4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$500 reserve established against the retail inventory held by Noa Home due to our decision to cease operations by selling the remaining inventory in an orderly fashion over the next several months.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have been reasonably accurate in the past. We have not made any significant changes to our methodology for determining inventory reserves in 2024 and do not anticipate that our methodology is likely to change in the future.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and other 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August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6,849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8,675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16,067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-2605405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-2305050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-2030730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-1748155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-1019175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36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Note 9 regarding the impairment of the trade name intangible asset for Noa Home.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changes in the carrying amounts of goodwill during the nine months ended August 31, 2024.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by reportable segment, including accumulated impairment losses, at both August 31, 2024 and November 25, 2023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Original</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Impairment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Carrying</w:t>
            </w:r>
          </w:p>
        </w:tc>
      </w:tr>
      <w:tr>
        <w:trPr>
          <w:trHeight w:val="234"/>
        </w:trPr>
        <w:tc>
          <w:tcPr>
            <w:tcW w:w="3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09"/>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intangible assets during the three and nine months ended August 31, 2024 and August 26, 2023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26, 2023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August 31, 2024</w:t>
            </w:r>
          </w:p>
        </w:tc>
        <w:tc>
          <w:tcPr>
            <w:tcW w:w="18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August 26, 2023</w:t>
            </w:r>
          </w:p>
        </w:tc>
      </w:tr>
      <w:tr>
        <w:trPr>
          <w:trHeight w:val="209"/>
        </w:trPr>
        <w:tc>
          <w:tcPr>
            <w:tcW w:w="1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that exist at August 31, 2024 is as follows: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spacing w:after="0"/>
              <w:rPr>
                <w:sz w:val="19"/>
                <w:szCs w:val="19"/>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Bank Credit Facility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August 31, 2024, we had $6,013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August 31, 2024, we were not required to test the Consolidated Fixed Charge Coverage Ratio or the Consolidated Lease Adjusted Leverage to EBITDAR Ratio. Had we been required to test those ratios, we would not have been able to achieve the required levels for either of these ratios. Consequently, our availability under the Credit Facility is currently limited to an additional $2,237.</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Post Employment Benefit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The liability for the Supplemental Plan was $5,851 and $5,778 as of August 31, 2024 and November 25, 2023,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management employees in the amount of $400 each. We are accounting for the LTC Awards as a defined benefit pension plan. Currently, two of those employees have retired and are receiving benefits. The liability for the LTC Awards was $1,221 and $1,234 as of August 31, 2024 and November 25,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pension liability for the Supplemental Plan and LTC Awards is recorded as follows in the condensed consolidated balance sheets: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6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6,280</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6,220</w:t>
            </w:r>
          </w:p>
        </w:tc>
      </w:tr>
      <w:tr>
        <w:trPr>
          <w:trHeight w:val="20"/>
        </w:trPr>
        <w:tc>
          <w:tcPr>
            <w:tcW w:w="5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pension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7,072</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7,012</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Components of net periodic pension costs for our defined benefit plans for the three and nine months ended August 31, 2024 and August 26, 2023 are as follows: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prior service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August 26, 2023</w:t>
            </w:r>
          </w:p>
        </w:tc>
        <w:tc>
          <w:tcPr>
            <w:tcW w:w="2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26, 2023</w:t>
            </w:r>
          </w:p>
        </w:tc>
        <w:tc>
          <w:tcPr>
            <w:tcW w:w="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8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8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-719455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-445135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-162560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720"/>
            <w:col w:w="5720"/>
          </w:cols>
          <w:pgMar w:left="320" w:top="36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$1,657 and $1,655 as of August 31, 2024 and November 25, 2023,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$3,277 and $2661 as of August 31, 2024 and November 25,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6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4,605</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3,987</w:t>
            </w:r>
          </w:p>
        </w:tc>
      </w:tr>
      <w:tr>
        <w:trPr>
          <w:trHeight w:val="20"/>
        </w:trPr>
        <w:tc>
          <w:tcPr>
            <w:tcW w:w="5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compensation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4,316</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recognized expense under our deferred compensation arrangements during the three and nine months ended August 31, 2024 and August 26, 2023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August 26, 2023</w:t>
            </w:r>
          </w:p>
        </w:tc>
        <w:tc>
          <w:tcPr>
            <w:tcW w:w="2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26, 2023</w:t>
            </w:r>
          </w:p>
        </w:tc>
        <w:tc>
          <w:tcPr>
            <w:tcW w:w="1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expense (benefit)</w:t>
            </w: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w:t>
            </w: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Gains and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August 31, 2024, we recognized a charge of $1,240 to accrue the remaining minimum charges payable under a contract for logistical services which our wholesale segment ceased utilizing during the third fiscal quarter of 2024. These minimum payments will continue through January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August 31, 2024, we recognized non-cash charges for asset impairments totaling $5,515 which consisted of the following: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for the impairment of plant and equipment in our wholesale segment related to the consolidation of our domestic wood production facilities.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for the impairment of long-lived assets at Noa Home. During the second quarter we concluded that Noa Home was not likely to achieve profitability in the foreseeable future and have decided to cease operations by selling the remaining inventory in an orderly fashion over the next several months. $1,827 of these charges are for the full impairment of the Noa Home trade name intangible asset, and $74 relates to the full impairment of customized software used in the Noa Home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estimates of the fair value of the impaired right-of-use assets included estimates of discounted cash flows based upon current market rents and other inputs which we consider to be Level 3 inputs as specified in the fair value hierarchy in ASC Topic 820, Fair Value Measurement and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August 26, 2023, we recognized a non-cash gain of $1,013 resulting from the write-down of our contingent consideration obligation to the former owners of Noa Home. Subsequent to the acquisition of Noa Home on September 2, 2022, the parties concluded that the revenue and EBITDA targets originally set forth in the purchase agreement by which the Noa Home co-founders were to earn the contingent consideration were likely not to be met within the originally anticipated time frame and therefore agreed to replace the contingent consideration payable that was recognized at the acquisition date with two fixed payments of C$200 each. The first payment was made in June of 2023 and the second payment will be made in December of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Guarantees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licensee lease obligation guarantees in the amounts of $5,226 and $1,845 at August 31, 2024 and November 25, 2023, respectively. The remaining term under these lease guarantees extends for six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these lease guarantees (an estimate of the cost to the Company to perform on the guarantee) at August 31, 2024 and November 25, 2023 was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Earnings (Loss) Per Share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reconciles basic and diluted earnings (loss) per share: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16"/>
        </w:trPr>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(Loss) Per</w:t>
            </w:r>
          </w:p>
        </w:tc>
      </w:tr>
      <w:tr>
        <w:trPr>
          <w:trHeight w:val="234"/>
        </w:trPr>
        <w:tc>
          <w:tcPr>
            <w:tcW w:w="2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(Loss)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189"/>
        </w:trPr>
        <w:tc>
          <w:tcPr>
            <w:tcW w:w="53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quarter ended August 31, 2024:</w:t>
            </w:r>
          </w:p>
        </w:tc>
        <w:tc>
          <w:tcPr>
            <w:tcW w:w="3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8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(4,505)</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8,725,008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loss per share - continuing operations</w:t>
            </w:r>
          </w:p>
        </w:tc>
        <w:tc>
          <w:tcPr>
            <w:tcW w:w="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8,725,008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5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quarter ended August 26, 2023:</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8,736,096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8,736,096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r>
      <w:tr>
        <w:trPr>
          <w:trHeight w:val="196"/>
        </w:trPr>
        <w:tc>
          <w:tcPr>
            <w:tcW w:w="2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5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nine months ended August 31, 2024:</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 continuing operations</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(12,899)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8,742,766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 - continuing operations</w:t>
            </w:r>
          </w:p>
        </w:tc>
        <w:tc>
          <w:tcPr>
            <w:tcW w:w="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(12,899)</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8,742,766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5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nine months ended August 26, 2023:</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share - continuing operations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8,804,718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 continuing operations</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8,820,652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net loss for the period, potentially dilutive securities would have been anti-dilutive and are therefore excluded.</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For the three and nine months ended August 31, 2024 and August 26, 2023, the following potentially dilutive shares were excluded from the computations as their effect was anti-dilutive: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94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7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9"/>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August 26, 2023</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August 31, 2024</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August 26, 2023</w:t>
            </w:r>
          </w:p>
        </w:tc>
        <w:tc>
          <w:tcPr>
            <w:tcW w:w="10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2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64,409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66,113</w:t>
            </w: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37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15 of 37</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August 31, 2024 and August 26, 2023, the only such operating segment included in Corporate and other is Noa Home, which was acquired on September 2, 2022. All sales reported in our Corporate and other category are attributable to Noa Home, which generates substantially all of its sales outside of the United States. During the second fiscal quarter of 2024 we concluded that Noa Home was not likely to achieve profitability in the foreseeable future and have decided to cease operations by selling the remaining inventory in an orderly fashion over the next several months.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segment information:</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9"/>
        </w:trPr>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August 26, 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August 26, 2023</w:t>
            </w:r>
          </w:p>
        </w:tc>
        <w:tc>
          <w:tcPr>
            <w:tcW w:w="100" w:type="dxa"/>
            <w:vAlign w:val="bottom"/>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47,828</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56,660</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155,138</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188,318</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(23,503)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(77,932)</w:t>
            </w:r>
          </w:p>
        </w:tc>
      </w:tr>
      <w:tr>
        <w:trPr>
          <w:trHeight w:val="20"/>
        </w:trPr>
        <w:tc>
          <w:tcPr>
            <w:tcW w:w="49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33,157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90,171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110,386</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52,264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151,478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178,004</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 Noa Home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7,044</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75,619</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87,217</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245,583</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295,434</w:t>
            </w:r>
          </w:p>
        </w:tc>
      </w:tr>
      <w:tr>
        <w:trPr>
          <w:trHeight w:val="197"/>
        </w:trPr>
        <w:tc>
          <w:tcPr>
            <w:tcW w:w="49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4,440</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6,340</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16,886</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22,339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 (see Note 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 on contract abandonment (see Note 9)</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 (see Note 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49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w:t>
            </w:r>
          </w:p>
        </w:tc>
      </w:tr>
      <w:tr>
        <w:trPr>
          <w:trHeight w:val="20"/>
        </w:trPr>
        <w:tc>
          <w:tcPr>
            <w:tcW w:w="49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(5,774)</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(3,190)</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(15,590)</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1,835</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4,167</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1,497</w:t>
            </w:r>
          </w:p>
        </w:tc>
      </w:tr>
      <w:tr>
        <w:trPr>
          <w:trHeight w:val="20"/>
        </w:trPr>
        <w:tc>
          <w:tcPr>
            <w:tcW w:w="49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2,322</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2,593</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7,502</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919</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2,064</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7,798</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4,795</w:t>
            </w:r>
          </w:p>
        </w:tc>
      </w:tr>
      <w:tr>
        <w:trPr>
          <w:trHeight w:val="20"/>
        </w:trPr>
        <w:tc>
          <w:tcPr>
            <w:tcW w:w="49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7,252</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4,720</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14,657</w:t>
            </w: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6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88,835</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99,004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155,271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166,604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91,756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5"/>
              </w:rPr>
              <w:t>104,816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335,862</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370,424</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13, Revenue Recognition, for disaggregated revenue information regarding sales of furniture and accessories by product type for the wholesale and retail segments.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$23,700 and $22,788 as of August 31, 2024 and November 25, 2023, respectively. Substantially all of the customer deposits held as of November 25, 2023 related to performance obligations that were satisfied during the current year-to-date period and have therefore been recognized in revenue for the nine months ended August 31,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August 31, 2024 and November 25, 2023, our balance of prepaid commissions included in other current assets was $2,559 and $2,245,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the three and nine months ended August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26, 2023, excluding intercompany transactions between our segments, is a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August 26, 2023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&amp; Other</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&amp; Other</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30,177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50,162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3,730</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1,229</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6,743</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3,043</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5,909</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7,027</w:t>
            </w: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7,026</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8,822</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 furniture and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27,375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47,256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75,619</w:t>
            </w:r>
          </w:p>
        </w:tc>
        <w:tc>
          <w:tcPr>
            <w:tcW w:w="200" w:type="dxa"/>
            <w:vAlign w:val="bottom"/>
          </w:tcPr>
          <w:p>
            <w:pPr>
              <w:spacing w:after="0"/>
              <w:rPr>
                <w:sz w:val="16"/>
                <w:szCs w:val="16"/>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33,157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52,264</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1,796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87,217</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accessories</w:t>
            </w: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August 26, 2023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&amp; Other</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&amp; Other</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60,046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101,047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169,688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11,254</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3,173</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14,427</w:t>
            </w: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19,630</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9,933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24,336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34,269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27,164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8,938</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19,684</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28,622</w:t>
            </w: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9,473</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24,848</w:t>
            </w: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34,321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21,595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25,529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23,537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30,581</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 furniture and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90,171</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151,478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3,934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245,583</w:t>
            </w:r>
          </w:p>
        </w:tc>
        <w:tc>
          <w:tcPr>
            <w:tcW w:w="20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110,386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178,004</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7,044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295,434</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accessories</w:t>
            </w: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for the three and nine months ended August 31, 2024 and August 26, 2023 includes the sales of Noa Home.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Changes to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changes in our stockholders’ equity occurred during the three and nine months ended August 31, 2024 and August 26,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r>
      <w:tr>
        <w:trPr>
          <w:trHeight w:val="425"/>
        </w:trPr>
        <w:tc>
          <w:tcPr>
            <w:tcW w:w="552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26, 2023</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8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26, 2023</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43,808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43,842</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44,759</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w:t>
            </w:r>
          </w:p>
        </w:tc>
      </w:tr>
      <w:tr>
        <w:trPr>
          <w:trHeight w:val="20"/>
        </w:trPr>
        <w:tc>
          <w:tcPr>
            <w:tcW w:w="5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43,674</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43,674</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43,800</w:t>
            </w:r>
          </w:p>
        </w:tc>
      </w:tr>
      <w:tr>
        <w:trPr>
          <w:trHeight w:val="20"/>
        </w:trPr>
        <w:tc>
          <w:tcPr>
            <w:tcW w:w="5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8,761,332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8,779,912</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8,768,221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8,951,839</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58,256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57,406</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(40,143)</w:t>
            </w: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(91,849)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(249,480)</w:t>
            </w:r>
          </w:p>
        </w:tc>
      </w:tr>
      <w:tr>
        <w:trPr>
          <w:trHeight w:val="20"/>
        </w:trPr>
        <w:tc>
          <w:tcPr>
            <w:tcW w:w="5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8,734,628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8,759,765</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8,734,628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8,759,765</w:t>
            </w:r>
          </w:p>
        </w:tc>
      </w:tr>
      <w:tr>
        <w:trPr>
          <w:trHeight w:val="197"/>
        </w:trPr>
        <w:tc>
          <w:tcPr>
            <w:tcW w:w="55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5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5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127,807</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149,393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139,354</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150,800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(2,591)</w:t>
            </w: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(4,406)</w:t>
            </w:r>
          </w:p>
        </w:tc>
      </w:tr>
      <w:tr>
        <w:trPr>
          <w:trHeight w:val="20"/>
        </w:trPr>
        <w:tc>
          <w:tcPr>
            <w:tcW w:w="5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121,388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145,031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121,388</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145,031</w:t>
            </w:r>
          </w:p>
        </w:tc>
      </w:tr>
      <w:tr>
        <w:trPr>
          <w:trHeight w:val="196"/>
        </w:trPr>
        <w:tc>
          <w:tcPr>
            <w:tcW w:w="55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costs, net of tax</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5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balance of cumulative translation adjustments, net of tax, was a net loss of $684 and $486 at August 31, 2024 and November 25,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Recent Accounting Pronouncements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August 31, 2024 we do not hold any investments in equity securities, therefore we do not currently expect that this guidance will have a material impact upon our financial position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amendments in ASU 2022-03 will become effective for us for our 2025 fiscal year and for interim periods beginning with our 2026 fiscal year. Early adoption is permitted. We do not expect that this guidance will have a material impact upon our financial position and results of operations.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2022-03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Safe-harbor,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83" w:lineRule="exact"/>
        <w:rPr>
          <w:sz w:val="20"/>
          <w:szCs w:val="20"/>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asset impairment charges arising from the ongoing efforts to consolidate our retail warehouses.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 including our initiatives to expand and improve our digital marketing and advertising capabilities, as they are implemented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charges arising from our decision to close Noa Home Inc. (“Noa Home”) during the fourth quarter of fiscal 2024.</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25,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Our fiscal year, which ends on the last Saturday of November, periodically results in a 53-week year instead of the normal 52 weeks. The current fiscal year ending November 30, 2024 is a 53-week year, with the additional week being included in our first fiscal quarter. Accordingly, the information presented below includes 40 weeks of operations for the nine months ended August 31, 2024 as compared to 39 weeks included in the quarter ended August 26,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newly redesigned website at </w:t>
      </w:r>
      <w:r>
        <w:rPr>
          <w:rFonts w:ascii="Times New Roman" w:cs="Times New Roman" w:eastAsia="Times New Roman" w:hAnsi="Times New Roman"/>
          <w:sz w:val="18"/>
          <w:szCs w:val="18"/>
          <w:u w:val="single" w:color="auto"/>
          <w:color w:val="auto"/>
        </w:rPr>
        <w:t>www.bassettfurniture.com</w:t>
      </w:r>
      <w:r>
        <w:rPr>
          <w:rFonts w:ascii="Times New Roman" w:cs="Times New Roman" w:eastAsia="Times New Roman" w:hAnsi="Times New Roman"/>
          <w:sz w:val="18"/>
          <w:szCs w:val="18"/>
          <w:color w:val="auto"/>
        </w:rPr>
        <w:t>. We were founded in 1902 and incorporated under the laws of Virginia in 1930. Our rich 122-year history has instilled the principles of quality, value, and integrity in everything we do, while simultaneously providing us with the expertise to respond to ever-changing consumer tastes and meet the demands of a global economy.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87 BHF stores at August 31, 2024,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BHF stores feature custom order furniture,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Digital outreach strategies have become the primary vehicle for brand advertising and customer acquisition. We introduced a new web platform in August of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While we have made it easier to purchase on-line, we will not compromise our in-store experience or the quality of our in-home makeover capabilities.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a mid-priced e-commerce furniture retailer headquartered in Montreal, Canada. Noa Home has operations in Canada, Singapore, the United States and the United Kingdom. After nearly two years of operating losses, we concluded during the second quarter of 2024 that Noa Home was not likely to achieve profitability at any time in the foreseeable future and have decided to cease operations by selling the inventory in an orderly fashion over the next several months. In the second quarter of 2024 we recognized non-cash charges totaling $2,401 related to the impairment of certain long-lived assets of Noa Home and the establishment of a reserve against Noa Home’s remaining inventory.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In 2022, we purchased a facility which we had formerly leased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and China. Over 75%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opened two new Corporate-owned stores located in Tampa, Florida and Houston, Texas. As of August 31, 2024, we had 58 Corporate-owned stores operating. One licensee-owned store in La Jolla, California was closed during the first quarter of 2024 and two licensee-owned stores in Seattle, Washington were closed during the third quarter of 2024. As of August 31, 2024 there were 29 licensee-owned stores in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10, 2024, we detected unauthorized occurrences on a portion of our information technology (IT) systems. Upon detecting the unauthorized occurrences, we immediately began taking steps to contain, assess and remediate the cybersecurity incident, including beginning an investigation with leading external cybersecurity specialists, activating our incident response plan, and shutting down some systems. As a result of these and other measures, we believe the threat actor was ejected from our IT systems on July 10,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we shut down some of our systems, we experienced disruption to certain of our operations, including interrupted manufacturing at our domestic plants and delayed order fulfillment for our retail network and delay of some wholesale shipments. Within a few days of the incident, we were able to resume retail order fulfillment and caught up on fulfilling wholesale orders that were delayed as a result of the cybersecurity incident. We have fully restored the IT systems and data and our investigation has not found evidence that any of our core operating systems for manufacturing, wholesale and retail order processing and fulfillment, or financial reporting were impacted.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believe the impacts were not material to our financial condition and results of operations for the fiscal year, we estimate that between $1,000 and $2,000 of sales were lost due to the shutdown during the cybersecurity incident. During the third quarter of 2024, we also incurred legal and remediation costs related to the incident of approximately $98 which are included in selling, general and administrative expenses. In addition, cost of goods sold for the three and nine months ended August 31, 2024 includes $609 for wages paid to hourly production employees during the work stoppage resulting from the cybersecurity incident. Because no inventory was produced during the temporary shutdown of our manufacturing operations, these wages were charged directly to expense. We will be seeking reimbursement of costs, expenses and losses stemming from the cybersecurity incident by submitting claims to our cybersecurity insurers. While the timing and amount of any such reimbursements is not known at this time, we are currently in the process of documenting our claim and expect to resolve the final amount during the fourth fiscal quarter of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Periods ended August 31, 2024 compared with the periods ended August 26,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 of operations for the three and nine months ended August 31, 2024 and August 26, 2023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Quarter Ended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Change</w:t>
            </w:r>
          </w:p>
        </w:tc>
        <w:tc>
          <w:tcPr>
            <w:tcW w:w="780" w:type="dxa"/>
            <w:vAlign w:val="bottom"/>
          </w:tcPr>
          <w:p>
            <w:pPr>
              <w:spacing w:after="0"/>
              <w:rPr>
                <w:sz w:val="18"/>
                <w:szCs w:val="18"/>
                <w:color w:val="auto"/>
              </w:rPr>
            </w:pPr>
          </w:p>
        </w:tc>
        <w:tc>
          <w:tcPr>
            <w:tcW w:w="17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Nine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31, 2024</w:t>
            </w:r>
          </w:p>
        </w:tc>
        <w:tc>
          <w:tcPr>
            <w:tcW w:w="13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August 26, 2023</w:t>
            </w:r>
          </w:p>
        </w:tc>
        <w:tc>
          <w:tcPr>
            <w:tcW w:w="240" w:type="dxa"/>
            <w:vAlign w:val="bottom"/>
          </w:tcPr>
          <w:p>
            <w:pPr>
              <w:spacing w:after="0"/>
              <w:rPr>
                <w:sz w:val="17"/>
                <w:szCs w:val="17"/>
                <w:color w:val="auto"/>
              </w:rPr>
            </w:pPr>
          </w:p>
        </w:tc>
        <w:tc>
          <w:tcPr>
            <w:tcW w:w="76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164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31, 2024*</w:t>
            </w: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August 26, 2023</w:t>
            </w:r>
          </w:p>
        </w:tc>
        <w:tc>
          <w:tcPr>
            <w:tcW w:w="240" w:type="dxa"/>
            <w:vAlign w:val="bottom"/>
          </w:tcPr>
          <w:p>
            <w:pPr>
              <w:spacing w:after="0"/>
              <w:rPr>
                <w:sz w:val="17"/>
                <w:szCs w:val="17"/>
                <w:color w:val="auto"/>
              </w:rPr>
            </w:pPr>
          </w:p>
        </w:tc>
        <w:tc>
          <w:tcPr>
            <w:tcW w:w="7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 of furniture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accessories</w:t>
            </w:r>
          </w:p>
        </w:tc>
        <w:tc>
          <w:tcPr>
            <w:tcW w:w="9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$ 75,619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8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6"/>
              </w:rPr>
              <w:t>$ 87,217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(11,598)</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7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3"/>
              </w:rPr>
              <w:t>$ 245,583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295,434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 (49,851)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Cost of furniture and</w:t>
            </w:r>
          </w:p>
        </w:tc>
        <w:tc>
          <w:tcPr>
            <w:tcW w:w="120" w:type="dxa"/>
            <w:vAlign w:val="bottom"/>
            <w:vMerge w:val="restart"/>
          </w:tcPr>
          <w:p>
            <w:pPr>
              <w:spacing w:after="0"/>
              <w:rPr>
                <w:sz w:val="16"/>
                <w:szCs w:val="16"/>
                <w:color w:val="auto"/>
              </w:rPr>
            </w:pPr>
          </w:p>
        </w:tc>
        <w:tc>
          <w:tcPr>
            <w:tcW w:w="7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35,526</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47.0%</w:t>
            </w: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42,173</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6"/>
                <w:szCs w:val="16"/>
                <w:color w:val="auto"/>
              </w:rPr>
            </w:pPr>
          </w:p>
        </w:tc>
        <w:tc>
          <w:tcPr>
            <w:tcW w:w="6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(6,647)</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-15.8%</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113,863</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6"/>
                <w:szCs w:val="16"/>
                <w:color w:val="auto"/>
              </w:rPr>
            </w:pP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140,360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47.5%</w:t>
            </w: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(26,497)</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accessories sold</w:t>
            </w: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40,093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53.0%</w:t>
            </w:r>
          </w:p>
        </w:tc>
        <w:tc>
          <w:tcPr>
            <w:tcW w:w="8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45,044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w:t>
            </w:r>
          </w:p>
        </w:tc>
        <w:tc>
          <w:tcPr>
            <w:tcW w:w="7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131,720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155,074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52.5%</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(23,354)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45,210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59.8%</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48,848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142,141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154,709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(12,568)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contract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abandonment</w:t>
            </w:r>
          </w:p>
        </w:tc>
        <w:tc>
          <w:tcPr>
            <w:tcW w:w="9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1,240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8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1,240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Asset impairment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charges</w:t>
            </w: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5,515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revaluation of</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w:t>
            </w:r>
          </w:p>
        </w:tc>
        <w:tc>
          <w:tcPr>
            <w:tcW w:w="90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80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1,013</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(1,013)</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consideration</w:t>
            </w:r>
          </w:p>
        </w:tc>
        <w:tc>
          <w:tcPr>
            <w:tcW w:w="9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w:t>
            </w:r>
          </w:p>
        </w:tc>
        <w:tc>
          <w:tcPr>
            <w:tcW w:w="9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 (6,357)</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8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 (3,804)</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(2,553)</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-67.1%</w:t>
            </w: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 (17,176)</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1,378</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 (18,554)</w:t>
            </w:r>
          </w:p>
        </w:tc>
        <w:tc>
          <w:tcPr>
            <w:tcW w:w="7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operations</w:t>
            </w:r>
          </w:p>
        </w:tc>
        <w:tc>
          <w:tcPr>
            <w:tcW w:w="9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 weeks for fiscal 2024 as compared with 39 weeks for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revenue for the three months ended August 31, 2024 decreased $11,598 or 13% from the prior year period due primarily to a 16% decline in wholesale sales and a 10% decrease in retail sales through the Company-owned stores. In addition, we estimate that between $1,000 and $2,000 of sales were lost due to the shutdown during the cybersecurity incident.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margins for the three months ended August 31, 2024 increased 140 basis points over the prior year period primarily due to improved margins in both the retail and wholesale segments, partially offset by $609 of unproductive labor costs incurred during the temporary shutdown resulting from the cybersecurity incident. Excluding these unproductive labor costs, our consolidated gross margin would have been 53.8%.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three months ended August 31, 2024 increased 380 basis points from 2023 primarily due to the deleverage of fixed costs caused by lower sales volumes.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Year-to-Date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sales revenue for the nine months ended August 31, 2024 decreased $49,851 or 17% from the prior year period primarily due to a 18% decline in wholesale sales and a 15% decrease in retail sales through the Company-owned stores.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margins for the nine months ended August 31, 2024 increased 110 basis points over the prior year period. Included in the current year gross margin are increased inventory valuation charges of $1,729 in the wholesale segment, $472 in the retail segment and $500 in the Noa Home operation, and unproductive labor costs of $609 incurred during the temporary shutdown resulting from the cybersecurity incident. Excluding these charges, our consolidated gross margin would have been 55.0%. SG&amp;A expenses as a percentage of sales for the nine months ended August 31, 2024 increased 550 basis points from 2023 primarily due to the deleverage of fixed costs caused by lower sales volumes.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6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Reconciliation of Gross Profit as Reported to Adjusted Gross Profit:</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20" w:type="dxa"/>
            <w:vAlign w:val="bottom"/>
          </w:tcPr>
          <w:p>
            <w:pPr>
              <w:spacing w:after="0"/>
              <w:rPr>
                <w:sz w:val="18"/>
                <w:szCs w:val="18"/>
                <w:color w:val="auto"/>
              </w:rPr>
            </w:pPr>
          </w:p>
        </w:tc>
        <w:tc>
          <w:tcPr>
            <w:tcW w:w="18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August 26, 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20" w:type="dxa"/>
            <w:vAlign w:val="bottom"/>
          </w:tcPr>
          <w:p>
            <w:pPr>
              <w:spacing w:after="0"/>
              <w:rPr>
                <w:sz w:val="18"/>
                <w:szCs w:val="18"/>
                <w:color w:val="auto"/>
              </w:rPr>
            </w:pPr>
          </w:p>
        </w:tc>
        <w:tc>
          <w:tcPr>
            <w:tcW w:w="18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August 26, 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40,093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131,720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155,074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Wages paid during cyber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incident shutdown</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inventory</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2,701</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1,896</w:t>
            </w: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charges</w:t>
            </w: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40,702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45,937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135,030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156,970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413"/>
        </w:trPr>
        <w:tc>
          <w:tcPr>
            <w:tcW w:w="2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August 31, 2024 and August 26, 2023, the only such operating segment included in Corporate and other is Noa Home, which was acquired on September 2, 2022. All sales reported in our Corporate and other category are attributable to Noa Home, which generates substantially all of its sales outside of the United States. During the second quarter of 2024 we concluded that Noa Home was not likely to achieve profitability in the foreseeable future and decided to cease operations by selling the inventory in an orderly fashion over the next several months.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Income (Loss) Before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as well as non-operating income and expenses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color w:val="auto"/>
              </w:rPr>
              <w:t>Quarter Ended August 31, 2024</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7"/>
              </w:rPr>
              <w:t>GAAP</w:t>
            </w:r>
          </w:p>
        </w:tc>
        <w:tc>
          <w:tcPr>
            <w:tcW w:w="10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Presentation</w:t>
            </w:r>
          </w:p>
        </w:tc>
      </w:t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&amp;</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Special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Non-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Retail</w:t>
            </w:r>
          </w:p>
        </w:tc>
        <w:tc>
          <w:tcPr>
            <w:tcW w:w="240" w:type="dxa"/>
            <w:vAlign w:val="bottom"/>
          </w:tcPr>
          <w:p>
            <w:pPr>
              <w:spacing w:after="0"/>
              <w:rPr>
                <w:sz w:val="20"/>
                <w:szCs w:val="20"/>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Items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Operating</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209"/>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47,828</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(20,453(1)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75,619</w:t>
            </w:r>
          </w:p>
        </w:tc>
      </w:tr>
      <w:tr>
        <w:trPr>
          <w:trHeight w:val="198"/>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33,147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22,285</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(20,410(2)</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35,526</w:t>
            </w:r>
          </w:p>
        </w:tc>
        <w:tc>
          <w:tcPr>
            <w:tcW w:w="100" w:type="dxa"/>
            <w:vAlign w:val="bottom"/>
          </w:tcPr>
          <w:p>
            <w:pPr>
              <w:spacing w:after="0"/>
              <w:rPr>
                <w:sz w:val="20"/>
                <w:szCs w:val="20"/>
                <w:color w:val="auto"/>
              </w:rPr>
            </w:pPr>
          </w:p>
        </w:tc>
      </w:tr>
      <w:tr>
        <w:trPr>
          <w:trHeight w:val="20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14,681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24,971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40,093</w:t>
            </w:r>
          </w:p>
        </w:tc>
      </w:tr>
      <w:tr>
        <w:trPr>
          <w:trHeight w:val="198"/>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10,241</w:t>
            </w:r>
          </w:p>
        </w:tc>
        <w:tc>
          <w:tcPr>
            <w:tcW w:w="2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27,811</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7,447</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(289(3)</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45,210</w:t>
            </w:r>
          </w:p>
        </w:tc>
      </w:tr>
      <w:tr>
        <w:trPr>
          <w:trHeight w:val="216"/>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 (4)</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4,440</w:t>
            </w:r>
          </w:p>
        </w:tc>
        <w:tc>
          <w:tcPr>
            <w:tcW w:w="26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(2,840)</w:t>
            </w:r>
          </w:p>
        </w:tc>
        <w:tc>
          <w:tcPr>
            <w:tcW w:w="2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(6,963)</w:t>
            </w:r>
          </w:p>
        </w:tc>
        <w:tc>
          <w:tcPr>
            <w:tcW w:w="3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4,440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(5,774)</w:t>
            </w:r>
          </w:p>
        </w:tc>
      </w:tr>
      <w:tr>
        <w:trPr>
          <w:trHeight w:val="412"/>
        </w:trPr>
        <w:tc>
          <w:tcPr>
            <w:tcW w:w="29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3060" w:type="dxa"/>
            <w:vAlign w:val="bottom"/>
            <w:tcBorders>
              <w:top w:val="single" w:sz="8" w:color="auto"/>
              <w:bottom w:val="single" w:sz="8" w:color="auto"/>
            </w:tcBorders>
            <w:gridSpan w:val="7"/>
          </w:tcPr>
          <w:p>
            <w:pPr>
              <w:jc w:val="right"/>
              <w:ind w:right="230"/>
              <w:spacing w:after="0"/>
              <w:rPr>
                <w:sz w:val="20"/>
                <w:szCs w:val="20"/>
                <w:color w:val="auto"/>
              </w:rPr>
            </w:pPr>
            <w:r>
              <w:rPr>
                <w:rFonts w:ascii="Times New Roman" w:cs="Times New Roman" w:eastAsia="Times New Roman" w:hAnsi="Times New Roman"/>
                <w:sz w:val="18"/>
                <w:szCs w:val="18"/>
                <w:color w:val="auto"/>
              </w:rPr>
              <w:t>Quarter Ended August 26, 2023</w:t>
            </w:r>
          </w:p>
        </w:tc>
        <w:tc>
          <w:tcPr>
            <w:tcW w:w="2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7"/>
              </w:rPr>
              <w:t>GAAP</w:t>
            </w:r>
          </w:p>
        </w:tc>
        <w:tc>
          <w:tcPr>
            <w:tcW w:w="10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Non-GAAP Presentation</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Presentation</w:t>
            </w:r>
          </w:p>
        </w:tc>
      </w:t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&amp;</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Special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Non-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20"/>
                <w:szCs w:val="2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Other</w:t>
            </w: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Items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Operating</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1,796</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(23,503(1)</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87,217</w:t>
            </w:r>
          </w:p>
        </w:tc>
      </w:tr>
      <w:tr>
        <w:trPr>
          <w:trHeight w:val="198"/>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25,318</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(23,562(2)</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42,173</w:t>
            </w:r>
          </w:p>
        </w:tc>
        <w:tc>
          <w:tcPr>
            <w:tcW w:w="100" w:type="dxa"/>
            <w:vAlign w:val="bottom"/>
          </w:tcPr>
          <w:p>
            <w:pPr>
              <w:spacing w:after="0"/>
              <w:rPr>
                <w:sz w:val="20"/>
                <w:szCs w:val="20"/>
                <w:color w:val="auto"/>
              </w:rPr>
            </w:pPr>
          </w:p>
        </w:tc>
      </w:tr>
      <w:tr>
        <w:trPr>
          <w:trHeight w:val="21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45,044</w:t>
            </w:r>
          </w:p>
        </w:tc>
      </w:tr>
      <w:tr>
        <w:trPr>
          <w:trHeight w:val="198"/>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8,335</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48,848</w:t>
            </w:r>
          </w:p>
        </w:tc>
        <w:tc>
          <w:tcPr>
            <w:tcW w:w="100" w:type="dxa"/>
            <w:vAlign w:val="bottom"/>
          </w:tcPr>
          <w:p>
            <w:pPr>
              <w:spacing w:after="0"/>
              <w:rPr>
                <w:sz w:val="20"/>
                <w:szCs w:val="20"/>
                <w:color w:val="auto"/>
              </w:rPr>
            </w:pP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(3,804)</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2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(7,420)</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(3,190)</w:t>
            </w:r>
          </w:p>
        </w:tc>
      </w:tr>
      <w:tr>
        <w:trPr>
          <w:trHeight w:val="20"/>
        </w:trPr>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26 of 37</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 August 31, 2024</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7"/>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w w:val="99"/>
              </w:rPr>
              <w:t>Non-GAAP Presentation</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Corporate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Presentation</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&amp;</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Special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Non-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20"/>
                <w:szCs w:val="20"/>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Other</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Items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Operating</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155,138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151,478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3,934</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245,583</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105,763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70,805</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2,239</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(64,944(2)</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49,375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80,673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131,720</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32,489</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87,347</w:t>
            </w:r>
          </w:p>
        </w:tc>
        <w:tc>
          <w:tcPr>
            <w:tcW w:w="2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23,195</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142,141</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(6,755)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(17,176)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2,075</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(6,755)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gridSpan w:val="5"/>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 August 26, 2023</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7"/>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w w:val="99"/>
              </w:rPr>
              <w:t>Non-GAAP Presentation</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Corporate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Presentation</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&amp;</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Special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Non-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20"/>
                <w:szCs w:val="20"/>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Other</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Items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Operating</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188,318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178,004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7,044</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295,434</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130,693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84,550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3,212</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(78,095(2)</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57,625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93,454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3,832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7,207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155,074</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35,286</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94,205</w:t>
            </w:r>
          </w:p>
        </w:tc>
        <w:tc>
          <w:tcPr>
            <w:tcW w:w="2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25,972</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154,709</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revaluation of contingent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22,339</w:t>
            </w: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3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7,961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1,644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(1,381)</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22,339</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7,961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 as well as the change for the period in the elimination of intercompany profit in ending retail inventory.</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charge for accruing the remaining minimum payments under a contract for logistical services in Riverside, CA which we no longer utilize.</w:t>
      </w: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asset impairment charges of $2,887 and $727 in our retail and wholesale segments, respectively, a $1,827 charge for the impairment of the Noa Home trade name intangible asset, and a $74 charge for the impairment of Noa Home customized software.</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resulting from the write-down of the contingent consideration payable on the acquisition of Noa Home.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wholesale segment for the three and nine months ended August 31, 2024 and August 26, 2023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color w:val="auto"/>
              </w:rPr>
              <w:t>Quarter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4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Nine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31, 2024</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August 26, 2023</w:t>
            </w:r>
          </w:p>
        </w:tc>
        <w:tc>
          <w:tcPr>
            <w:tcW w:w="240" w:type="dxa"/>
            <w:vAlign w:val="bottom"/>
          </w:tcPr>
          <w:p>
            <w:pPr>
              <w:spacing w:after="0"/>
              <w:rPr>
                <w:sz w:val="17"/>
                <w:szCs w:val="17"/>
                <w:color w:val="auto"/>
              </w:rPr>
            </w:pPr>
          </w:p>
        </w:tc>
        <w:tc>
          <w:tcPr>
            <w:tcW w:w="7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31, 2024*</w:t>
            </w: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August 26, 2023</w:t>
            </w:r>
          </w:p>
        </w:tc>
        <w:tc>
          <w:tcPr>
            <w:tcW w:w="76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47,828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56,660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(8,832)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155,138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188,318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(33,180)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100" w:type="dxa"/>
            <w:vAlign w:val="bottom"/>
          </w:tcPr>
          <w:p>
            <w:pPr>
              <w:spacing w:after="0"/>
              <w:rPr>
                <w:sz w:val="17"/>
                <w:szCs w:val="17"/>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5"/>
              </w:rPr>
              <w:t>14,681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17,124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30.2%</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49,375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57,625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10,241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10,784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32,489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35,286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4,440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6,340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(1,900)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16,886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22,339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(5,453)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400" w:right="1140" w:hanging="269"/>
        <w:spacing w:after="0" w:line="266" w:lineRule="auto"/>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*40 weeks for fiscal 2024 as compared with 39 weeks for fiscal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color w:val="auto"/>
              </w:rPr>
              <w:t>Quarter Ended</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color w:val="auto"/>
              </w:rPr>
              <w:t>August 31, 2024</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August 26, 2023*</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Total Change</w:t>
            </w:r>
          </w:p>
        </w:tc>
      </w:tr>
      <w:tr>
        <w:trPr>
          <w:trHeight w:val="196"/>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External</w:t>
            </w: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External</w:t>
            </w: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Dollars</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Percent</w:t>
            </w:r>
          </w:p>
        </w:tc>
        <w:tc>
          <w:tcPr>
            <w:tcW w:w="140" w:type="dxa"/>
            <w:vAlign w:val="bottom"/>
          </w:tcPr>
          <w:p>
            <w:pPr>
              <w:spacing w:after="0"/>
              <w:rPr>
                <w:sz w:val="17"/>
                <w:szCs w:val="17"/>
                <w:color w:val="auto"/>
              </w:rPr>
            </w:pPr>
          </w:p>
        </w:tc>
      </w:tr>
      <w:tr>
        <w:trPr>
          <w:trHeight w:val="182"/>
        </w:trPr>
        <w:tc>
          <w:tcPr>
            <w:tcW w:w="15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Bassett Custom</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17,854</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30,923</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19,985</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35,155</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(4,232)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3,730</w:t>
            </w: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c>
          <w:tcPr>
            <w:tcW w:w="2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4,265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6,743</w:t>
            </w:r>
          </w:p>
        </w:tc>
        <w:tc>
          <w:tcPr>
            <w:tcW w:w="2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7,021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2,748</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3,638</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6,386</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3,564</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4,564</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8,128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(1,742)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3,043</w:t>
            </w: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3,211</w:t>
            </w:r>
          </w:p>
        </w:tc>
        <w:tc>
          <w:tcPr>
            <w:tcW w:w="2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6,254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2,865</w:t>
            </w:r>
          </w:p>
        </w:tc>
        <w:tc>
          <w:tcPr>
            <w:tcW w:w="2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3,491</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6,356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27,375</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47,828</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33,157</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56,660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(8,832)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393"/>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Nine Months Ended</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color w:val="auto"/>
              </w:rPr>
              <w:t>August 31, 2024</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August 26, 2023*</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Total Change</w:t>
            </w:r>
          </w:p>
        </w:tc>
      </w:tr>
      <w:tr>
        <w:trPr>
          <w:trHeight w:val="196"/>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External</w:t>
            </w: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External</w:t>
            </w: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Dollars</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Percent</w:t>
            </w:r>
          </w:p>
        </w:tc>
        <w:tc>
          <w:tcPr>
            <w:tcW w:w="140" w:type="dxa"/>
            <w:vAlign w:val="bottom"/>
          </w:tcPr>
          <w:p>
            <w:pPr>
              <w:spacing w:after="0"/>
              <w:rPr>
                <w:sz w:val="17"/>
                <w:szCs w:val="17"/>
                <w:color w:val="auto"/>
              </w:rPr>
            </w:pPr>
          </w:p>
        </w:tc>
      </w:tr>
      <w:tr>
        <w:trPr>
          <w:trHeight w:val="182"/>
        </w:trPr>
        <w:tc>
          <w:tcPr>
            <w:tcW w:w="15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Bassett Custom</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60,046</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100,891</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68,641</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50,427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199,068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(18,177)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11,254</w:t>
            </w: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1,462</w:t>
            </w:r>
          </w:p>
        </w:tc>
        <w:tc>
          <w:tcPr>
            <w:tcW w:w="2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12,716</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19,630</w:t>
            </w:r>
          </w:p>
        </w:tc>
        <w:tc>
          <w:tcPr>
            <w:tcW w:w="2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20,180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(7,464)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9,933</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12,639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22,572</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12,642</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15,031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27,673</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8,938</w:t>
            </w: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10,021</w:t>
            </w:r>
          </w:p>
        </w:tc>
        <w:tc>
          <w:tcPr>
            <w:tcW w:w="2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18,959</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9,473</w:t>
            </w:r>
          </w:p>
        </w:tc>
        <w:tc>
          <w:tcPr>
            <w:tcW w:w="2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11,924</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21,397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90,171</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155,138</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110,386</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77,932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188,318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(33,180)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weeks for fiscal 2024 as compared with 26 weeks for fiscal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for the three months ended August 31, 2024 decreased $8,832 or 16% from the prior year period due primarily to a 22% decrease in shipments to the open market, a 13% decrease in shipments to our retail store network and a 6% decrease in Lane Venture shipments. Gross margins for the three months ended August 31, 2024 increased 50 basis points over the prior year primarily due to the expected improvement in the Bassett Leather business.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This improvement was partially offset by lower margins in the Bassett Custom Upholstery business due to deleverage of fixed costs from lower sales volumes and $609 of unproductive labor costs, or 1.3% of sales, incurred during the temporary shutdown resulting from the cybersecurity incident. SG&amp;A expenses as a percentage of sales increased 240 basis points primarily due to reduced leverage of fixed costs from decreased sales.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the nine months ended August 31, 2024 decreased $33,180 or 18% from the prior year period due primarily to a 20% decrease in shipments to the open market, a 17% decrease in shipments to our retail store network and a 9% decrease in Lane Venture shipments. Gross margins for the nine months ended August 31, 2024 increased 120 basis points over the prior year primarily due to the expected improvement in the Bassett Leather business.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This increase was partially offset by significantly higher costs than are currently being realized on current product receipts. Margins in our Bassett Casegoods business also improved as expected primarily due to shipping more product that contained lower in-bound freight costs partially offset by increased inventory valuation charges as we plan to be more aggressive in selling certain slow-moving products. These improvements were partially offset by lower margins in the Bassett Custom Upholstery business due to deleverage of fixed costs from lower sales volumes. SG&amp;A expenses as a percentage of sales increased 220 basis points primarily due to reduced leverage of fixed costs from decreased sales.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backlog at August 31, 2024 was $18,481 as compared to $18,478 at November 25, 2023 and $19,895 at August 26,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Retail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retail segment for the periods ended August 31, 2024 and August 26, 2023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Quarter Ended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Nine Months Ended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15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31, 2024</w:t>
            </w: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August 26, 2023</w:t>
            </w:r>
          </w:p>
        </w:tc>
        <w:tc>
          <w:tcPr>
            <w:tcW w:w="240" w:type="dxa"/>
            <w:vAlign w:val="bottom"/>
          </w:tcPr>
          <w:p>
            <w:pPr>
              <w:spacing w:after="0"/>
              <w:rPr>
                <w:sz w:val="17"/>
                <w:szCs w:val="17"/>
                <w:color w:val="auto"/>
              </w:rPr>
            </w:pPr>
          </w:p>
        </w:tc>
        <w:tc>
          <w:tcPr>
            <w:tcW w:w="7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31, 2024*</w:t>
            </w: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August 26, 2023</w:t>
            </w:r>
          </w:p>
        </w:tc>
        <w:tc>
          <w:tcPr>
            <w:tcW w:w="240" w:type="dxa"/>
            <w:vAlign w:val="bottom"/>
          </w:tcPr>
          <w:p>
            <w:pPr>
              <w:spacing w:after="0"/>
              <w:rPr>
                <w:sz w:val="17"/>
                <w:szCs w:val="17"/>
                <w:color w:val="auto"/>
              </w:rPr>
            </w:pPr>
          </w:p>
        </w:tc>
        <w:tc>
          <w:tcPr>
            <w:tcW w:w="76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2"/>
              </w:rPr>
              <w:t>$ 47,256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6"/>
              </w:rPr>
              <w:t>$ 52,264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(5,008)</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151,478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178,004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(26,526)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24,971</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26,946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80,673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93,454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8"/>
              </w:rPr>
              <w:t>(12,781)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27,811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58.9%</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29,982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87,347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94,205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(6,858)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Income (loss) from</w:t>
            </w:r>
          </w:p>
        </w:tc>
        <w:tc>
          <w:tcPr>
            <w:tcW w:w="7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8"/>
              </w:rPr>
              <w:t>$ (2,840)</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c>
          <w:tcPr>
            <w:tcW w:w="7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8"/>
              </w:rPr>
              <w:t>$ (3,036)</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196</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(6,674)</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(751)</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(5,923)</w:t>
            </w:r>
          </w:p>
        </w:tc>
        <w:tc>
          <w:tcPr>
            <w:tcW w:w="7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176"/>
        </w:trPr>
        <w:tc>
          <w:tcPr>
            <w:tcW w:w="17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operations</w:t>
            </w:r>
          </w:p>
        </w:tc>
        <w:tc>
          <w:tcPr>
            <w:tcW w:w="7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400" w:right="1140" w:hanging="269"/>
        <w:spacing w:after="0" w:line="266" w:lineRule="auto"/>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*40 weeks for fiscal 2024 as compared with 39 weeks for fiscal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Quarter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4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Nine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15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31, 2024</w:t>
            </w: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August 26, 2023</w:t>
            </w:r>
          </w:p>
        </w:tc>
        <w:tc>
          <w:tcPr>
            <w:tcW w:w="240" w:type="dxa"/>
            <w:vAlign w:val="bottom"/>
          </w:tcPr>
          <w:p>
            <w:pPr>
              <w:spacing w:after="0"/>
              <w:rPr>
                <w:sz w:val="17"/>
                <w:szCs w:val="17"/>
                <w:color w:val="auto"/>
              </w:rPr>
            </w:pPr>
          </w:p>
        </w:tc>
        <w:tc>
          <w:tcPr>
            <w:tcW w:w="7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August 31, 2024*</w:t>
            </w:r>
          </w:p>
        </w:tc>
        <w:tc>
          <w:tcPr>
            <w:tcW w:w="14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August 26, 2023</w:t>
            </w:r>
          </w:p>
        </w:tc>
        <w:tc>
          <w:tcPr>
            <w:tcW w:w="240" w:type="dxa"/>
            <w:vAlign w:val="bottom"/>
          </w:tcPr>
          <w:p>
            <w:pPr>
              <w:spacing w:after="0"/>
              <w:rPr>
                <w:sz w:val="17"/>
                <w:szCs w:val="17"/>
                <w:color w:val="auto"/>
              </w:rPr>
            </w:pPr>
          </w:p>
        </w:tc>
        <w:tc>
          <w:tcPr>
            <w:tcW w:w="7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2"/>
              </w:rPr>
              <w:t>$ 25,631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54.2%</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$ 30,177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57.7%</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(4,546)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82,690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54.6%</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$ 101,047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56.8%</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 (18,357)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1,229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892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264.7%</w:t>
            </w:r>
          </w:p>
        </w:tc>
        <w:tc>
          <w:tcPr>
            <w:tcW w:w="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1,765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7,617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7,697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24,336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27,164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5,909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7,027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19,684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24,848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(5,164)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mattresses</w:t>
            </w:r>
          </w:p>
        </w:tc>
        <w:tc>
          <w:tcPr>
            <w:tcW w:w="7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6,870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7,026</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c>
          <w:tcPr>
            <w:tcW w:w="7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21,595</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w:t>
            </w:r>
          </w:p>
        </w:tc>
        <w:tc>
          <w:tcPr>
            <w:tcW w:w="8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23,537</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(1,942)</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other (1)</w:t>
            </w:r>
          </w:p>
        </w:tc>
        <w:tc>
          <w:tcPr>
            <w:tcW w:w="76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2"/>
              </w:rPr>
              <w:t>$ 47,256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6"/>
              </w:rPr>
              <w:t>$ 52,264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(5,008)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151,478</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6"/>
              </w:rPr>
              <w:t>$ 178,004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 (26,526)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 weeks for fiscal 2024 as compared with 39 weeks for fiscal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 - Retail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August 31, 2024 decreased $5,008 or 9.6% from the prior year period. Written sales (the value of sales orders taken but not delivered) declined 4.8% from the third quarter of 2023. Gross margin for the three months ended August 31, 2024 improved 120 basis points over the prior period due to higher margins on both in-line and clearance goods. In addition, we were running two store closure sales in 2023 that reduced the gross margin for the third quarter of 2023. SG&amp;A expenses as a percentage of sales for the three months ended August 31, 2024 increased 150 basis points primarily due to decreased leverage of fixed costs from lower sales volumes partially offset by reduced advertising and fixed delivery costs.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Year-to-Date Results - Retail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for the nine months ended August 31, 2024 decreased $26,526 or 15% from the prior year period. Written sales (the value of sales orders taken but not delivered) declined 3.6% from the first nine months of 2023. Gross margin for the nine months ended August 31, 2024 improved 80 basis points over the prior period primarily due to higher margins on both in-line and clearance goods partially offset by $472 of additional inventory valuation charges in the second quarter of 2024 due to our strategy to be more aggressive in selling clearance goods to better control inventory levels. SG&amp;A expenses as a percentage of sales for the nine months ended August 31, 2024 increased 480 basis points primarily due to decreased leverage of fixed costs from lower sales volumes.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August 31, 2024 was $33,251 compared to $30,902 at November 25, 2023 and $32,702 at August 26,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two reportable segments discussed above, we include our remaining business activities and assets in a reconciling category known as Corporate and other, which includes the shared costs of various corporate functions along with any operating segments that do not meet the requirements to be reportable segments. Therefore, Noa Home is included within the Corporate and other reconciling category and accounts for all of the sales and gross profit within this reconciling category. Revenues, costs and expenses of Corporate and other for the periods ended August 31, 2024 and August 26, 2023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Quarter Ended</w:t>
            </w:r>
          </w:p>
        </w:tc>
        <w:tc>
          <w:tcPr>
            <w:tcW w:w="100" w:type="dxa"/>
            <w:vAlign w:val="bottom"/>
          </w:tcPr>
          <w:p>
            <w:pPr>
              <w:spacing w:after="0"/>
              <w:rPr>
                <w:sz w:val="20"/>
                <w:szCs w:val="20"/>
                <w:color w:val="auto"/>
              </w:rPr>
            </w:pPr>
          </w:p>
        </w:tc>
        <w:tc>
          <w:tcPr>
            <w:tcW w:w="19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Change</w:t>
            </w:r>
          </w:p>
        </w:tc>
        <w:tc>
          <w:tcPr>
            <w:tcW w:w="140" w:type="dxa"/>
            <w:vAlign w:val="bottom"/>
          </w:tcPr>
          <w:p>
            <w:pPr>
              <w:spacing w:after="0"/>
              <w:rPr>
                <w:sz w:val="20"/>
                <w:szCs w:val="20"/>
                <w:color w:val="auto"/>
              </w:rPr>
            </w:pPr>
          </w:p>
        </w:tc>
        <w:tc>
          <w:tcPr>
            <w:tcW w:w="20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20"/>
                <w:szCs w:val="20"/>
                <w:color w:val="auto"/>
              </w:rPr>
            </w:pPr>
          </w:p>
        </w:tc>
        <w:tc>
          <w:tcPr>
            <w:tcW w:w="18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Change</w:t>
            </w:r>
          </w:p>
        </w:tc>
      </w:tr>
      <w:tr>
        <w:trPr>
          <w:trHeight w:val="191"/>
        </w:trPr>
        <w:tc>
          <w:tcPr>
            <w:tcW w:w="2820" w:type="dxa"/>
            <w:vAlign w:val="bottom"/>
          </w:tcPr>
          <w:p>
            <w:pPr>
              <w:spacing w:after="0"/>
              <w:rPr>
                <w:sz w:val="16"/>
                <w:szCs w:val="16"/>
                <w:color w:val="auto"/>
              </w:rPr>
            </w:pPr>
          </w:p>
        </w:tc>
        <w:tc>
          <w:tcPr>
            <w:tcW w:w="1160" w:type="dxa"/>
            <w:vAlign w:val="bottom"/>
            <w:tcBorders>
              <w:top w:val="single" w:sz="8" w:color="auto"/>
            </w:tcBorders>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8"/>
              </w:rPr>
              <w:t>August 31,</w:t>
            </w:r>
          </w:p>
        </w:tc>
        <w:tc>
          <w:tcPr>
            <w:tcW w:w="8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August 26,</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June 1,</w:t>
            </w:r>
          </w:p>
        </w:tc>
        <w:tc>
          <w:tcPr>
            <w:tcW w:w="96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August 26,</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Dollars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Percent</w:t>
            </w:r>
          </w:p>
        </w:tc>
        <w:tc>
          <w:tcPr>
            <w:tcW w:w="1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Dollars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Percent</w:t>
            </w:r>
          </w:p>
        </w:tc>
      </w:tr>
      <w:tr>
        <w:trPr>
          <w:trHeight w:val="209"/>
        </w:trPr>
        <w:tc>
          <w:tcPr>
            <w:tcW w:w="2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(808)</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3,934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1,695</w:t>
            </w: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23,195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(2,777)</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(6,963)</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 weeks for fiscal 2024 as compared with 39 weeks for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gross profit declined from the prior year period as we began our wind-down of Noa Home’s operations and continued to sell the remaining inventory over the next several months. The $888 decrease in SG&amp;A expenses was primarily due to reduced advertising and warehouse costs for Noa Home as a result of the on-going wind-down of operations and decreased corporate overhead spending from better expense management, partially offset by costs incurred in connection with the cybersecurity incident.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gross profit declined from the prior year period as we began our wind-down of Noa Home’s operations and continued to sell the remaining inventory over the next several months. Included in the gross profit is an inventory valuation charge of $500 recognized during the second quarter of 2024 due to our decision to cease operations at Noa Home. The $2,777 decrease in SG&amp;A expenses was primarily due to decreased advertising and warehouse costs for Noa Home as a result of the on-going wind-down of operations and decreased corporate overhead spending from better expense management.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Gains and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August 31, 2024, we recognized a charge of $1,240 to accrue the remaining minimum charges under a logistical services contract with a vendor in Riverside, California. We ceased utilizing those services during the third quarter of 2024 and expect to pay the minimum monthly charge through January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August 31. 2024, we recognized non-cash charges for asset impairments totaling $5,515 which consisted of the following: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for the impairment of plant and equipment in our wholesale segment related to the consolidation of our domestic wood production facilities.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for the impairment of long-lived assets at Noa Home. During the second quarter we concluded that Noa Home was not likely to achieve profitability in the foreseeable future and decided to cease operations by selling the remaining inventory in an orderly fashion over the next several months. $1,827 of these charges are for the full impairment of the Noa Home trade name intangible asset, and $74 relates to the full impairment of customized software used in the Noa Home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August 26, 2023, we recognized a non-cash gain of $1,013 resulting from the write-down of our contingent consideration obligation to the former owners of Noa Home. Subsequent to the acquisition of Noa Home on September 2, 2022, the parties concluded that the revenue and EBITDA targets originally set forth in the purchase agreement by which the Noa Home co-founders were to earn the contingent consideration were likely not to be met within the originally anticipated time frame and therefore agreed to replace the contingent consideration payable that was recognized at the acquisition date with two fixed payments of C$200 each. The first payment was made in June of 2023 and the second payment will be made in December of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Items Affecting Net Income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for the three and nine months ended August 31, 2024 was $692 and $2,075, respectively, compared to $923 and $1,644 for the three and nine months, respectively, ended August 26, 2023. The third quarter decline from the prior year period is primarily due to lower balances of interest-bearing cash and cash equivalents, while for the nine months ended August 31, 2024 the rates earned on our cash and cash equivalents and investments in CDs averaged higher than the preceding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loss, net, for the three and nine months ended August 31, 2024 was $276 and $380, respectively, compared to $505 and $1,072 for the three and nine months, respectively, ended August 26, 2023. The net change from the prior year periods was primarily due to lower costs associated with Company-owned life insurance.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22.0% and 17.3% for the three and nine months ended August 31, 2024, respectively. The effective rates for the three and nine months ended August 31, 2024 differ from the federal statutory rate of 21% primarily due to increases in the valuation allowance placed on deferred tax assets associated with Noa Home, the effects of state income taxes and various permanent differences.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was 18.8% and 43.3% for the three and nine months ended August 26, 2023, respectively. The effective rates for the three and nine months ended August 26, 2023 differ from the federal statutory rate of 21% primarily due to the non-taxable gain on revaluation of contingent consideration associated with the acquisition of Noa Home, increases in the valuation allowance placed on deferred tax assets associated with Noa Home and the effects of state income taxes and various permanent differences.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operations for the first nine months of fiscal 2024 was $2,323 compared to cash provided by operations of $10,249 for the first nine of fiscal 2023, representing a decrease of $12,572 in cash flows from operations. This decrease was primarily the result of changes in working capital due to the timing impact of expenditures as a result of an additional week in the first quarter of 2024 coupled with lower net income.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overall cash position declined $14,078 during the first nine months of 2024. During the first nine months of fiscal 2024, we spent $4,720 on purchases of property and equipment primarily consisting of the upfit of the new Tampa, Florida and Houston, Texas stores that opened in the first quarter of 2024, final payments on the Austin, Texas store remodel, update of the façade of the Greensboro, North Carolina store location and expenditures related to various information technology and manufacturing plant projects. We also paid $4,909 in dividends during the first nine months of 2024. During the second quarter of 2024 we resumed purchasing shares under our stock repurchase program and repurchased $1,127 during the first nine months of 2024 compared to $4,056 repurchased in the prior year period. We expect capital expenditures for the full year to range from $6 million to $8 million. As of August 31, 2024, $20,696 remains available for future purchases under our stock repurchase plan. With cash and cash equivalents and short-term investments totaling $56,163 on hand at August 31, 2024, expected future operating cash flows and the availability under our credit line noted below, we believe we have sufficient liquidity to fund operations for the foreseeable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Credit Facility with our bank. This credit facility provides for a line of credit of up to $25,000. At August 31, 2024, we had $6,013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1.2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not to exceed 3.35 times.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August 31, 2024, we were not required to test the Consolidated Fixed Charge Coverage Ratio or the Consolidated Lease Adjusted Leverage to EBITDAR Ratio. Had we been required to test those ratios, we would not have been able to achieve the required levels for either ratio. Consequently, our availability under the Credit Facility is currently limited to an additional $2,237.</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one of our licensee-owned stores, and we lease land and buildings used in our wholesale manufacturing operations. We also lease local delivery trucks used in our retail segment. The present value of our obligations for leases with terms in excess of one year at August 31, 2024 is $104,133 and is included in our accompanying condensed consolidated balance sheet at August 31, 2024. We were contingently liable under licensee lease obligation guarantees in the amount of $5,226 at August 31, 2024. The remaining terms under these lease guarantees extend for six years. See Note 10 to our condensed consolidated financial statements for additional details regarding our lease guarantees.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Retail Real Estate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substantial investment in real estate acquired for use as retail locations and occupied by Company-owned retail stores. Such real estate is included in property and equipment, net, in the accompanying condensed consolidated balance sheets and consists of eight properties with an aggregate square footage of 203,465 and a net book value of $24,306 at August 31, 2024.</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25,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In addition, we have guaranteed certain lease obligations of licensee operators for some of their store locations. See Note 9 to our condensed consolidated financial statements for further discussion of lease guarantees, including descriptions of the terms of such commitments and methods used to mitigate risks associated with these arrangements.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August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2024. We are also exposed to foreign currency market risk through our investment in Noa Home. Our investment in Noa Home is subject to changes in the value of the Canadian dollar versus the U.S. dollar. Additionally, Noa Home is exposed to other local currency fluctuation risk through its operations in Singapore, the United Kingdom and the United States. The impact of currency fluctuations on our financial position and results of operations of Noa Home has not been significant.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$24,306 at August 31, 2024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$5,226 which we have guaranteed on behalf of certain licensees as of August 31, 2024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August 31, 2024, the unamortized balance of such right-of-use assets used in continuing operations totaled $90,076. Should we have to close or otherwise abandon one of these leased locations, we could incur additional impairment charges if rental market conditions do not support a fair value for the right of use asset in excess of its carrying value.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u w:val="single" w:color="auto"/>
          <w:color w:val="auto"/>
        </w:rPr>
        <w:t>PART II - OTHER INFORMATION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discuss in our Annual Report on Form 10-K for the year ended November 25, 2023 various risks that may materially affect our business. We use this section to update this discussion to reflect material developments since our Form 10-K was filed.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extensively on computer systems to process transactions, summarize results and manage our business. Disruptions in both our primary and back-up systems could adversely affect our business and operating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and back-up computer systems are subject to damage or interruption from power outages, computer and telecommunications failures, computer viruses, security breaches, natural disasters and errors by employees. Though losses arising from some of these issues would be covered by insurance, interruptions of our critical business computer systems or failure of our back-up systems could reduce our sales or result in longer production times. If our critical business computer systems or back-up systems are damaged or cease to function properly, we may have to make a significant investment to repair or replace them. For example, we disclosed a cybersecurity incident in Item 1.05 of Current Reports on Form 8-K and 8-K/A filed on July 15, 2024 and August 6, 2024, respectively, relating to the detection of unauthorized occurrences on a portion of our information technology (IT) systems.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by or on behalf of the Company or any “affiliated purchaser,” as defined by Rule 10b-18(a)</w:t>
      </w:r>
    </w:p>
    <w:p>
      <w:pPr>
        <w:spacing w:after="0" w:line="27" w:lineRule="exact"/>
        <w:rPr>
          <w:sz w:val="20"/>
          <w:szCs w:val="20"/>
          <w:color w:val="auto"/>
        </w:rPr>
      </w:pPr>
    </w:p>
    <w:p>
      <w:pPr>
        <w:ind w:firstLine="8"/>
        <w:spacing w:after="0" w:line="260"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for the three months ended August 31, 2024 and the approximate dollar value of shares that may yet be purchased pursuant to our stock repurchase program: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 that May Yet Be</w:t>
            </w:r>
          </w:p>
        </w:tc>
      </w:tr>
      <w:tr>
        <w:trPr>
          <w:trHeight w:val="216"/>
        </w:trPr>
        <w:tc>
          <w:tcPr>
            <w:tcW w:w="41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16"/>
        </w:trPr>
        <w:tc>
          <w:tcPr>
            <w:tcW w:w="41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38"/>
        </w:trPr>
        <w:tc>
          <w:tcPr>
            <w:tcW w:w="418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 Programs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r>
      <w:tr>
        <w:trPr>
          <w:trHeight w:val="210"/>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 2024 - July 6, 2024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21,472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13.97</w:t>
            </w: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21,033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July 7, 2024 - August 3, 2024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20,972</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4, 2024 - August 31, 2024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20,843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20,696</w:t>
            </w:r>
          </w:p>
        </w:tc>
      </w:tr>
    </w:tbl>
    <w:p>
      <w:pPr>
        <w:spacing w:after="0" w:line="198" w:lineRule="exact"/>
        <w:rPr>
          <w:sz w:val="20"/>
          <w:szCs w:val="20"/>
          <w:color w:val="auto"/>
        </w:rPr>
      </w:pPr>
    </w:p>
    <w:p>
      <w:pPr>
        <w:ind w:left="340" w:right="2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repurchase Company stock under a plan which was originally announced in 1998. On March 9, 2022, the Board of Directors increased the remaining limit of the repurchase plan to $40,000. At August 31, 2024, $20,696 remained available for share repurchases under the plan.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8"/>
        <w:spacing w:after="0" w:line="266" w:lineRule="auto"/>
        <w:tabs>
          <w:tab w:leader="none" w:pos="2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August 31, 2024, none of our directors or officers (as defined in Rule 16a-1(f) of the Securities Exchange Act of 1934, as amended) adopted or terminated a Rule 10b5-1 trading arrangement or a non-Rule 10b5-1 trading arrangement (in each case, as defined in Item 408(a) of Regulation S-K) for the purchase or sale of the Company’s securities.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II - OTHER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AUGUST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3a – Articles of Incorporation as amended to date are incorporated herein by reference to the Exhibit to Form 10-Q for the fiscal quarter ended February 28, 1994.</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3b – </w:t>
      </w:r>
      <w:hyperlink r:id="rId57">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January 16, 2024.</w:t>
        </w:r>
      </w:hyperlink>
    </w:p>
    <w:p>
      <w:pPr>
        <w:spacing w:after="0" w:line="22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Exhibit 10 – </w:t>
        </w:r>
        <w:r>
          <w:rPr>
            <w:rFonts w:ascii="Times New Roman" w:cs="Times New Roman" w:eastAsia="Times New Roman" w:hAnsi="Times New Roman"/>
            <w:sz w:val="18"/>
            <w:szCs w:val="18"/>
            <w:u w:val="single" w:color="auto"/>
            <w:color w:val="0000EE"/>
          </w:rPr>
          <w:t>Eighth Amended and Restated Credit Agreement with Truist Bank dated May 15, 2024 is incorporated herein by reference to Exhibit 10</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to Form 10-Q filed with the SEC on July 11, 2024</w:t>
        </w:r>
        <w:r>
          <w:rPr>
            <w:rFonts w:ascii="Times New Roman" w:cs="Times New Roman" w:eastAsia="Times New Roman" w:hAnsi="Times New Roman"/>
            <w:sz w:val="18"/>
            <w:szCs w:val="18"/>
            <w:color w:val="000000"/>
          </w:rPr>
          <w:t>. Registrant hereby agrees to furnish the SEC, upon request, other instruments defining the rights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holders of long-term debt of the Registrant.</w:t>
      </w:r>
    </w:p>
    <w:p>
      <w:pPr>
        <w:spacing w:after="0" w:line="175" w:lineRule="exact"/>
        <w:rPr>
          <w:rFonts w:ascii="Times New Roman" w:cs="Times New Roman" w:eastAsia="Times New Roman" w:hAnsi="Times New Roman"/>
          <w:sz w:val="18"/>
          <w:szCs w:val="18"/>
          <w:color w:val="0000EE"/>
        </w:rPr>
      </w:pPr>
    </w:p>
    <w:p>
      <w:pPr>
        <w:jc w:val="both"/>
        <w:ind w:left="340" w:right="2820"/>
        <w:spacing w:after="0" w:line="530"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7"/>
          <w:szCs w:val="17"/>
          <w:color w:val="auto"/>
        </w:rPr>
        <w:t xml:space="preserve">Exhibit 31a – </w:t>
      </w:r>
      <w:r>
        <w:rPr>
          <w:rFonts w:ascii="Times New Roman" w:cs="Times New Roman" w:eastAsia="Times New Roman" w:hAnsi="Times New Roman"/>
          <w:sz w:val="17"/>
          <w:szCs w:val="17"/>
          <w:u w:val="single" w:color="auto"/>
          <w:color w:val="0000EE"/>
        </w:rPr>
        <w:t>Chief Executive Officer’s certification pursuant to Section 302 of the Sarbanes-Oxley Act of 2002</w:t>
      </w:r>
      <w:r>
        <w:rPr>
          <w:rFonts w:ascii="Times New Roman" w:cs="Times New Roman" w:eastAsia="Times New Roman" w:hAnsi="Times New Roman"/>
          <w:sz w:val="17"/>
          <w:szCs w:val="17"/>
          <w:color w:val="auto"/>
        </w:rPr>
        <w:t xml:space="preserve"> Exhibit 31b – </w:t>
      </w:r>
      <w:r>
        <w:rPr>
          <w:rFonts w:ascii="Times New Roman" w:cs="Times New Roman" w:eastAsia="Times New Roman" w:hAnsi="Times New Roman"/>
          <w:sz w:val="17"/>
          <w:szCs w:val="17"/>
          <w:u w:val="single" w:color="auto"/>
          <w:color w:val="0000EE"/>
        </w:rPr>
        <w:t>Chief Financial Officer’s certification pursuant to Section 302 of the Sarbanes-Oxley Act of 2002</w:t>
      </w:r>
    </w:p>
    <w:p>
      <w:pPr>
        <w:ind w:left="340" w:right="20"/>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Exhibit 32a – </w:t>
      </w:r>
      <w:r>
        <w:rPr>
          <w:rFonts w:ascii="Times New Roman" w:cs="Times New Roman" w:eastAsia="Times New Roman" w:hAnsi="Times New Roman"/>
          <w:sz w:val="18"/>
          <w:szCs w:val="18"/>
          <w:u w:val="single" w:color="auto"/>
          <w:color w:val="0000EE"/>
        </w:rPr>
        <w:t>Chief Executive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1" w:lineRule="exact"/>
        <w:rPr>
          <w:rFonts w:ascii="Times New Roman" w:cs="Times New Roman" w:eastAsia="Times New Roman" w:hAnsi="Times New Roman"/>
          <w:sz w:val="18"/>
          <w:szCs w:val="18"/>
          <w:color w:val="0000EE"/>
        </w:rPr>
      </w:pPr>
    </w:p>
    <w:p>
      <w:pPr>
        <w:ind w:left="340"/>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Exhibit 32b – </w:t>
      </w:r>
      <w:r>
        <w:rPr>
          <w:rFonts w:ascii="Times New Roman" w:cs="Times New Roman" w:eastAsia="Times New Roman" w:hAnsi="Times New Roman"/>
          <w:sz w:val="18"/>
          <w:szCs w:val="18"/>
          <w:u w:val="single" w:color="auto"/>
          <w:color w:val="0000EE"/>
        </w:rPr>
        <w:t>Chief Financial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1" w:lineRule="exact"/>
        <w:rPr>
          <w:rFonts w:ascii="Times New Roman" w:cs="Times New Roman" w:eastAsia="Times New Roman" w:hAnsi="Times New Roman"/>
          <w:sz w:val="18"/>
          <w:szCs w:val="18"/>
          <w:color w:val="0000EE"/>
        </w:rPr>
      </w:pPr>
    </w:p>
    <w:p>
      <w:pPr>
        <w:ind w:left="34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Exhibit 101.INS Inline XBRL Instance</w:t>
      </w:r>
    </w:p>
    <w:p>
      <w:pPr>
        <w:spacing w:after="0" w:line="225" w:lineRule="exact"/>
        <w:rPr>
          <w:rFonts w:ascii="Times New Roman" w:cs="Times New Roman" w:eastAsia="Times New Roman" w:hAnsi="Times New Roman"/>
          <w:sz w:val="18"/>
          <w:szCs w:val="18"/>
          <w:color w:val="0000EE"/>
        </w:rPr>
      </w:pPr>
    </w:p>
    <w:p>
      <w:pPr>
        <w:ind w:left="340" w:right="6220"/>
        <w:spacing w:after="0" w:line="530"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7"/>
          <w:szCs w:val="17"/>
          <w:color w:val="auto"/>
        </w:rPr>
        <w:t>Exhibit 101.SCH Inline XBRL Taxonomy Extension Schema Exhibit 101.CAL Inline XBRL Taxonomy Extension Calculation</w:t>
      </w:r>
    </w:p>
    <w:p>
      <w:pPr>
        <w:spacing w:after="0" w:line="1"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w:t>
      </w:r>
    </w:p>
    <w:p>
      <w:pPr>
        <w:spacing w:after="0" w:line="225"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101.LAB Inline XBRL Taxonomy Extension Labels</w:t>
      </w:r>
    </w:p>
    <w:p>
      <w:pPr>
        <w:spacing w:after="0" w:line="225"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w:t>
      </w:r>
    </w:p>
    <w:p>
      <w:pPr>
        <w:spacing w:after="0" w:line="225"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36 of 37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37 of 37</w:t>
      </w:r>
    </w:p>
    <w:p>
      <w:pPr>
        <w:sectPr>
          <w:pgSz w:w="11900" w:h="16838" w:orient="portrait"/>
          <w:cols w:equalWidth="0" w:num="1">
            <w:col w:w="10400"/>
          </w:cols>
          <w:pgMar w:left="320" w:top="580" w:right="11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August 31, 2024,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August 31, 2024,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3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October 10, 2024</w:t>
      </w:r>
    </w:p>
    <w:p>
      <w:pPr>
        <w:spacing w:after="0" w:line="16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1654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2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3"/>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7" Type="http://schemas.openxmlformats.org/officeDocument/2006/relationships/hyperlink" Target="http://www.sec.gov/ix?doc=/Archives/edgar/data/0000010329/000143774924001417/bset20240116_8k.htm" TargetMode="External"/><Relationship Id="rId58" Type="http://schemas.openxmlformats.org/officeDocument/2006/relationships/hyperlink" Target="http://www.sec.gov/ix?doc=/Archives/edgar/data/10329/000143774924022523/bset20240525_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2024-10-10T11:04:19Z</dcterms:created>
  <dcterms:modified xsi:type="dcterms:W3CDTF">2024-10-10T11:04:19Z</dcterms:modified>
</cp:coreProperties>
</file>