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177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177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MCDOWELL JOHN WALTER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240"/>
        <w:spacing w:after="0" w:line="365" w:lineRule="auto"/>
        <w:rPr>
          <w:sz w:val="20"/>
          <w:szCs w:val="20"/>
          <w:color w:val="auto"/>
        </w:rPr>
      </w:pPr>
      <w:r>
        <w:rPr>
          <w:rFonts w:ascii="Times New Roman" w:cs="Times New Roman" w:eastAsia="Times New Roman" w:hAnsi="Times New Roman"/>
          <w:sz w:val="17"/>
          <w:szCs w:val="17"/>
          <w:color w:val="0000FF"/>
        </w:rPr>
        <w:t>3525 FAIRYSTONE PARK HWY P O BOX 626</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BASSETT</w:t>
            </w:r>
          </w:p>
        </w:tc>
        <w:tc>
          <w:tcPr>
            <w:tcW w:w="10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VA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24055</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3"/>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4"/>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BASSETT FURNITURE INDUSTRIES</w:t>
              </w:r>
            </w:hyperlink>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40" w:type="dxa"/>
            <w:vAlign w:val="bottom"/>
            <w:tcBorders>
              <w:bottom w:val="single" w:sz="8" w:color="0000EE"/>
            </w:tcBorders>
          </w:tcPr>
          <w:p>
            <w:pPr>
              <w:spacing w:after="0"/>
              <w:rPr>
                <w:sz w:val="3"/>
                <w:szCs w:val="3"/>
                <w:color w:val="auto"/>
              </w:rPr>
            </w:pPr>
          </w:p>
        </w:tc>
        <w:tc>
          <w:tcPr>
            <w:tcW w:w="3100" w:type="dxa"/>
            <w:vAlign w:val="bottom"/>
            <w:tcBorders>
              <w:bottom w:val="single" w:sz="8" w:color="0000EE"/>
            </w:tcBorders>
          </w:tcPr>
          <w:p>
            <w:pPr>
              <w:spacing w:after="0"/>
              <w:rPr>
                <w:sz w:val="3"/>
                <w:szCs w:val="3"/>
                <w:color w:val="auto"/>
              </w:rPr>
            </w:pPr>
          </w:p>
        </w:tc>
        <w:tc>
          <w:tcPr>
            <w:tcW w:w="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3740" w:type="dxa"/>
            <w:vAlign w:val="bottom"/>
            <w:gridSpan w:val="4"/>
            <w:vMerge w:val="restart"/>
          </w:tcPr>
          <w:p>
            <w:pPr>
              <w:spacing w:after="0" w:line="220"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INC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BSET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200" w:type="dxa"/>
            <w:vAlign w:val="bottom"/>
          </w:tcPr>
          <w:p>
            <w:pPr>
              <w:spacing w:after="0"/>
              <w:rPr>
                <w:sz w:val="13"/>
                <w:szCs w:val="13"/>
                <w:color w:val="auto"/>
              </w:rPr>
            </w:pPr>
          </w:p>
        </w:tc>
        <w:tc>
          <w:tcPr>
            <w:tcW w:w="300" w:type="dxa"/>
            <w:vAlign w:val="bottom"/>
            <w:vMerge w:val="continue"/>
          </w:tcPr>
          <w:p>
            <w:pPr>
              <w:spacing w:after="0"/>
              <w:rPr>
                <w:sz w:val="13"/>
                <w:szCs w:val="13"/>
                <w:color w:val="auto"/>
              </w:rPr>
            </w:pPr>
          </w:p>
        </w:tc>
        <w:tc>
          <w:tcPr>
            <w:tcW w:w="13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5"/>
        </w:trPr>
        <w:tc>
          <w:tcPr>
            <w:tcW w:w="80" w:type="dxa"/>
            <w:vAlign w:val="bottom"/>
          </w:tcPr>
          <w:p>
            <w:pPr>
              <w:spacing w:after="0"/>
              <w:rPr>
                <w:sz w:val="5"/>
                <w:szCs w:val="5"/>
                <w:color w:val="auto"/>
              </w:rPr>
            </w:pPr>
          </w:p>
        </w:tc>
        <w:tc>
          <w:tcPr>
            <w:tcW w:w="3740" w:type="dxa"/>
            <w:vAlign w:val="bottom"/>
            <w:gridSpan w:val="4"/>
            <w:vMerge w:val="continue"/>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0"/>
        </w:trPr>
        <w:tc>
          <w:tcPr>
            <w:tcW w:w="80" w:type="dxa"/>
            <w:vAlign w:val="bottom"/>
            <w:tcBorders>
              <w:bottom w:val="single" w:sz="8" w:color="2C2C2C"/>
            </w:tcBorders>
          </w:tcPr>
          <w:p>
            <w:pPr>
              <w:spacing w:after="0"/>
              <w:rPr>
                <w:sz w:val="6"/>
                <w:szCs w:val="6"/>
                <w:color w:val="auto"/>
              </w:rPr>
            </w:pPr>
          </w:p>
        </w:tc>
        <w:tc>
          <w:tcPr>
            <w:tcW w:w="120" w:type="dxa"/>
            <w:vAlign w:val="bottom"/>
            <w:tcBorders>
              <w:top w:val="single" w:sz="8" w:color="0000EE"/>
              <w:bottom w:val="single" w:sz="8" w:color="2C2C2C"/>
            </w:tcBorders>
          </w:tcPr>
          <w:p>
            <w:pPr>
              <w:spacing w:after="0"/>
              <w:rPr>
                <w:sz w:val="6"/>
                <w:szCs w:val="6"/>
                <w:color w:val="auto"/>
              </w:rPr>
            </w:pPr>
          </w:p>
        </w:tc>
        <w:tc>
          <w:tcPr>
            <w:tcW w:w="240" w:type="dxa"/>
            <w:vAlign w:val="bottom"/>
            <w:tcBorders>
              <w:top w:val="single" w:sz="8" w:color="0000EE"/>
              <w:bottom w:val="single" w:sz="8" w:color="2C2C2C"/>
            </w:tcBorders>
          </w:tcPr>
          <w:p>
            <w:pPr>
              <w:spacing w:after="0"/>
              <w:rPr>
                <w:sz w:val="6"/>
                <w:szCs w:val="6"/>
                <w:color w:val="auto"/>
              </w:rPr>
            </w:pPr>
          </w:p>
        </w:tc>
        <w:tc>
          <w:tcPr>
            <w:tcW w:w="31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3"/>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354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04/04/2024</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31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100" w:type="dxa"/>
            <w:vAlign w:val="bottom"/>
            <w:tcBorders>
              <w:bottom w:val="single" w:sz="8" w:color="2C2C2C"/>
            </w:tcBorders>
            <w:gridSpan w:val="3"/>
          </w:tcPr>
          <w:p>
            <w:pPr>
              <w:spacing w:after="0"/>
              <w:rPr>
                <w:sz w:val="5"/>
                <w:szCs w:val="5"/>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3"/>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0"/>
          <w:szCs w:val="20"/>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0"/>
          <w:szCs w:val="20"/>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0"/>
          <w:szCs w:val="20"/>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0"/>
          <w:szCs w:val="20"/>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ind w:left="520"/>
              <w:spacing w:after="0"/>
              <w:rPr>
                <w:sz w:val="20"/>
                <w:szCs w:val="20"/>
                <w:color w:val="auto"/>
              </w:rPr>
            </w:pPr>
            <w:r>
              <w:rPr>
                <w:rFonts w:ascii="Times New Roman" w:cs="Times New Roman" w:eastAsia="Times New Roman" w:hAnsi="Times New Roman"/>
                <w:sz w:val="17"/>
                <w:szCs w:val="17"/>
                <w:color w:val="0000FF"/>
              </w:rPr>
              <w:t>04/04/2024</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1,000</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14.667</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18,463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Price is a weighted average of multiple trades ranging from $14.605 to $14.671 and reporting person undertakes to provide upon request to SEC staff, the issuer or security holder of the issuer, full information regarding the number of shares and prices at which the transaction was effected.</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John Walter McDowell</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04/05/2024</w:t>
            </w:r>
          </w:p>
        </w:tc>
      </w:tr>
      <w:tr>
        <w:trPr>
          <w:trHeight w:val="20"/>
        </w:trPr>
        <w:tc>
          <w:tcPr>
            <w:tcW w:w="1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32178" TargetMode="External"/><Relationship Id="rId13" Type="http://schemas.openxmlformats.org/officeDocument/2006/relationships/hyperlink" Target="http://www.sec.gov/cgi-bin/browse-edgar?action=getcompany&amp;CIK=000001032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2024-04-05T15:57:11Z</dcterms:created>
  <dcterms:modified xsi:type="dcterms:W3CDTF">2024-04-05T15:57:11Z</dcterms:modified>
</cp:coreProperties>
</file>