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March 20, 2026</w:t>
      </w:r>
    </w:p>
    <w:p>
      <w:pPr>
        <w:spacing w:after="0" w:line="30" w:lineRule="exact"/>
        <w:rPr>
          <w:sz w:val="24"/>
          <w:szCs w:val="24"/>
          <w:color w:val="auto"/>
        </w:rPr>
      </w:pPr>
    </w:p>
    <w:p>
      <w:pPr>
        <w:ind w:left="936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173355</wp:posOffset>
            </wp:positionV>
            <wp:extent cx="7133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8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5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2676525</wp:posOffset>
            </wp:positionH>
            <wp:positionV relativeFrom="paragraph">
              <wp:posOffset>172720</wp:posOffset>
            </wp:positionV>
            <wp:extent cx="17900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90065"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8"/>
          <w:szCs w:val="28"/>
          <w:b w:val="1"/>
          <w:bCs w:val="1"/>
          <w:color w:val="auto"/>
        </w:rPr>
        <w:t>FORM S-8</w:t>
      </w:r>
    </w:p>
    <w:p>
      <w:pPr>
        <w:spacing w:after="0" w:line="5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2676525</wp:posOffset>
            </wp:positionH>
            <wp:positionV relativeFrom="paragraph">
              <wp:posOffset>173355</wp:posOffset>
            </wp:positionV>
            <wp:extent cx="17900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0065" cy="8255"/>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9"/>
          <w:szCs w:val="39"/>
          <w:b w:val="1"/>
          <w:bCs w:val="1"/>
          <w:color w:val="auto"/>
        </w:rPr>
        <w:t>Bassett Furniture Industries, Incorporated</w:t>
      </w:r>
    </w:p>
    <w:p>
      <w:pPr>
        <w:spacing w:after="0" w:line="4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2676525</wp:posOffset>
            </wp:positionH>
            <wp:positionV relativeFrom="paragraph">
              <wp:posOffset>172720</wp:posOffset>
            </wp:positionV>
            <wp:extent cx="17900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0065"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tbl>
      <w:tblPr>
        <w:tblLayout w:type="fixed"/>
        <w:tblInd w:w="800" w:type="dxa"/>
        <w:tblCellMar>
          <w:top w:w="0" w:type="dxa"/>
          <w:left w:w="0" w:type="dxa"/>
          <w:bottom w:w="0" w:type="dxa"/>
          <w:right w:w="0" w:type="dxa"/>
        </w:tblCellMar>
      </w:tblPr>
      <w:tr>
        <w:trPr>
          <w:trHeight w:val="241"/>
        </w:trPr>
        <w:tc>
          <w:tcPr>
            <w:tcW w:w="2600" w:type="dxa"/>
            <w:vAlign w:val="bottom"/>
          </w:tcPr>
          <w:p>
            <w:pPr>
              <w:spacing w:after="0"/>
              <w:rPr>
                <w:sz w:val="21"/>
                <w:szCs w:val="21"/>
                <w:color w:val="auto"/>
              </w:rPr>
            </w:pPr>
          </w:p>
        </w:tc>
        <w:tc>
          <w:tcPr>
            <w:tcW w:w="4640" w:type="dxa"/>
            <w:vAlign w:val="bottom"/>
          </w:tcPr>
          <w:p>
            <w:pPr>
              <w:jc w:val="center"/>
              <w:ind w:right="102"/>
              <w:spacing w:after="0"/>
              <w:rPr>
                <w:sz w:val="20"/>
                <w:szCs w:val="20"/>
                <w:color w:val="auto"/>
              </w:rPr>
            </w:pPr>
            <w:r>
              <w:rPr>
                <w:rFonts w:ascii="Times New Roman" w:cs="Times New Roman" w:eastAsia="Times New Roman" w:hAnsi="Times New Roman"/>
                <w:sz w:val="21"/>
                <w:szCs w:val="21"/>
                <w:b w:val="1"/>
                <w:bCs w:val="1"/>
                <w:color w:val="auto"/>
              </w:rPr>
              <w:t>3525 Fairystone Park Highway</w:t>
            </w:r>
          </w:p>
        </w:tc>
        <w:tc>
          <w:tcPr>
            <w:tcW w:w="1980" w:type="dxa"/>
            <w:vAlign w:val="bottom"/>
          </w:tcPr>
          <w:p>
            <w:pPr>
              <w:spacing w:after="0"/>
              <w:rPr>
                <w:sz w:val="21"/>
                <w:szCs w:val="21"/>
                <w:color w:val="auto"/>
              </w:rPr>
            </w:pPr>
          </w:p>
        </w:tc>
      </w:tr>
      <w:tr>
        <w:trPr>
          <w:trHeight w:val="254"/>
        </w:trPr>
        <w:tc>
          <w:tcPr>
            <w:tcW w:w="2600" w:type="dxa"/>
            <w:vAlign w:val="bottom"/>
          </w:tcPr>
          <w:p>
            <w:pPr>
              <w:jc w:val="center"/>
              <w:ind w:right="345"/>
              <w:spacing w:after="0"/>
              <w:rPr>
                <w:sz w:val="20"/>
                <w:szCs w:val="20"/>
                <w:color w:val="auto"/>
              </w:rPr>
            </w:pPr>
            <w:r>
              <w:rPr>
                <w:rFonts w:ascii="Times New Roman" w:cs="Times New Roman" w:eastAsia="Times New Roman" w:hAnsi="Times New Roman"/>
                <w:sz w:val="21"/>
                <w:szCs w:val="21"/>
                <w:b w:val="1"/>
                <w:bCs w:val="1"/>
                <w:color w:val="auto"/>
              </w:rPr>
              <w:t>Virginia</w:t>
            </w:r>
          </w:p>
        </w:tc>
        <w:tc>
          <w:tcPr>
            <w:tcW w:w="4640" w:type="dxa"/>
            <w:vAlign w:val="bottom"/>
          </w:tcPr>
          <w:p>
            <w:pPr>
              <w:jc w:val="center"/>
              <w:ind w:right="122"/>
              <w:spacing w:after="0"/>
              <w:rPr>
                <w:sz w:val="20"/>
                <w:szCs w:val="20"/>
                <w:color w:val="auto"/>
              </w:rPr>
            </w:pPr>
            <w:r>
              <w:rPr>
                <w:rFonts w:ascii="Times New Roman" w:cs="Times New Roman" w:eastAsia="Times New Roman" w:hAnsi="Times New Roman"/>
                <w:sz w:val="21"/>
                <w:szCs w:val="21"/>
                <w:b w:val="1"/>
                <w:bCs w:val="1"/>
                <w:color w:val="auto"/>
              </w:rPr>
              <w:t>Bassett, Virginia 24055</w:t>
            </w:r>
          </w:p>
        </w:tc>
        <w:tc>
          <w:tcPr>
            <w:tcW w:w="1980" w:type="dxa"/>
            <w:vAlign w:val="bottom"/>
          </w:tcPr>
          <w:p>
            <w:pPr>
              <w:jc w:val="center"/>
              <w:ind w:left="565"/>
              <w:spacing w:after="0"/>
              <w:rPr>
                <w:sz w:val="20"/>
                <w:szCs w:val="20"/>
                <w:color w:val="auto"/>
              </w:rPr>
            </w:pPr>
            <w:r>
              <w:rPr>
                <w:rFonts w:ascii="Times New Roman" w:cs="Times New Roman" w:eastAsia="Times New Roman" w:hAnsi="Times New Roman"/>
                <w:sz w:val="21"/>
                <w:szCs w:val="21"/>
                <w:b w:val="1"/>
                <w:bCs w:val="1"/>
                <w:color w:val="auto"/>
              </w:rPr>
              <w:t>54-0135270</w:t>
            </w:r>
          </w:p>
        </w:tc>
      </w:tr>
      <w:tr>
        <w:trPr>
          <w:trHeight w:val="214"/>
        </w:trPr>
        <w:tc>
          <w:tcPr>
            <w:tcW w:w="2600" w:type="dxa"/>
            <w:vAlign w:val="bottom"/>
          </w:tcPr>
          <w:p>
            <w:pPr>
              <w:jc w:val="center"/>
              <w:ind w:right="345"/>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4640" w:type="dxa"/>
            <w:vAlign w:val="bottom"/>
          </w:tcPr>
          <w:p>
            <w:pPr>
              <w:jc w:val="center"/>
              <w:ind w:right="102"/>
              <w:spacing w:after="0"/>
              <w:rPr>
                <w:sz w:val="20"/>
                <w:szCs w:val="20"/>
                <w:color w:val="auto"/>
              </w:rPr>
            </w:pPr>
            <w:r>
              <w:rPr>
                <w:rFonts w:ascii="Times New Roman" w:cs="Times New Roman" w:eastAsia="Times New Roman" w:hAnsi="Times New Roman"/>
                <w:sz w:val="18"/>
                <w:szCs w:val="18"/>
                <w:color w:val="auto"/>
                <w:w w:val="98"/>
              </w:rPr>
              <w:t>(Address of principal executive offices, including</w:t>
            </w:r>
          </w:p>
        </w:tc>
        <w:tc>
          <w:tcPr>
            <w:tcW w:w="1980" w:type="dxa"/>
            <w:vAlign w:val="bottom"/>
          </w:tcPr>
          <w:p>
            <w:pPr>
              <w:jc w:val="center"/>
              <w:ind w:left="585"/>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3"/>
        </w:trPr>
        <w:tc>
          <w:tcPr>
            <w:tcW w:w="2600" w:type="dxa"/>
            <w:vAlign w:val="bottom"/>
          </w:tcPr>
          <w:p>
            <w:pPr>
              <w:jc w:val="center"/>
              <w:ind w:right="365"/>
              <w:spacing w:after="0"/>
              <w:rPr>
                <w:sz w:val="20"/>
                <w:szCs w:val="20"/>
                <w:color w:val="auto"/>
              </w:rPr>
            </w:pPr>
            <w:r>
              <w:rPr>
                <w:rFonts w:ascii="Times New Roman" w:cs="Times New Roman" w:eastAsia="Times New Roman" w:hAnsi="Times New Roman"/>
                <w:sz w:val="18"/>
                <w:szCs w:val="18"/>
                <w:color w:val="auto"/>
                <w:w w:val="98"/>
              </w:rPr>
              <w:t>incorporation or organization)</w:t>
            </w:r>
          </w:p>
        </w:tc>
        <w:tc>
          <w:tcPr>
            <w:tcW w:w="4640" w:type="dxa"/>
            <w:vAlign w:val="bottom"/>
          </w:tcPr>
          <w:p>
            <w:pPr>
              <w:jc w:val="center"/>
              <w:ind w:right="122"/>
              <w:spacing w:after="0"/>
              <w:rPr>
                <w:sz w:val="20"/>
                <w:szCs w:val="20"/>
                <w:color w:val="auto"/>
              </w:rPr>
            </w:pPr>
            <w:r>
              <w:rPr>
                <w:rFonts w:ascii="Times New Roman" w:cs="Times New Roman" w:eastAsia="Times New Roman" w:hAnsi="Times New Roman"/>
                <w:sz w:val="18"/>
                <w:szCs w:val="18"/>
                <w:color w:val="auto"/>
                <w:w w:val="99"/>
              </w:rPr>
              <w:t>zip code)</w:t>
            </w:r>
          </w:p>
        </w:tc>
        <w:tc>
          <w:tcPr>
            <w:tcW w:w="1980" w:type="dxa"/>
            <w:vAlign w:val="bottom"/>
          </w:tcPr>
          <w:p>
            <w:pPr>
              <w:jc w:val="center"/>
              <w:ind w:left="565"/>
              <w:spacing w:after="0"/>
              <w:rPr>
                <w:sz w:val="20"/>
                <w:szCs w:val="20"/>
                <w:color w:val="auto"/>
              </w:rPr>
            </w:pPr>
            <w:r>
              <w:rPr>
                <w:rFonts w:ascii="Times New Roman" w:cs="Times New Roman" w:eastAsia="Times New Roman" w:hAnsi="Times New Roman"/>
                <w:sz w:val="18"/>
                <w:szCs w:val="18"/>
                <w:color w:val="auto"/>
                <w:w w:val="98"/>
              </w:rPr>
              <w:t>Identification No.)</w:t>
            </w:r>
          </w:p>
        </w:tc>
      </w:tr>
    </w:tbl>
    <w:p>
      <w:pPr>
        <w:spacing w:after="0" w:line="18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Bassett Furniture Industries, Incorporated 2017 Employee Stock Purchase Plan, as amended</w:t>
      </w:r>
    </w:p>
    <w:p>
      <w:pPr>
        <w:spacing w:after="0" w:line="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Full title of the plan</w:t>
      </w:r>
      <w:r>
        <w:rPr>
          <w:rFonts w:ascii="Times New Roman" w:cs="Times New Roman" w:eastAsia="Times New Roman" w:hAnsi="Times New Roman"/>
          <w:sz w:val="18"/>
          <w:szCs w:val="18"/>
          <w:b w:val="1"/>
          <w:bCs w:val="1"/>
          <w:color w:val="auto"/>
        </w:rPr>
        <w:t>)</w:t>
      </w:r>
    </w:p>
    <w:p>
      <w:pPr>
        <w:spacing w:after="0" w:line="18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JAY R. HERVEY</w:t>
      </w:r>
    </w:p>
    <w:p>
      <w:pPr>
        <w:spacing w:after="0" w:line="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Vice President and General Counsel</w:t>
      </w:r>
    </w:p>
    <w:p>
      <w:pPr>
        <w:spacing w:after="0" w:line="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Bassett Furniture Industries, Incorporated</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3525 Fairystone Park Highway</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Bassett, Virginia 24055</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(276) 629-6000</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02" w:lineRule="exact"/>
        <w:rPr>
          <w:sz w:val="24"/>
          <w:szCs w:val="24"/>
          <w:color w:val="auto"/>
        </w:rPr>
      </w:pPr>
    </w:p>
    <w:p>
      <w:pPr>
        <w:jc w:val="both"/>
        <w:ind w:firstLine="410"/>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50" w:lineRule="exact"/>
        <w:rPr>
          <w:sz w:val="24"/>
          <w:szCs w:val="24"/>
          <w:color w:val="auto"/>
        </w:rPr>
      </w:pPr>
    </w:p>
    <w:tbl>
      <w:tblPr>
        <w:tblLayout w:type="fixed"/>
        <w:tblInd w:w="0" w:type="dxa"/>
        <w:tblCellMar>
          <w:top w:w="0" w:type="dxa"/>
          <w:left w:w="0" w:type="dxa"/>
          <w:bottom w:w="0" w:type="dxa"/>
          <w:right w:w="0" w:type="dxa"/>
        </w:tblCellMar>
      </w:tblPr>
      <w:tr>
        <w:trPr>
          <w:trHeight w:val="301"/>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64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2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Accelerated filer</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27"/>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64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2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27"/>
        </w:trPr>
        <w:tc>
          <w:tcPr>
            <w:tcW w:w="22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2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Emerging growth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7" w:lineRule="exact"/>
        <w:rPr>
          <w:sz w:val="24"/>
          <w:szCs w:val="24"/>
          <w:color w:val="auto"/>
        </w:rPr>
      </w:pPr>
    </w:p>
    <w:p>
      <w:pPr>
        <w:ind w:right="60"/>
        <w:spacing w:after="0" w:line="23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338455</wp:posOffset>
            </wp:positionV>
            <wp:extent cx="71335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438" w:right="35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OF ADDITIONAL SECURITIES</w:t>
      </w:r>
    </w:p>
    <w:p>
      <w:pPr>
        <w:spacing w:after="0" w:line="224" w:lineRule="exact"/>
        <w:rPr>
          <w:sz w:val="20"/>
          <w:szCs w:val="20"/>
          <w:color w:val="auto"/>
        </w:rPr>
      </w:pPr>
    </w:p>
    <w:p>
      <w:pPr>
        <w:jc w:val="both"/>
        <w:ind w:firstLine="428"/>
        <w:spacing w:after="0" w:line="252" w:lineRule="auto"/>
        <w:rPr>
          <w:sz w:val="20"/>
          <w:szCs w:val="20"/>
          <w:color w:val="auto"/>
        </w:rPr>
      </w:pPr>
      <w:r>
        <w:rPr>
          <w:rFonts w:ascii="Times New Roman" w:cs="Times New Roman" w:eastAsia="Times New Roman" w:hAnsi="Times New Roman"/>
          <w:sz w:val="18"/>
          <w:szCs w:val="18"/>
          <w:color w:val="auto"/>
        </w:rPr>
        <w:t>This Registration Statement on Form S-8 is being filed by Bassett Furniture Industries, Incorporated (the “Registrant”) to register 200,000 shares (the “Shares”) of the Registrant’s common stock to be offered and sold under the Bassett Furniture Industries, Incorporated Employee Stock Purchase Plan, as amended (as so amended, the “Plan”). The Shares are in addition to the shares previously registered on the Registrant’s Registration Statement on Form S-8 with respect to the Plan filed with the Securities and Exchange Commission (the “SEC”) on March 31, 2017 (Registration No. 333-217072) (the “Prior Registration Statement”). This Registration Statement relates to securities of the same class as that to which the Prior Registration Statement relates and is filed in accordance with General Instruction E to Form S-8. Accordingly, pursuant to General Instruction E, the Registrant hereby incorporates by reference herein the contents of the Prior Registration Statement and hereby deems such contents to be a part hereof, except as otherwise updated or modified by this Registration Statement.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Incorporation of Documents by Reference.</w:t>
      </w:r>
    </w:p>
    <w:p>
      <w:pPr>
        <w:spacing w:after="0" w:line="2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documents previously filed by the Registrant with the SEC under the Securities Exchange Act of 1934, as amended (the “Exchange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 are hereby incorporated by reference into this Registration Statement:</w:t>
      </w:r>
    </w:p>
    <w:p>
      <w:pPr>
        <w:spacing w:after="0" w:line="202" w:lineRule="exact"/>
        <w:rPr>
          <w:sz w:val="20"/>
          <w:szCs w:val="20"/>
          <w:color w:val="auto"/>
        </w:rPr>
      </w:pPr>
    </w:p>
    <w:p>
      <w:pPr>
        <w:ind w:left="1280" w:hanging="1273"/>
        <w:spacing w:after="0"/>
        <w:tabs>
          <w:tab w:leader="none" w:pos="12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Form 10-K filed with the SEC on </w:t>
      </w:r>
      <w:hyperlink r:id="rId13">
        <w:r>
          <w:rPr>
            <w:rFonts w:ascii="Times New Roman" w:cs="Times New Roman" w:eastAsia="Times New Roman" w:hAnsi="Times New Roman"/>
            <w:sz w:val="18"/>
            <w:szCs w:val="18"/>
            <w:u w:val="single" w:color="auto"/>
            <w:color w:val="0000EE"/>
          </w:rPr>
          <w:t>February 5,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November 29, 2025;</w:t>
      </w:r>
    </w:p>
    <w:p>
      <w:pPr>
        <w:spacing w:after="0" w:line="247" w:lineRule="exact"/>
        <w:rPr>
          <w:rFonts w:ascii="Times New Roman" w:cs="Times New Roman" w:eastAsia="Times New Roman" w:hAnsi="Times New Roman"/>
          <w:sz w:val="18"/>
          <w:szCs w:val="18"/>
          <w:color w:val="auto"/>
        </w:rPr>
      </w:pPr>
    </w:p>
    <w:p>
      <w:pPr>
        <w:ind w:left="1280" w:right="20" w:hanging="1273"/>
        <w:spacing w:after="0" w:line="277" w:lineRule="auto"/>
        <w:tabs>
          <w:tab w:leader="none" w:pos="12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Current Reports on Form 8-K filed with the SEC on </w:t>
      </w:r>
      <w:hyperlink r:id="rId14">
        <w:r>
          <w:rPr>
            <w:rFonts w:ascii="Times New Roman" w:cs="Times New Roman" w:eastAsia="Times New Roman" w:hAnsi="Times New Roman"/>
            <w:sz w:val="18"/>
            <w:szCs w:val="18"/>
            <w:u w:val="single" w:color="auto"/>
            <w:color w:val="0000EE"/>
          </w:rPr>
          <w:t>March 12,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(Items 8.01 and 9.01) and </w:t>
      </w:r>
      <w:hyperlink r:id="rId15">
        <w:r>
          <w:rPr>
            <w:rFonts w:ascii="Times New Roman" w:cs="Times New Roman" w:eastAsia="Times New Roman" w:hAnsi="Times New Roman"/>
            <w:sz w:val="18"/>
            <w:szCs w:val="18"/>
            <w:u w:val="single" w:color="auto"/>
            <w:color w:val="0000EE"/>
          </w:rPr>
          <w:t>March 12,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(Items 5.07 and 9.01); and</w:t>
      </w:r>
    </w:p>
    <w:p>
      <w:pPr>
        <w:spacing w:after="0" w:line="190" w:lineRule="exact"/>
        <w:rPr>
          <w:rFonts w:ascii="Times New Roman" w:cs="Times New Roman" w:eastAsia="Times New Roman" w:hAnsi="Times New Roman"/>
          <w:sz w:val="18"/>
          <w:szCs w:val="18"/>
          <w:color w:val="auto"/>
        </w:rPr>
      </w:pPr>
    </w:p>
    <w:p>
      <w:pPr>
        <w:jc w:val="both"/>
        <w:ind w:left="1280" w:hanging="1273"/>
        <w:spacing w:after="0" w:line="262" w:lineRule="auto"/>
        <w:tabs>
          <w:tab w:leader="none" w:pos="12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the Registrant’s Common Stock, par value $5.00 per share, contained in the Registrant’s Registration Statement on Form 8-A filed on March 22, 1965 ,as amended on Form 8-A 12G/A filed with the SEC on July 6, 1998, including any amendments to such Registration Statement hereafter filed.</w:t>
      </w:r>
    </w:p>
    <w:p>
      <w:pPr>
        <w:spacing w:after="0" w:line="177" w:lineRule="exact"/>
        <w:rPr>
          <w:rFonts w:ascii="Times New Roman" w:cs="Times New Roman" w:eastAsia="Times New Roman" w:hAnsi="Times New Roman"/>
          <w:sz w:val="18"/>
          <w:szCs w:val="18"/>
          <w:color w:val="auto"/>
        </w:rPr>
      </w:pPr>
    </w:p>
    <w:p>
      <w:pPr>
        <w:jc w:val="both"/>
        <w:ind w:firstLine="410"/>
        <w:spacing w:after="0" w:line="253" w:lineRule="auto"/>
        <w:rPr>
          <w:sz w:val="20"/>
          <w:szCs w:val="20"/>
          <w:color w:val="auto"/>
        </w:rPr>
      </w:pPr>
      <w:r>
        <w:rPr>
          <w:rFonts w:ascii="Times New Roman" w:cs="Times New Roman" w:eastAsia="Times New Roman" w:hAnsi="Times New Roman"/>
          <w:sz w:val="18"/>
          <w:szCs w:val="18"/>
          <w:color w:val="auto"/>
        </w:rPr>
        <w:t>Each document or report subsequently filed by the Registrant with the SEC pursuant to Sections 13(a), 13(c), 14 and 15(d) of the Exchange Act after the date of this Registration Statement, but prior to the filing of a post-effective amendment to this Registration Statement which indicates that all securities offered by this Registration Statement have been sold or which deregisters all such securities then remaining unsold, shall be deemed to be incorporated by reference into this Registration Statement. Each document or report incorporated into this Registration Statement by reference shall be deemed to be a part of this Registration Statement from the date of filing of such document with the SEC until the information contained therein is superseded or updated by any subsequently filed document which is incorporated by reference into this Registration Statement.</w:t>
      </w:r>
    </w:p>
    <w:p>
      <w:pPr>
        <w:spacing w:after="0" w:line="397" w:lineRule="exact"/>
        <w:rPr>
          <w:rFonts w:ascii="Times New Roman" w:cs="Times New Roman" w:eastAsia="Times New Roman" w:hAnsi="Times New Roman"/>
          <w:sz w:val="18"/>
          <w:szCs w:val="18"/>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Indemnification of Directors and Officers.</w:t>
      </w:r>
    </w:p>
    <w:p>
      <w:pPr>
        <w:spacing w:after="0" w:line="224" w:lineRule="exact"/>
        <w:rPr>
          <w:rFonts w:ascii="Times New Roman" w:cs="Times New Roman" w:eastAsia="Times New Roman" w:hAnsi="Times New Roman"/>
          <w:sz w:val="18"/>
          <w:szCs w:val="18"/>
          <w:color w:val="auto"/>
        </w:rPr>
      </w:pPr>
    </w:p>
    <w:p>
      <w:pPr>
        <w:jc w:val="both"/>
        <w:ind w:firstLine="410"/>
        <w:spacing w:after="0" w:line="262" w:lineRule="auto"/>
        <w:rPr>
          <w:sz w:val="20"/>
          <w:szCs w:val="20"/>
          <w:color w:val="auto"/>
        </w:rPr>
      </w:pPr>
      <w:r>
        <w:rPr>
          <w:rFonts w:ascii="Times New Roman" w:cs="Times New Roman" w:eastAsia="Times New Roman" w:hAnsi="Times New Roman"/>
          <w:sz w:val="18"/>
          <w:szCs w:val="18"/>
          <w:color w:val="auto"/>
        </w:rPr>
        <w:t>The Virginia Stock Corporation Act (the “Act”) provides that, unless limited by its articles of incorporation, a Virginia corporation must indemnify a director or officer who is wholly successful, on the merits or otherwise, in the defense of any proceeding to which he or she was a party because he or she is or was a director or officer of the corporation against expenses incurred in connection with the proceeding.</w:t>
      </w:r>
    </w:p>
    <w:p>
      <w:pPr>
        <w:spacing w:after="0" w:line="177" w:lineRule="exact"/>
        <w:rPr>
          <w:rFonts w:ascii="Times New Roman" w:cs="Times New Roman" w:eastAsia="Times New Roman" w:hAnsi="Times New Roman"/>
          <w:sz w:val="18"/>
          <w:szCs w:val="18"/>
          <w:color w:val="auto"/>
        </w:rPr>
      </w:pPr>
    </w:p>
    <w:p>
      <w:pPr>
        <w:jc w:val="both"/>
        <w:ind w:firstLine="410"/>
        <w:spacing w:after="0" w:line="252" w:lineRule="auto"/>
        <w:rPr>
          <w:sz w:val="20"/>
          <w:szCs w:val="20"/>
          <w:color w:val="auto"/>
        </w:rPr>
      </w:pPr>
      <w:r>
        <w:rPr>
          <w:rFonts w:ascii="Times New Roman" w:cs="Times New Roman" w:eastAsia="Times New Roman" w:hAnsi="Times New Roman"/>
          <w:sz w:val="18"/>
          <w:szCs w:val="18"/>
          <w:color w:val="auto"/>
        </w:rPr>
        <w:t>The Act also permits a Virginia corporation to indemnify any director or officer who is a party to a proceeding because he or she is or was a director or officer against any liability incurred if the director or officer (i) conducted himself or herself in good faith, (ii) believed, in the case of conduct in his or her official capacity, that such conduct was in the corporation’s best interests and, in all other cases, that his or her conduct was at least not opposed to the corporation’s best interests, and (iii) in the case of any criminal proceeding, had no reasonable cause to believe his or her conduct was unlawful. However, under the Act, a Virginia corporation may not indemnify any director or officer (x) in a proceeding by or in the right of the corporation, except for expenses incurred if it is determined that he or she has met the relevant standard of conduct, or (y) in connection with any proceeding in which he or she is adjudged liable on the basis that personal benefit was improperly received by him or her.</w:t>
      </w:r>
    </w:p>
    <w:p>
      <w:pPr>
        <w:spacing w:after="0" w:line="189" w:lineRule="exact"/>
        <w:rPr>
          <w:rFonts w:ascii="Times New Roman" w:cs="Times New Roman" w:eastAsia="Times New Roman" w:hAnsi="Times New Roman"/>
          <w:sz w:val="18"/>
          <w:szCs w:val="18"/>
          <w:color w:val="auto"/>
        </w:rPr>
      </w:pPr>
    </w:p>
    <w:p>
      <w:pPr>
        <w:jc w:val="both"/>
        <w:ind w:firstLine="410"/>
        <w:spacing w:after="0" w:line="257" w:lineRule="auto"/>
        <w:rPr>
          <w:sz w:val="20"/>
          <w:szCs w:val="20"/>
          <w:color w:val="auto"/>
        </w:rPr>
      </w:pPr>
      <w:r>
        <w:rPr>
          <w:rFonts w:ascii="Times New Roman" w:cs="Times New Roman" w:eastAsia="Times New Roman" w:hAnsi="Times New Roman"/>
          <w:sz w:val="18"/>
          <w:szCs w:val="18"/>
          <w:color w:val="auto"/>
        </w:rPr>
        <w:t>The Act further permits a Virginia corporation to make any further indemnity, including indemnity with respect to a proceeding by or in the right of the corporation, and to make additional provision for advances and reimbursement of expenses, to any director or officer that may be authorized by the articles of incorporation or any shareholder-approved bylaw or any resolution adopted, before or after the event, by the shareholders, except an indemnity against his or her willful misconduct or a knowing violation of the criminal law.</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4445</wp:posOffset>
            </wp:positionH>
            <wp:positionV relativeFrom="paragraph">
              <wp:posOffset>347980</wp:posOffset>
            </wp:positionV>
            <wp:extent cx="71335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 w:name="page3"/>
    <w:bookmarkEnd w:id="2"/>
    <w:p>
      <w:pPr>
        <w:jc w:val="both"/>
        <w:ind w:firstLine="410"/>
        <w:spacing w:after="0" w:line="252" w:lineRule="auto"/>
        <w:rPr>
          <w:sz w:val="20"/>
          <w:szCs w:val="20"/>
          <w:color w:val="auto"/>
        </w:rPr>
      </w:pPr>
      <w:r>
        <w:rPr>
          <w:rFonts w:ascii="Times New Roman" w:cs="Times New Roman" w:eastAsia="Times New Roman" w:hAnsi="Times New Roman"/>
          <w:sz w:val="18"/>
          <w:szCs w:val="18"/>
          <w:color w:val="auto"/>
        </w:rPr>
        <w:t>Under the Act, in any proceeding brought by or in the right of a corporation or by or on behalf of the corporation’s shareholders, the damages assessed against a director or officer arising out of a single transaction, occurrence or course of conduct cannot exceed the lesser of (i) the monetary amount, including elimination of liability, specified in the articles of incorporation or, if approved by the shareholders, the bylaws, or (ii) the greater of $100,000 or the amount of cash compensation received by the officer or director from the corporation during the twelve months immediately preceding the act or omission for which liability was imposed. The liability of a director or officer is not limited, however, if the officer or director engaged in willful misconduct or a knowing violation of the criminal law or any federal or state securities law, including, without limitation, any claim of unlawful insider trading or market manipulation.</w:t>
      </w:r>
    </w:p>
    <w:p>
      <w:pPr>
        <w:spacing w:after="0" w:line="189" w:lineRule="exact"/>
        <w:rPr>
          <w:sz w:val="20"/>
          <w:szCs w:val="20"/>
          <w:color w:val="auto"/>
        </w:rPr>
      </w:pPr>
    </w:p>
    <w:p>
      <w:pPr>
        <w:jc w:val="both"/>
        <w:ind w:firstLine="410"/>
        <w:spacing w:after="0" w:line="277" w:lineRule="auto"/>
        <w:rPr>
          <w:sz w:val="20"/>
          <w:szCs w:val="20"/>
          <w:color w:val="auto"/>
        </w:rPr>
      </w:pPr>
      <w:r>
        <w:rPr>
          <w:rFonts w:ascii="Times New Roman" w:cs="Times New Roman" w:eastAsia="Times New Roman" w:hAnsi="Times New Roman"/>
          <w:sz w:val="18"/>
          <w:szCs w:val="18"/>
          <w:color w:val="auto"/>
        </w:rPr>
        <w:t>The Bylaws of the Registrant require the Registrant to indemnify the Registrant’s directors and officers to the extent, in the manner and subject to compliance with the Act as described above.</w:t>
      </w:r>
    </w:p>
    <w:p>
      <w:pPr>
        <w:spacing w:after="0" w:line="163" w:lineRule="exact"/>
        <w:rPr>
          <w:sz w:val="20"/>
          <w:szCs w:val="20"/>
          <w:color w:val="auto"/>
        </w:rPr>
      </w:pPr>
    </w:p>
    <w:p>
      <w:pPr>
        <w:jc w:val="both"/>
        <w:ind w:firstLine="410"/>
        <w:spacing w:after="0" w:line="262" w:lineRule="auto"/>
        <w:rPr>
          <w:sz w:val="20"/>
          <w:szCs w:val="20"/>
          <w:color w:val="auto"/>
        </w:rPr>
      </w:pPr>
      <w:r>
        <w:rPr>
          <w:rFonts w:ascii="Times New Roman" w:cs="Times New Roman" w:eastAsia="Times New Roman" w:hAnsi="Times New Roman"/>
          <w:sz w:val="18"/>
          <w:szCs w:val="18"/>
          <w:color w:val="auto"/>
        </w:rPr>
        <w:t>The Act permits a corporation to purchase and maintain insurance on behalf of its directors and officers against liabilities which they may incur in their capacities as such, whether or not the corporation would have the power to indemnify them under other provisions of the statute. The Registrant has purchased insurance to provide for indemnification of directors and officers.</w:t>
      </w:r>
    </w:p>
    <w:p>
      <w:pPr>
        <w:spacing w:after="0" w:line="38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exhibits are filed with or incorporated by reference in this Registration Statement.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8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8"/>
              </w:rPr>
              <w:t>Exhibit</w:t>
            </w:r>
          </w:p>
        </w:tc>
        <w:tc>
          <w:tcPr>
            <w:tcW w:w="5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05"/>
        </w:trPr>
        <w:tc>
          <w:tcPr>
            <w:tcW w:w="580" w:type="dxa"/>
            <w:vAlign w:val="bottom"/>
          </w:tcPr>
          <w:p>
            <w:pPr>
              <w:ind w:left="180"/>
              <w:spacing w:after="0" w:line="206" w:lineRule="exact"/>
              <w:rPr>
                <w:sz w:val="20"/>
                <w:szCs w:val="20"/>
                <w:color w:val="auto"/>
              </w:rPr>
            </w:pPr>
            <w:r>
              <w:rPr>
                <w:rFonts w:ascii="Times New Roman" w:cs="Times New Roman" w:eastAsia="Times New Roman" w:hAnsi="Times New Roman"/>
                <w:sz w:val="18"/>
                <w:szCs w:val="18"/>
                <w:color w:val="auto"/>
              </w:rPr>
              <w:t>No.</w:t>
            </w:r>
          </w:p>
        </w:tc>
        <w:tc>
          <w:tcPr>
            <w:tcW w:w="5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5900" w:type="dxa"/>
            <w:vAlign w:val="bottom"/>
            <w:gridSpan w:val="6"/>
          </w:tcPr>
          <w:p>
            <w:pPr>
              <w:ind w:left="60"/>
              <w:spacing w:after="0" w:line="206" w:lineRule="exact"/>
              <w:rPr>
                <w:sz w:val="20"/>
                <w:szCs w:val="20"/>
                <w:color w:val="auto"/>
              </w:rPr>
            </w:pPr>
            <w:r>
              <w:rPr>
                <w:rFonts w:ascii="Times New Roman" w:cs="Times New Roman" w:eastAsia="Times New Roman" w:hAnsi="Times New Roman"/>
                <w:sz w:val="18"/>
                <w:szCs w:val="18"/>
                <w:color w:val="auto"/>
              </w:rPr>
              <w:t>Description of Exhibit</w:t>
            </w: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8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560" w:type="dxa"/>
            <w:vAlign w:val="bottom"/>
          </w:tcPr>
          <w:p>
            <w:pPr>
              <w:spacing w:after="0"/>
              <w:rPr>
                <w:sz w:val="24"/>
                <w:szCs w:val="24"/>
                <w:color w:val="auto"/>
              </w:rPr>
            </w:pPr>
          </w:p>
        </w:tc>
        <w:tc>
          <w:tcPr>
            <w:tcW w:w="10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w w:val="98"/>
              </w:rPr>
              <w:t>Articles of Incorporation of the Registrant, as amended, incorporated herein by reference from the Registrant’s Quarterly Report on Form 10-</w:t>
            </w:r>
          </w:p>
        </w:tc>
      </w:tr>
      <w:tr>
        <w:trPr>
          <w:trHeight w:val="233"/>
        </w:trPr>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Q (File No. 000-00209) for the fiscal quarter ended February 28, 1994</w:t>
            </w:r>
          </w:p>
        </w:tc>
      </w:tr>
      <w:tr>
        <w:trPr>
          <w:trHeight w:val="387"/>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560" w:type="dxa"/>
            <w:vAlign w:val="bottom"/>
          </w:tcPr>
          <w:p>
            <w:pPr>
              <w:spacing w:after="0"/>
              <w:rPr>
                <w:sz w:val="24"/>
                <w:szCs w:val="24"/>
                <w:color w:val="auto"/>
              </w:rPr>
            </w:pPr>
          </w:p>
        </w:tc>
        <w:tc>
          <w:tcPr>
            <w:tcW w:w="1010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color w:val="0000EE"/>
                </w:rPr>
                <w:t>Bylaws of the Registrant, as amended, incorporated herein by reference to Exhibit 3.1 to the Registrant’s Current Report on Form 8-K (File</w:t>
              </w:r>
            </w:hyperlink>
          </w:p>
        </w:tc>
      </w:tr>
      <w:tr>
        <w:trPr>
          <w:trHeight w:val="194"/>
        </w:trPr>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100" w:type="dxa"/>
            <w:vAlign w:val="bottom"/>
            <w:gridSpan w:val="10"/>
          </w:tcPr>
          <w:p>
            <w:pPr>
              <w:spacing w:after="0" w:line="194" w:lineRule="exact"/>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color w:val="0000EE"/>
                </w:rPr>
                <w:t>No. 000-00209) filed on July 22, 2025</w:t>
              </w:r>
            </w:hyperlink>
          </w:p>
        </w:tc>
      </w:tr>
      <w:tr>
        <w:trPr>
          <w:trHeight w:val="20"/>
        </w:trPr>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07"/>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560" w:type="dxa"/>
            <w:vAlign w:val="bottom"/>
          </w:tcPr>
          <w:p>
            <w:pPr>
              <w:spacing w:after="0"/>
              <w:rPr>
                <w:sz w:val="24"/>
                <w:szCs w:val="24"/>
                <w:color w:val="auto"/>
              </w:rPr>
            </w:pPr>
          </w:p>
        </w:tc>
        <w:tc>
          <w:tcPr>
            <w:tcW w:w="1010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Opinion of McGuireWoods LLP as to the legality of the securities being registered*</w:t>
            </w:r>
          </w:p>
        </w:tc>
      </w:tr>
      <w:tr>
        <w:trPr>
          <w:trHeight w:val="407"/>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60" w:type="dxa"/>
            <w:vAlign w:val="bottom"/>
          </w:tcPr>
          <w:p>
            <w:pPr>
              <w:spacing w:after="0"/>
              <w:rPr>
                <w:sz w:val="24"/>
                <w:szCs w:val="24"/>
                <w:color w:val="auto"/>
              </w:rPr>
            </w:pPr>
          </w:p>
        </w:tc>
        <w:tc>
          <w:tcPr>
            <w:tcW w:w="598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Consent of McGuireWoods LLP (included in Exhibit 5.1)*</w:t>
            </w:r>
          </w:p>
        </w:tc>
        <w:tc>
          <w:tcPr>
            <w:tcW w:w="4120" w:type="dxa"/>
            <w:vAlign w:val="bottom"/>
            <w:gridSpan w:val="3"/>
          </w:tcPr>
          <w:p>
            <w:pPr>
              <w:spacing w:after="0"/>
              <w:rPr>
                <w:sz w:val="24"/>
                <w:szCs w:val="24"/>
                <w:color w:val="auto"/>
              </w:rPr>
            </w:pPr>
          </w:p>
        </w:tc>
      </w:tr>
      <w:tr>
        <w:trPr>
          <w:trHeight w:val="407"/>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560" w:type="dxa"/>
            <w:vAlign w:val="bottom"/>
          </w:tcPr>
          <w:p>
            <w:pPr>
              <w:spacing w:after="0"/>
              <w:rPr>
                <w:sz w:val="24"/>
                <w:szCs w:val="24"/>
                <w:color w:val="auto"/>
              </w:rPr>
            </w:pPr>
          </w:p>
        </w:tc>
        <w:tc>
          <w:tcPr>
            <w:tcW w:w="420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Consent of Grant Thornton LLP*</w:t>
            </w:r>
          </w:p>
        </w:tc>
        <w:tc>
          <w:tcPr>
            <w:tcW w:w="5900" w:type="dxa"/>
            <w:vAlign w:val="bottom"/>
            <w:gridSpan w:val="6"/>
          </w:tcPr>
          <w:p>
            <w:pPr>
              <w:spacing w:after="0"/>
              <w:rPr>
                <w:sz w:val="24"/>
                <w:szCs w:val="24"/>
                <w:color w:val="auto"/>
              </w:rPr>
            </w:pPr>
          </w:p>
        </w:tc>
      </w:tr>
      <w:tr>
        <w:trPr>
          <w:trHeight w:val="407"/>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23.3</w:t>
            </w:r>
          </w:p>
        </w:tc>
        <w:tc>
          <w:tcPr>
            <w:tcW w:w="560" w:type="dxa"/>
            <w:vAlign w:val="bottom"/>
          </w:tcPr>
          <w:p>
            <w:pPr>
              <w:spacing w:after="0"/>
              <w:rPr>
                <w:sz w:val="24"/>
                <w:szCs w:val="24"/>
                <w:color w:val="auto"/>
              </w:rPr>
            </w:pPr>
          </w:p>
        </w:tc>
        <w:tc>
          <w:tcPr>
            <w:tcW w:w="238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Consent of Ernst &amp; Young LLP*</w:t>
            </w:r>
          </w:p>
        </w:tc>
        <w:tc>
          <w:tcPr>
            <w:tcW w:w="7720" w:type="dxa"/>
            <w:vAlign w:val="bottom"/>
            <w:gridSpan w:val="8"/>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5540" w:type="dxa"/>
            <w:vAlign w:val="bottom"/>
            <w:gridSpan w:val="7"/>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07"/>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560" w:type="dxa"/>
            <w:vAlign w:val="bottom"/>
          </w:tcPr>
          <w:p>
            <w:pPr>
              <w:spacing w:after="0"/>
              <w:rPr>
                <w:sz w:val="24"/>
                <w:szCs w:val="24"/>
                <w:color w:val="auto"/>
              </w:rPr>
            </w:pPr>
          </w:p>
        </w:tc>
        <w:tc>
          <w:tcPr>
            <w:tcW w:w="78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Power of Attorney (contained with the Registrant’s signature page to this Registration Statement on Form S-8)</w:t>
            </w:r>
          </w:p>
        </w:tc>
        <w:tc>
          <w:tcPr>
            <w:tcW w:w="2220" w:type="dxa"/>
            <w:vAlign w:val="bottom"/>
            <w:gridSpan w:val="2"/>
          </w:tcPr>
          <w:p>
            <w:pPr>
              <w:spacing w:after="0"/>
              <w:rPr>
                <w:sz w:val="24"/>
                <w:szCs w:val="24"/>
                <w:color w:val="auto"/>
              </w:rPr>
            </w:pPr>
          </w:p>
        </w:tc>
      </w:tr>
      <w:tr>
        <w:trPr>
          <w:trHeight w:val="407"/>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60" w:type="dxa"/>
            <w:vAlign w:val="bottom"/>
          </w:tcPr>
          <w:p>
            <w:pPr>
              <w:spacing w:after="0"/>
              <w:rPr>
                <w:sz w:val="24"/>
                <w:szCs w:val="24"/>
                <w:color w:val="auto"/>
              </w:rPr>
            </w:pPr>
          </w:p>
        </w:tc>
        <w:tc>
          <w:tcPr>
            <w:tcW w:w="986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8"/>
              </w:rPr>
            </w:pPr>
            <w:hyperlink r:id="rId18">
              <w:r>
                <w:rPr>
                  <w:rFonts w:ascii="Times New Roman" w:cs="Times New Roman" w:eastAsia="Times New Roman" w:hAnsi="Times New Roman"/>
                  <w:sz w:val="18"/>
                  <w:szCs w:val="18"/>
                  <w:color w:val="0000EE"/>
                  <w:w w:val="98"/>
                </w:rPr>
                <w:t>Bassett Furniture Industries, Incorporated Employee Stock Purchase Plan, as amended, incorporated herein by reference to Appendix A to</w:t>
              </w:r>
            </w:hyperlink>
          </w:p>
        </w:tc>
        <w:tc>
          <w:tcPr>
            <w:tcW w:w="240" w:type="dxa"/>
            <w:vAlign w:val="bottom"/>
          </w:tcPr>
          <w:p>
            <w:pPr>
              <w:spacing w:after="0"/>
              <w:rPr>
                <w:sz w:val="24"/>
                <w:szCs w:val="24"/>
                <w:color w:val="auto"/>
              </w:rPr>
            </w:pPr>
          </w:p>
        </w:tc>
      </w:tr>
      <w:tr>
        <w:trPr>
          <w:trHeight w:val="194"/>
        </w:trPr>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100" w:type="dxa"/>
            <w:vAlign w:val="bottom"/>
            <w:gridSpan w:val="10"/>
          </w:tcPr>
          <w:p>
            <w:pPr>
              <w:spacing w:after="0" w:line="194" w:lineRule="exact"/>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the Registrant’s Definitive Proxy Statement on Schedule 14A (File No. 000-00209) filed on February 11, 2026</w:t>
              </w:r>
            </w:hyperlink>
          </w:p>
        </w:tc>
      </w:tr>
      <w:tr>
        <w:trPr>
          <w:trHeight w:val="20"/>
        </w:trPr>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22" w:lineRule="exact"/>
        <w:rPr>
          <w:sz w:val="20"/>
          <w:szCs w:val="20"/>
          <w:color w:val="auto"/>
        </w:rPr>
      </w:pPr>
    </w:p>
    <w:p>
      <w:pPr>
        <w:ind w:right="8840" w:firstLine="7"/>
        <w:spacing w:after="0" w:line="525" w:lineRule="auto"/>
        <w:tabs>
          <w:tab w:leader="none" w:pos="113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 xml:space="preserve">Filing Fee Table* </w:t>
      </w:r>
      <w:r>
        <w:rPr>
          <w:rFonts w:ascii="Times New Roman" w:cs="Times New Roman" w:eastAsia="Times New Roman" w:hAnsi="Times New Roman"/>
          <w:sz w:val="18"/>
          <w:szCs w:val="18"/>
          <w:color w:val="000000"/>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200025</wp:posOffset>
            </wp:positionV>
            <wp:extent cx="71335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4" w:lineRule="exact"/>
        <w:rPr>
          <w:sz w:val="20"/>
          <w:szCs w:val="20"/>
          <w:color w:val="auto"/>
        </w:rPr>
      </w:pPr>
    </w:p>
    <w:p>
      <w:pPr>
        <w:jc w:val="both"/>
        <w:ind w:firstLine="410"/>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County of Henry, Commonwealth of Virginia, on this 20th day of March, 2026.</w:t>
      </w:r>
    </w:p>
    <w:p>
      <w:pPr>
        <w:spacing w:after="0" w:line="17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BASSETT FURNITURE INDUSTRIES, INCORPORATED</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ROBERT H. SPILMAN,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3787775</wp:posOffset>
            </wp:positionH>
            <wp:positionV relativeFrom="paragraph">
              <wp:posOffset>15875</wp:posOffset>
            </wp:positionV>
            <wp:extent cx="33502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3350260" cy="8255"/>
                    </a:xfrm>
                    <a:prstGeom prst="rect">
                      <a:avLst/>
                    </a:prstGeom>
                    <a:noFill/>
                  </pic:spPr>
                </pic:pic>
              </a:graphicData>
            </a:graphic>
          </wp:anchor>
        </w:drawing>
      </w:r>
    </w:p>
    <w:p>
      <w:pPr>
        <w:spacing w:after="0" w:line="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Robert H. Spilman, Jr.</w:t>
      </w:r>
    </w:p>
    <w:p>
      <w:pPr>
        <w:spacing w:after="0" w:line="2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360045</wp:posOffset>
            </wp:positionV>
            <wp:extent cx="71335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 w:name="page5"/>
    <w:bookmarkEnd w:id="4"/>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4" w:lineRule="exact"/>
        <w:rPr>
          <w:sz w:val="20"/>
          <w:szCs w:val="20"/>
          <w:color w:val="auto"/>
        </w:rPr>
      </w:pPr>
    </w:p>
    <w:p>
      <w:pPr>
        <w:jc w:val="both"/>
        <w:ind w:firstLine="428"/>
        <w:spacing w:after="0" w:line="251" w:lineRule="auto"/>
        <w:rPr>
          <w:sz w:val="20"/>
          <w:szCs w:val="20"/>
          <w:color w:val="auto"/>
        </w:rPr>
      </w:pPr>
      <w:r>
        <w:rPr>
          <w:rFonts w:ascii="Times New Roman" w:cs="Times New Roman" w:eastAsia="Times New Roman" w:hAnsi="Times New Roman"/>
          <w:sz w:val="18"/>
          <w:szCs w:val="18"/>
          <w:color w:val="auto"/>
        </w:rPr>
        <w:t>KNOW ALL PERSONS BY THESE PRESENTS, that each of the undersigned directors and officers of Bassett Furniture Industries, Incorporated, does hereby constitute and appoint Robert H. Spilman, Jr. and J. Michael Daniel, and each of them acting individually, the undersigned’s true and lawful attorneys-in-fact and agent, with power to act without the other and with full power of substitution, to do any and all acts and things in the undersigned’s name and on the undersigned’s behalf in his or her capacity or capacities as director and/or officer and to execute any and all instruments for the undersigned and in the undersigned’s name in the capacity or capacities indicated below, which said attorney and agent may deem necessary or advisable to enable said Registrant to comply with the Securities Act of 1933 and any rules, regulations and requirements of the Securities and Exchange Commission in connection with this Registration Statement, including specifically, but without limitation, power and authority to sign for the undersigned in his or her name in the capacity or capacities indicated below, any and all amendments (including post-effective amendments) hereto and registration statements filed pursuant to Rule 462 under the Securities Act of 1933, and the undersigned does hereby ratify and confirm all that said attorney and agent shall do or cause to be done by virtue hereof.</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WITNESS WHEREOF, each of the undersigned has executed this Power of Attorney as of the date indicated.</w:t>
      </w:r>
    </w:p>
    <w:p>
      <w:pPr>
        <w:spacing w:after="0" w:line="220" w:lineRule="exact"/>
        <w:rPr>
          <w:sz w:val="20"/>
          <w:szCs w:val="20"/>
          <w:color w:val="auto"/>
        </w:rPr>
      </w:pPr>
    </w:p>
    <w:p>
      <w:pPr>
        <w:jc w:val="both"/>
        <w:ind w:firstLine="428"/>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11"/>
          </w:tcPr>
          <w:p>
            <w:pPr>
              <w:jc w:val="center"/>
              <w:ind w:right="1200"/>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240" w:type="dxa"/>
            <w:vAlign w:val="bottom"/>
          </w:tcPr>
          <w:p>
            <w:pPr>
              <w:spacing w:after="0"/>
              <w:rPr>
                <w:sz w:val="20"/>
                <w:szCs w:val="20"/>
                <w:color w:val="auto"/>
              </w:rPr>
            </w:pPr>
          </w:p>
        </w:tc>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00" w:type="dxa"/>
            <w:vAlign w:val="bottom"/>
          </w:tcPr>
          <w:p>
            <w:pPr>
              <w:spacing w:after="0"/>
              <w:rPr>
                <w:sz w:val="20"/>
                <w:szCs w:val="20"/>
                <w:color w:val="auto"/>
              </w:rPr>
            </w:pP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594"/>
        </w:trPr>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60" w:type="dxa"/>
            <w:vAlign w:val="bottom"/>
            <w:gridSpan w:val="17"/>
          </w:tcPr>
          <w:p>
            <w:pPr>
              <w:jc w:val="center"/>
              <w:ind w:right="760"/>
              <w:spacing w:after="0"/>
              <w:rPr>
                <w:sz w:val="20"/>
                <w:szCs w:val="20"/>
                <w:color w:val="auto"/>
              </w:rPr>
            </w:pPr>
            <w:r>
              <w:rPr>
                <w:rFonts w:ascii="Times New Roman" w:cs="Times New Roman" w:eastAsia="Times New Roman" w:hAnsi="Times New Roman"/>
                <w:sz w:val="18"/>
                <w:szCs w:val="18"/>
                <w:color w:val="auto"/>
                <w:w w:val="98"/>
              </w:rPr>
              <w:t>/S/ ROBERT H. SPILMAN, JR.</w:t>
            </w:r>
          </w:p>
        </w:tc>
        <w:tc>
          <w:tcPr>
            <w:tcW w:w="24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Chairman, Chief Executive Officer and Director</w:t>
            </w:r>
          </w:p>
        </w:tc>
        <w:tc>
          <w:tcPr>
            <w:tcW w:w="20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20, 2026</w:t>
            </w:r>
          </w:p>
        </w:tc>
      </w:tr>
      <w:tr>
        <w:trPr>
          <w:trHeight w:val="234"/>
        </w:trPr>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gridSpan w:val="9"/>
          </w:tcPr>
          <w:p>
            <w:pPr>
              <w:jc w:val="center"/>
              <w:ind w:right="300"/>
              <w:spacing w:after="0"/>
              <w:rPr>
                <w:sz w:val="20"/>
                <w:szCs w:val="20"/>
                <w:color w:val="auto"/>
              </w:rPr>
            </w:pPr>
            <w:r>
              <w:rPr>
                <w:rFonts w:ascii="Times New Roman" w:cs="Times New Roman" w:eastAsia="Times New Roman" w:hAnsi="Times New Roman"/>
                <w:sz w:val="18"/>
                <w:szCs w:val="18"/>
                <w:color w:val="auto"/>
                <w:w w:val="98"/>
              </w:rPr>
              <w:t>Robert H. Spilman, Jr.</w:t>
            </w:r>
          </w:p>
        </w:tc>
        <w:tc>
          <w:tcPr>
            <w:tcW w:w="760" w:type="dxa"/>
            <w:vAlign w:val="bottom"/>
            <w:gridSpan w:val="3"/>
          </w:tcPr>
          <w:p>
            <w:pPr>
              <w:spacing w:after="0"/>
              <w:rPr>
                <w:sz w:val="20"/>
                <w:szCs w:val="20"/>
                <w:color w:val="auto"/>
              </w:rPr>
            </w:pPr>
          </w:p>
        </w:tc>
        <w:tc>
          <w:tcPr>
            <w:tcW w:w="240" w:type="dxa"/>
            <w:vAlign w:val="bottom"/>
          </w:tcPr>
          <w:p>
            <w:pPr>
              <w:spacing w:after="0"/>
              <w:rPr>
                <w:sz w:val="20"/>
                <w:szCs w:val="20"/>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2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387"/>
        </w:trPr>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color w:val="auto"/>
                <w:w w:val="98"/>
              </w:rPr>
              <w:t>/S/ J. MICHAEL DANIEL</w:t>
            </w:r>
          </w:p>
        </w:tc>
        <w:tc>
          <w:tcPr>
            <w:tcW w:w="940" w:type="dxa"/>
            <w:vAlign w:val="bottom"/>
            <w:gridSpan w:val="7"/>
          </w:tcPr>
          <w:p>
            <w:pPr>
              <w:spacing w:after="0"/>
              <w:rPr>
                <w:sz w:val="24"/>
                <w:szCs w:val="24"/>
                <w:color w:val="auto"/>
              </w:rPr>
            </w:pPr>
          </w:p>
        </w:tc>
        <w:tc>
          <w:tcPr>
            <w:tcW w:w="24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Senior Vice President and Chief Financial Officer</w:t>
            </w:r>
          </w:p>
        </w:tc>
        <w:tc>
          <w:tcPr>
            <w:tcW w:w="20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20, 2026</w:t>
            </w:r>
          </w:p>
        </w:tc>
      </w:tr>
      <w:tr>
        <w:trPr>
          <w:trHeight w:val="234"/>
        </w:trPr>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gridSpan w:val="11"/>
          </w:tcPr>
          <w:p>
            <w:pPr>
              <w:jc w:val="center"/>
              <w:ind w:right="1200"/>
              <w:spacing w:after="0"/>
              <w:rPr>
                <w:sz w:val="20"/>
                <w:szCs w:val="20"/>
                <w:color w:val="auto"/>
              </w:rPr>
            </w:pPr>
            <w:r>
              <w:rPr>
                <w:rFonts w:ascii="Times New Roman" w:cs="Times New Roman" w:eastAsia="Times New Roman" w:hAnsi="Times New Roman"/>
                <w:sz w:val="18"/>
                <w:szCs w:val="18"/>
                <w:color w:val="auto"/>
                <w:w w:val="98"/>
              </w:rPr>
              <w:t>J. Michael Daniel</w:t>
            </w:r>
          </w:p>
        </w:tc>
        <w:tc>
          <w:tcPr>
            <w:tcW w:w="240" w:type="dxa"/>
            <w:vAlign w:val="bottom"/>
          </w:tcPr>
          <w:p>
            <w:pPr>
              <w:spacing w:after="0"/>
              <w:rPr>
                <w:sz w:val="20"/>
                <w:szCs w:val="20"/>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(Principal Financial and Accounting Officer)</w:t>
            </w:r>
          </w:p>
        </w:tc>
        <w:tc>
          <w:tcPr>
            <w:tcW w:w="2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387"/>
        </w:trPr>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gridSpan w:val="12"/>
          </w:tcPr>
          <w:p>
            <w:pPr>
              <w:jc w:val="center"/>
              <w:ind w:right="1060"/>
              <w:spacing w:after="0"/>
              <w:rPr>
                <w:sz w:val="20"/>
                <w:szCs w:val="20"/>
                <w:color w:val="auto"/>
              </w:rPr>
            </w:pPr>
            <w:r>
              <w:rPr>
                <w:rFonts w:ascii="Times New Roman" w:cs="Times New Roman" w:eastAsia="Times New Roman" w:hAnsi="Times New Roman"/>
                <w:sz w:val="18"/>
                <w:szCs w:val="18"/>
                <w:color w:val="auto"/>
                <w:w w:val="97"/>
              </w:rPr>
              <w:t>/S/ EMMA S. BATTLE</w:t>
            </w:r>
          </w:p>
        </w:tc>
        <w:tc>
          <w:tcPr>
            <w:tcW w:w="24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20, 2026</w:t>
            </w:r>
          </w:p>
        </w:tc>
      </w:tr>
      <w:tr>
        <w:trPr>
          <w:trHeight w:val="234"/>
        </w:trPr>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Emma S. Battle</w:t>
            </w:r>
          </w:p>
        </w:tc>
        <w:tc>
          <w:tcPr>
            <w:tcW w:w="1060" w:type="dxa"/>
            <w:vAlign w:val="bottom"/>
            <w:gridSpan w:val="9"/>
          </w:tcPr>
          <w:p>
            <w:pPr>
              <w:spacing w:after="0"/>
              <w:rPr>
                <w:sz w:val="20"/>
                <w:szCs w:val="20"/>
                <w:color w:val="auto"/>
              </w:rPr>
            </w:pPr>
          </w:p>
        </w:tc>
        <w:tc>
          <w:tcPr>
            <w:tcW w:w="24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387"/>
        </w:trPr>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gridSpan w:val="11"/>
          </w:tcPr>
          <w:p>
            <w:pPr>
              <w:jc w:val="center"/>
              <w:ind w:right="1200"/>
              <w:spacing w:after="0"/>
              <w:rPr>
                <w:sz w:val="20"/>
                <w:szCs w:val="20"/>
                <w:color w:val="auto"/>
              </w:rPr>
            </w:pPr>
            <w:r>
              <w:rPr>
                <w:rFonts w:ascii="Times New Roman" w:cs="Times New Roman" w:eastAsia="Times New Roman" w:hAnsi="Times New Roman"/>
                <w:sz w:val="18"/>
                <w:szCs w:val="18"/>
                <w:color w:val="auto"/>
                <w:w w:val="99"/>
              </w:rPr>
              <w:t>/S/ JOHN R. BELK</w:t>
            </w:r>
          </w:p>
        </w:tc>
        <w:tc>
          <w:tcPr>
            <w:tcW w:w="24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20, 2026</w:t>
            </w:r>
          </w:p>
        </w:tc>
      </w:tr>
      <w:tr>
        <w:trPr>
          <w:trHeight w:val="234"/>
        </w:trPr>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John R. Belk</w:t>
            </w:r>
          </w:p>
        </w:tc>
        <w:tc>
          <w:tcPr>
            <w:tcW w:w="1200" w:type="dxa"/>
            <w:vAlign w:val="bottom"/>
            <w:gridSpan w:val="10"/>
          </w:tcPr>
          <w:p>
            <w:pPr>
              <w:spacing w:after="0"/>
              <w:rPr>
                <w:sz w:val="20"/>
                <w:szCs w:val="20"/>
                <w:color w:val="auto"/>
              </w:rPr>
            </w:pPr>
          </w:p>
        </w:tc>
        <w:tc>
          <w:tcPr>
            <w:tcW w:w="24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387"/>
        </w:trPr>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20" w:type="dxa"/>
            <w:vAlign w:val="bottom"/>
            <w:gridSpan w:val="16"/>
          </w:tcPr>
          <w:p>
            <w:pPr>
              <w:jc w:val="center"/>
              <w:ind w:right="780"/>
              <w:spacing w:after="0"/>
              <w:rPr>
                <w:sz w:val="20"/>
                <w:szCs w:val="20"/>
                <w:color w:val="auto"/>
              </w:rPr>
            </w:pPr>
            <w:r>
              <w:rPr>
                <w:rFonts w:ascii="Times New Roman" w:cs="Times New Roman" w:eastAsia="Times New Roman" w:hAnsi="Times New Roman"/>
                <w:sz w:val="18"/>
                <w:szCs w:val="18"/>
                <w:color w:val="auto"/>
                <w:w w:val="99"/>
              </w:rPr>
              <w:t>/S/ KRISTINA K. CASHMAN</w:t>
            </w:r>
          </w:p>
        </w:tc>
        <w:tc>
          <w:tcPr>
            <w:tcW w:w="24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20, 2026</w:t>
            </w:r>
          </w:p>
        </w:tc>
      </w:tr>
      <w:tr>
        <w:trPr>
          <w:trHeight w:val="234"/>
        </w:trPr>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gridSpan w:val="8"/>
          </w:tcPr>
          <w:p>
            <w:pPr>
              <w:jc w:val="center"/>
              <w:ind w:right="280"/>
              <w:spacing w:after="0"/>
              <w:rPr>
                <w:sz w:val="20"/>
                <w:szCs w:val="20"/>
                <w:color w:val="auto"/>
              </w:rPr>
            </w:pPr>
            <w:r>
              <w:rPr>
                <w:rFonts w:ascii="Times New Roman" w:cs="Times New Roman" w:eastAsia="Times New Roman" w:hAnsi="Times New Roman"/>
                <w:sz w:val="18"/>
                <w:szCs w:val="18"/>
                <w:color w:val="auto"/>
                <w:w w:val="98"/>
              </w:rPr>
              <w:t>Kristina K. Cashman</w:t>
            </w:r>
          </w:p>
        </w:tc>
        <w:tc>
          <w:tcPr>
            <w:tcW w:w="800" w:type="dxa"/>
            <w:vAlign w:val="bottom"/>
            <w:gridSpan w:val="4"/>
          </w:tcPr>
          <w:p>
            <w:pPr>
              <w:spacing w:after="0"/>
              <w:rPr>
                <w:sz w:val="20"/>
                <w:szCs w:val="20"/>
                <w:color w:val="auto"/>
              </w:rPr>
            </w:pPr>
          </w:p>
        </w:tc>
        <w:tc>
          <w:tcPr>
            <w:tcW w:w="24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387"/>
        </w:trPr>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60" w:type="dxa"/>
            <w:vAlign w:val="bottom"/>
            <w:gridSpan w:val="13"/>
          </w:tcPr>
          <w:p>
            <w:pPr>
              <w:jc w:val="center"/>
              <w:ind w:right="960"/>
              <w:spacing w:after="0"/>
              <w:rPr>
                <w:sz w:val="20"/>
                <w:szCs w:val="20"/>
                <w:color w:val="auto"/>
              </w:rPr>
            </w:pPr>
            <w:r>
              <w:rPr>
                <w:rFonts w:ascii="Times New Roman" w:cs="Times New Roman" w:eastAsia="Times New Roman" w:hAnsi="Times New Roman"/>
                <w:sz w:val="18"/>
                <w:szCs w:val="18"/>
                <w:color w:val="auto"/>
                <w:w w:val="98"/>
              </w:rPr>
              <w:t>/S/ JAMES E. GOERGEN</w:t>
            </w:r>
          </w:p>
        </w:tc>
        <w:tc>
          <w:tcPr>
            <w:tcW w:w="24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20, 2026</w:t>
            </w:r>
          </w:p>
        </w:tc>
      </w:tr>
      <w:tr>
        <w:trPr>
          <w:trHeight w:val="234"/>
        </w:trPr>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8"/>
              </w:rPr>
              <w:t>James E. Goergen</w:t>
            </w:r>
          </w:p>
        </w:tc>
        <w:tc>
          <w:tcPr>
            <w:tcW w:w="960" w:type="dxa"/>
            <w:vAlign w:val="bottom"/>
            <w:gridSpan w:val="8"/>
          </w:tcPr>
          <w:p>
            <w:pPr>
              <w:spacing w:after="0"/>
              <w:rPr>
                <w:sz w:val="20"/>
                <w:szCs w:val="20"/>
                <w:color w:val="auto"/>
              </w:rPr>
            </w:pPr>
          </w:p>
        </w:tc>
        <w:tc>
          <w:tcPr>
            <w:tcW w:w="24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387"/>
        </w:trPr>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0" w:type="dxa"/>
            <w:vAlign w:val="bottom"/>
            <w:gridSpan w:val="15"/>
          </w:tcPr>
          <w:p>
            <w:pPr>
              <w:jc w:val="center"/>
              <w:ind w:right="800"/>
              <w:spacing w:after="0"/>
              <w:rPr>
                <w:sz w:val="20"/>
                <w:szCs w:val="20"/>
                <w:color w:val="auto"/>
              </w:rPr>
            </w:pPr>
            <w:r>
              <w:rPr>
                <w:rFonts w:ascii="Times New Roman" w:cs="Times New Roman" w:eastAsia="Times New Roman" w:hAnsi="Times New Roman"/>
                <w:sz w:val="18"/>
                <w:szCs w:val="18"/>
                <w:color w:val="auto"/>
                <w:w w:val="98"/>
              </w:rPr>
              <w:t>/S/ VIRGINIA W. HAMLET</w:t>
            </w:r>
          </w:p>
        </w:tc>
        <w:tc>
          <w:tcPr>
            <w:tcW w:w="24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20, 2026</w:t>
            </w:r>
          </w:p>
        </w:tc>
      </w:tr>
      <w:tr>
        <w:trPr>
          <w:trHeight w:val="234"/>
        </w:trPr>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8"/>
                <w:szCs w:val="18"/>
                <w:color w:val="auto"/>
                <w:w w:val="97"/>
              </w:rPr>
              <w:t>Virginia W. Hamlet</w:t>
            </w:r>
          </w:p>
        </w:tc>
        <w:tc>
          <w:tcPr>
            <w:tcW w:w="860" w:type="dxa"/>
            <w:vAlign w:val="bottom"/>
            <w:gridSpan w:val="6"/>
          </w:tcPr>
          <w:p>
            <w:pPr>
              <w:spacing w:after="0"/>
              <w:rPr>
                <w:sz w:val="20"/>
                <w:szCs w:val="20"/>
                <w:color w:val="auto"/>
              </w:rPr>
            </w:pPr>
          </w:p>
        </w:tc>
        <w:tc>
          <w:tcPr>
            <w:tcW w:w="24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387"/>
        </w:trPr>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0" w:type="dxa"/>
            <w:vAlign w:val="bottom"/>
            <w:gridSpan w:val="15"/>
          </w:tcPr>
          <w:p>
            <w:pPr>
              <w:jc w:val="center"/>
              <w:ind w:right="820"/>
              <w:spacing w:after="0"/>
              <w:rPr>
                <w:sz w:val="20"/>
                <w:szCs w:val="20"/>
                <w:color w:val="auto"/>
              </w:rPr>
            </w:pPr>
            <w:r>
              <w:rPr>
                <w:rFonts w:ascii="Times New Roman" w:cs="Times New Roman" w:eastAsia="Times New Roman" w:hAnsi="Times New Roman"/>
                <w:sz w:val="18"/>
                <w:szCs w:val="18"/>
                <w:color w:val="auto"/>
                <w:w w:val="97"/>
              </w:rPr>
              <w:t>/S/ J. WALTER MCDOWELL</w:t>
            </w:r>
          </w:p>
        </w:tc>
        <w:tc>
          <w:tcPr>
            <w:tcW w:w="24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20, 2026</w:t>
            </w:r>
          </w:p>
        </w:tc>
      </w:tr>
      <w:tr>
        <w:trPr>
          <w:trHeight w:val="234"/>
        </w:trPr>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gridSpan w:val="7"/>
          </w:tcPr>
          <w:p>
            <w:pPr>
              <w:jc w:val="center"/>
              <w:ind w:right="240"/>
              <w:spacing w:after="0"/>
              <w:rPr>
                <w:sz w:val="20"/>
                <w:szCs w:val="20"/>
                <w:color w:val="auto"/>
              </w:rPr>
            </w:pPr>
            <w:r>
              <w:rPr>
                <w:rFonts w:ascii="Times New Roman" w:cs="Times New Roman" w:eastAsia="Times New Roman" w:hAnsi="Times New Roman"/>
                <w:sz w:val="18"/>
                <w:szCs w:val="18"/>
                <w:color w:val="auto"/>
                <w:w w:val="98"/>
              </w:rPr>
              <w:t>J. Walter McDowell</w:t>
            </w:r>
          </w:p>
        </w:tc>
        <w:tc>
          <w:tcPr>
            <w:tcW w:w="820" w:type="dxa"/>
            <w:vAlign w:val="bottom"/>
            <w:gridSpan w:val="5"/>
          </w:tcPr>
          <w:p>
            <w:pPr>
              <w:spacing w:after="0"/>
              <w:rPr>
                <w:sz w:val="20"/>
                <w:szCs w:val="20"/>
                <w:color w:val="auto"/>
              </w:rPr>
            </w:pPr>
          </w:p>
        </w:tc>
        <w:tc>
          <w:tcPr>
            <w:tcW w:w="24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387"/>
        </w:trPr>
        <w:tc>
          <w:tcPr>
            <w:tcW w:w="680" w:type="dxa"/>
            <w:vAlign w:val="bottom"/>
          </w:tcPr>
          <w:p>
            <w:pPr>
              <w:spacing w:after="0"/>
              <w:rPr>
                <w:sz w:val="24"/>
                <w:szCs w:val="24"/>
                <w:color w:val="auto"/>
              </w:rPr>
            </w:pPr>
          </w:p>
        </w:tc>
        <w:tc>
          <w:tcPr>
            <w:tcW w:w="2480" w:type="dxa"/>
            <w:vAlign w:val="bottom"/>
            <w:tcBorders>
              <w:bottom w:val="single" w:sz="8" w:color="auto"/>
            </w:tcBorders>
            <w:gridSpan w:val="18"/>
          </w:tcPr>
          <w:p>
            <w:pPr>
              <w:jc w:val="center"/>
              <w:spacing w:after="0"/>
              <w:rPr>
                <w:sz w:val="20"/>
                <w:szCs w:val="20"/>
                <w:color w:val="auto"/>
              </w:rPr>
            </w:pPr>
            <w:r>
              <w:rPr>
                <w:rFonts w:ascii="Times New Roman" w:cs="Times New Roman" w:eastAsia="Times New Roman" w:hAnsi="Times New Roman"/>
                <w:sz w:val="18"/>
                <w:szCs w:val="18"/>
                <w:color w:val="auto"/>
                <w:w w:val="98"/>
              </w:rPr>
              <w:t>/S/ WILLIAM C. WAMPLER, JR.</w:t>
            </w: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20, 2026</w:t>
            </w:r>
          </w:p>
        </w:tc>
      </w:tr>
      <w:tr>
        <w:trPr>
          <w:trHeight w:val="234"/>
        </w:trPr>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60" w:type="dxa"/>
            <w:vAlign w:val="bottom"/>
            <w:gridSpan w:val="13"/>
          </w:tcPr>
          <w:p>
            <w:pPr>
              <w:jc w:val="center"/>
              <w:ind w:right="940"/>
              <w:spacing w:after="0"/>
              <w:rPr>
                <w:sz w:val="20"/>
                <w:szCs w:val="20"/>
                <w:color w:val="auto"/>
              </w:rPr>
            </w:pPr>
            <w:r>
              <w:rPr>
                <w:rFonts w:ascii="Times New Roman" w:cs="Times New Roman" w:eastAsia="Times New Roman" w:hAnsi="Times New Roman"/>
                <w:sz w:val="18"/>
                <w:szCs w:val="18"/>
                <w:color w:val="auto"/>
                <w:w w:val="96"/>
              </w:rPr>
              <w:t>William C. Wampler, Jr.</w:t>
            </w:r>
          </w:p>
        </w:tc>
        <w:tc>
          <w:tcPr>
            <w:tcW w:w="24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387"/>
        </w:trPr>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80" w:type="dxa"/>
            <w:vAlign w:val="bottom"/>
            <w:gridSpan w:val="18"/>
          </w:tcPr>
          <w:p>
            <w:pPr>
              <w:jc w:val="center"/>
              <w:ind w:right="720"/>
              <w:spacing w:after="0"/>
              <w:rPr>
                <w:sz w:val="20"/>
                <w:szCs w:val="20"/>
                <w:color w:val="auto"/>
              </w:rPr>
            </w:pPr>
            <w:r>
              <w:rPr>
                <w:rFonts w:ascii="Times New Roman" w:cs="Times New Roman" w:eastAsia="Times New Roman" w:hAnsi="Times New Roman"/>
                <w:sz w:val="18"/>
                <w:szCs w:val="18"/>
                <w:color w:val="auto"/>
                <w:w w:val="97"/>
              </w:rPr>
              <w:t>/S/ WILLIAM C. WARDEN, JR.</w:t>
            </w:r>
          </w:p>
        </w:tc>
        <w:tc>
          <w:tcPr>
            <w:tcW w:w="24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20, 2026</w:t>
            </w:r>
          </w:p>
        </w:tc>
      </w:tr>
      <w:tr>
        <w:trPr>
          <w:trHeight w:val="234"/>
        </w:trPr>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gridSpan w:val="10"/>
          </w:tcPr>
          <w:p>
            <w:pPr>
              <w:jc w:val="center"/>
              <w:ind w:right="340"/>
              <w:spacing w:after="0"/>
              <w:rPr>
                <w:sz w:val="20"/>
                <w:szCs w:val="20"/>
                <w:color w:val="auto"/>
              </w:rPr>
            </w:pPr>
            <w:r>
              <w:rPr>
                <w:rFonts w:ascii="Times New Roman" w:cs="Times New Roman" w:eastAsia="Times New Roman" w:hAnsi="Times New Roman"/>
                <w:sz w:val="18"/>
                <w:szCs w:val="18"/>
                <w:color w:val="auto"/>
                <w:w w:val="97"/>
              </w:rPr>
              <w:t>William C. Warden, Jr.</w:t>
            </w:r>
          </w:p>
        </w:tc>
        <w:tc>
          <w:tcPr>
            <w:tcW w:w="720" w:type="dxa"/>
            <w:vAlign w:val="bottom"/>
            <w:gridSpan w:val="2"/>
          </w:tcPr>
          <w:p>
            <w:pPr>
              <w:spacing w:after="0"/>
              <w:rPr>
                <w:sz w:val="20"/>
                <w:szCs w:val="20"/>
                <w:color w:val="auto"/>
              </w:rPr>
            </w:pPr>
          </w:p>
        </w:tc>
        <w:tc>
          <w:tcPr>
            <w:tcW w:w="24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tcPr>
          <w:p>
            <w:pPr>
              <w:spacing w:after="0"/>
              <w:rPr>
                <w:sz w:val="20"/>
                <w:szCs w:val="20"/>
                <w:color w:val="auto"/>
              </w:rPr>
            </w:pPr>
          </w:p>
        </w:tc>
      </w:tr>
    </w:tbl>
    <w:p>
      <w:pPr>
        <w:sectPr>
          <w:pgSz w:w="11900" w:h="16838" w:orient="portrait"/>
          <w:cols w:equalWidth="0" w:num="1">
            <w:col w:w="11240"/>
          </w:cols>
          <w:pgMar w:left="320" w:top="571"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290195</wp:posOffset>
            </wp:positionV>
            <wp:extent cx="1696720" cy="280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696720" cy="280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20,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Bassett Furniture Industries, Incorporated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3525 Fairystone Park Highway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Bassett, Virginia 24055</w:t>
      </w:r>
    </w:p>
    <w:p>
      <w:pPr>
        <w:sectPr>
          <w:pgSz w:w="11900" w:h="16838" w:orient="portrait"/>
          <w:cols w:equalWidth="0" w:num="1">
            <w:col w:w="11240"/>
          </w:cols>
          <w:pgMar w:left="320" w:top="117" w:right="339" w:bottom="1440" w:gutter="0" w:footer="0" w:header="0"/>
        </w:sectPr>
      </w:pPr>
    </w:p>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Re:</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Statement on Form S-8</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200,000 Shares of Common Stock of Bassett Furniture Industries, Incorporated Pursuant to the Bassett Furniture Industries,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Incorporated 2017 Employee Stock Purchase Plan, as amended</w:t>
      </w:r>
    </w:p>
    <w:p>
      <w:pPr>
        <w:spacing w:after="0" w:line="200" w:lineRule="exact"/>
        <w:rPr>
          <w:sz w:val="20"/>
          <w:szCs w:val="20"/>
          <w:color w:val="auto"/>
        </w:rPr>
      </w:pPr>
    </w:p>
    <w:p>
      <w:pPr>
        <w:sectPr>
          <w:pgSz w:w="11900" w:h="16838" w:orient="portrait"/>
          <w:cols w:equalWidth="0" w:num="2">
            <w:col w:w="920" w:space="360"/>
            <w:col w:w="9960"/>
          </w:cols>
          <w:pgMar w:left="320" w:top="117" w:right="3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0" w:lineRule="exact"/>
        <w:rPr>
          <w:sz w:val="20"/>
          <w:szCs w:val="20"/>
          <w:color w:val="auto"/>
        </w:rPr>
      </w:pPr>
    </w:p>
    <w:p>
      <w:pPr>
        <w:jc w:val="both"/>
        <w:ind w:firstLine="410"/>
        <w:spacing w:after="0" w:line="253" w:lineRule="auto"/>
        <w:rPr>
          <w:sz w:val="20"/>
          <w:szCs w:val="20"/>
          <w:color w:val="auto"/>
        </w:rPr>
      </w:pPr>
      <w:r>
        <w:rPr>
          <w:rFonts w:ascii="Times New Roman" w:cs="Times New Roman" w:eastAsia="Times New Roman" w:hAnsi="Times New Roman"/>
          <w:sz w:val="18"/>
          <w:szCs w:val="18"/>
          <w:color w:val="auto"/>
        </w:rPr>
        <w:t>We have acted as special counsel to Bassett Furniture Industries, Incorporated, a Virginia corporation (the “Corporation”), in connection with the preparation and filing of a Registration Statement on Form S-8 (the “Registration Statement”) that is being filed on the date hereof with the Securities and Exchange Commission by the Corporation pursuant to the Securities Act of 1933, as amended (the “Securities Act”), relating to the registration of 200,000 shares (the “Shares”) of the Corporation’s common stock, par value $5.00 per share, which may be issued pursuant to the Bassett Furniture Industries, Incorporated 2017 Employee Stock Purchase Plan, as amended (the “Plan”). This opinion is being furnished in accordance with the requirements of Item 601(b)(5) of Regulation S-K under the Securities Act.</w:t>
      </w:r>
    </w:p>
    <w:p>
      <w:pPr>
        <w:spacing w:after="0" w:line="187" w:lineRule="exact"/>
        <w:rPr>
          <w:sz w:val="20"/>
          <w:szCs w:val="20"/>
          <w:color w:val="auto"/>
        </w:rPr>
      </w:pPr>
    </w:p>
    <w:p>
      <w:pPr>
        <w:jc w:val="both"/>
        <w:ind w:firstLine="641"/>
        <w:spacing w:after="0" w:line="266" w:lineRule="auto"/>
        <w:rPr>
          <w:sz w:val="20"/>
          <w:szCs w:val="20"/>
          <w:color w:val="auto"/>
        </w:rPr>
      </w:pPr>
      <w:r>
        <w:rPr>
          <w:rFonts w:ascii="Times New Roman" w:cs="Times New Roman" w:eastAsia="Times New Roman" w:hAnsi="Times New Roman"/>
          <w:sz w:val="17"/>
          <w:szCs w:val="17"/>
          <w:color w:val="auto"/>
        </w:rPr>
        <w:t>In rendering the opinion set forth below, we have examined such corporate records and other documents, including the Registration Statement, the Corporation’s Certificate of Incorporation (as amended), the Corporation’s Bylaws (as amended) and a copy of the Plan in the form included as Exhibit A to the Corporation’s Definitive Proxy Statement on Schedule 14A filed with the Securities and Exchange Commission on February 11, 2026 (the “Proxy Statement”), certificates of officers of the Corporation and of public officials, and other documents and records, as we have considered relevant and necessary as a basis for this opinion. In our examination, we have assumed, without independent investigation, the legal capacity and competency of all natural persons, the genuineness of all signatures on, and the authenticity of, all documents submitted to us as originals and the conformity to original documents of all documents submitted to us as copies, and the authenticity of the originals of such copies, and, to the extent we have received and relied upon certificates of the Corporation or authorized representatives thereof and certificates and assurances from public officials, all of such certificates, representations and assurances are accurate with respect to factual matters. We have also assumed that the Plan included as Exhibit A to the Proxy Statement is complete and correct, that there are no agreements or understandings between or among the Corporation and any participants in the Plan that would expand, modify or otherwise affect the terms or the respective rights or obligations of the participants thereunder, that the Plan is and will be administered in accordance with its terms, and that the Registration Statement has become effective and remains effective at the time of the issuance of the Shares.</w:t>
      </w:r>
    </w:p>
    <w:p>
      <w:pPr>
        <w:spacing w:after="0" w:line="179"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8"/>
          <w:szCs w:val="18"/>
          <w:color w:val="auto"/>
        </w:rPr>
        <w:t>Based solely on the foregoing, and in reliance thereon, we are of the opinion that the Shares have been validly authorized and, when issued, delivered and paid for in accordance with and upon the terms and conditions of the Plan, will be validly issued, fully paid and non-assessable.</w:t>
      </w:r>
    </w:p>
    <w:p>
      <w:pPr>
        <w:spacing w:after="0" w:line="163"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7"/>
          <w:szCs w:val="17"/>
          <w:color w:val="auto"/>
        </w:rPr>
        <w:t>In rendering this opinion, we are not expressing an opinion as to any matters governed by the laws of any jurisdiction other than the Commonwealth of Virginia, and we assume no responsibility as to the applicability of the laws of any other jurisdiction to the Shares or to the effects of such laws, including federal or state securities laws, thereon. This opinion letter is rendered as of the date hereof, and we disclaim any obligation to advise you of facts, circumstances, events or developments that hereafter may be brought to our attention and that may alter, affect or modify the opinion express herein.</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McGuireWoods LLP | www.mcguirewoods.com</w:t>
      </w:r>
    </w:p>
    <w:p>
      <w:pPr>
        <w:jc w:val="center"/>
        <w:ind w:right="-139"/>
        <w:spacing w:after="0" w:line="224" w:lineRule="auto"/>
        <w:rPr>
          <w:sz w:val="20"/>
          <w:szCs w:val="20"/>
          <w:color w:val="auto"/>
        </w:rPr>
      </w:pPr>
      <w:r>
        <w:rPr>
          <w:rFonts w:ascii="Times New Roman" w:cs="Times New Roman" w:eastAsia="Times New Roman" w:hAnsi="Times New Roman"/>
          <w:sz w:val="14"/>
          <w:szCs w:val="14"/>
          <w:color w:val="auto"/>
        </w:rPr>
        <w:t>Atlanta | Austin | Baltimore | Charlotte | Charlottesville | Chicago | Dallas | Houston | Jacksonville | London | Los Angeles - Century City | New York |</w:t>
      </w:r>
    </w:p>
    <w:p>
      <w:pPr>
        <w:spacing w:after="0" w:line="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Norfolk | Pittsburgh | Raleigh | Richmond | San Francisco | Seattle | Tysons | Washington, D.C.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62865</wp:posOffset>
            </wp:positionV>
            <wp:extent cx="71335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 w:name="page7"/>
    <w:bookmarkEnd w:id="6"/>
    <w:p>
      <w:pPr>
        <w:ind w:left="140"/>
        <w:spacing w:after="0"/>
        <w:rPr>
          <w:sz w:val="20"/>
          <w:szCs w:val="20"/>
          <w:color w:val="auto"/>
        </w:rPr>
      </w:pPr>
      <w:r>
        <w:rPr>
          <w:rFonts w:ascii="Times New Roman" w:cs="Times New Roman" w:eastAsia="Times New Roman" w:hAnsi="Times New Roman"/>
          <w:sz w:val="18"/>
          <w:szCs w:val="18"/>
          <w:color w:val="auto"/>
        </w:rPr>
        <w:t>Bassett Furniture Industries, Incorporated</w:t>
      </w:r>
    </w:p>
    <w:p>
      <w:pPr>
        <w:spacing w:after="0" w:line="2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March 20, 2026</w:t>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Page 2</w:t>
      </w:r>
    </w:p>
    <w:p>
      <w:pPr>
        <w:spacing w:after="0" w:line="200" w:lineRule="exact"/>
        <w:rPr>
          <w:sz w:val="20"/>
          <w:szCs w:val="20"/>
          <w:color w:val="auto"/>
        </w:rPr>
      </w:pPr>
    </w:p>
    <w:p>
      <w:pPr>
        <w:spacing w:after="0" w:line="215"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The foregoing opinion is being furnished only for the purpose referred to in the first paragraph of this opinion letter. We hereby consent to being named in the Registration Statement as attorneys who passed upon the legality of the Shares and to the filing of a copy of this opinion as Exhibit 5(a) to the Registration Statement. In giving this consent, we do not admit that we are within the category of persons whose consent is required by Section 7 of the Securities Act or the rules and regulations promulgated thereunder.</w:t>
      </w:r>
    </w:p>
    <w:p>
      <w:pPr>
        <w:spacing w:after="0" w:line="18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MCGUIREWOODS LLP</w:t>
      </w:r>
    </w:p>
    <w:p>
      <w:pPr>
        <w:sectPr>
          <w:pgSz w:w="11900" w:h="16838" w:orient="portrait"/>
          <w:cols w:equalWidth="0" w:num="1">
            <w:col w:w="11240"/>
          </w:cols>
          <w:pgMar w:left="320" w:top="121"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4"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color w:val="auto"/>
        </w:rPr>
        <w:t>We have issued our reports dated February 5, 2026 with respect to the consolidated financial statements and internal control over financial reporting of Bassett Furniture Industries, Incorporated included in the Annual Report on Form 10-K for the year ended November 29, 2025, which are incorporated by reference in this Registration Statement. We consent to the incorporation by reference of the aforementioned reports in this Registration Statement.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North Carolina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20, 2026</w:t>
      </w:r>
    </w:p>
    <w:p>
      <w:pPr>
        <w:sectPr>
          <w:pgSz w:w="11900" w:h="16838" w:orient="portrait"/>
          <w:cols w:equalWidth="0" w:num="1">
            <w:col w:w="11240"/>
          </w:cols>
          <w:pgMar w:left="320" w:top="117"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23.3</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0"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(Form S-8) pertaining to the Employee Stock Purchase Plan of Bassett Furniture Industries, Inc. of our report dated February 10, 2025, with respect to the consolidated financial statements of Bassett Furniture Industries, Inc. included in its Annual Report (Form 10-K) for the year ended November 29, 2025, filed with the Securities and Exchange Commission.</w:t>
      </w:r>
    </w:p>
    <w:p>
      <w:pPr>
        <w:spacing w:after="0" w:line="1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Richmond, VA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20, 2026</w:t>
      </w:r>
    </w:p>
    <w:p>
      <w:pPr>
        <w:sectPr>
          <w:pgSz w:w="11900" w:h="16838" w:orient="portrait"/>
          <w:cols w:equalWidth="0" w:num="1">
            <w:col w:w="11240"/>
          </w:cols>
          <w:pgMar w:left="320" w:top="117" w:right="339" w:bottom="1440" w:gutter="0" w:footer="0" w:header="0"/>
        </w:sectPr>
      </w:pPr>
    </w:p>
    <w:bookmarkStart w:id="9" w:name="page10"/>
    <w:bookmarkEnd w:id="9"/>
    <w:p>
      <w:pPr>
        <w:ind w:left="286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524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jc w:val="center"/>
        <w:ind w:right="220"/>
        <w:spacing w:after="0"/>
        <w:rPr>
          <w:sz w:val="20"/>
          <w:szCs w:val="20"/>
          <w:color w:val="auto"/>
        </w:rPr>
      </w:pPr>
      <w:r>
        <w:rPr>
          <w:rFonts w:ascii="Arial" w:cs="Arial" w:eastAsia="Arial" w:hAnsi="Arial"/>
          <w:sz w:val="36"/>
          <w:szCs w:val="36"/>
          <w:b w:val="1"/>
          <w:bCs w:val="1"/>
          <w:color w:val="auto"/>
        </w:rPr>
        <w:t>BASSETT FURNITURE INDUSTRIES INC</w:t>
      </w:r>
    </w:p>
    <w:p>
      <w:pPr>
        <w:spacing w:after="0" w:line="156"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36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48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0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40" w:type="dxa"/>
            <w:vAlign w:val="bottom"/>
          </w:tcPr>
          <w:p>
            <w:pPr>
              <w:spacing w:after="0"/>
              <w:rPr>
                <w:sz w:val="19"/>
                <w:szCs w:val="19"/>
                <w:color w:val="auto"/>
              </w:rPr>
            </w:pPr>
          </w:p>
        </w:tc>
        <w:tc>
          <w:tcPr>
            <w:tcW w:w="148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r>
      <w:tr>
        <w:trPr>
          <w:trHeight w:val="336"/>
        </w:trPr>
        <w:tc>
          <w:tcPr>
            <w:tcW w:w="40" w:type="dxa"/>
            <w:vAlign w:val="bottom"/>
            <w:tcBorders>
              <w:left w:val="single" w:sz="8" w:color="auto"/>
            </w:tcBorders>
          </w:tcPr>
          <w:p>
            <w:pPr>
              <w:spacing w:after="0"/>
              <w:rPr>
                <w:sz w:val="24"/>
                <w:szCs w:val="24"/>
                <w:color w:val="auto"/>
              </w:rPr>
            </w:pPr>
          </w:p>
        </w:tc>
        <w:tc>
          <w:tcPr>
            <w:tcW w:w="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12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20" w:type="dxa"/>
            <w:vAlign w:val="bottom"/>
          </w:tcPr>
          <w:p>
            <w:pPr>
              <w:spacing w:after="0"/>
              <w:rPr>
                <w:sz w:val="24"/>
                <w:szCs w:val="24"/>
                <w:color w:val="auto"/>
              </w:rPr>
            </w:pPr>
          </w:p>
        </w:tc>
        <w:tc>
          <w:tcPr>
            <w:tcW w:w="1140" w:type="dxa"/>
            <w:vAlign w:val="bottom"/>
            <w:shd w:val="clear" w:color="auto" w:fill="9ADAF6"/>
          </w:tcPr>
          <w:p>
            <w:pPr>
              <w:jc w:val="right"/>
              <w:ind w:right="73"/>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24"/>
                <w:szCs w:val="24"/>
                <w:color w:val="auto"/>
              </w:rPr>
            </w:pPr>
          </w:p>
        </w:tc>
        <w:tc>
          <w:tcPr>
            <w:tcW w:w="13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40" w:type="dxa"/>
            <w:vAlign w:val="bottom"/>
          </w:tcPr>
          <w:p>
            <w:pPr>
              <w:spacing w:after="0"/>
              <w:rPr>
                <w:sz w:val="24"/>
                <w:szCs w:val="24"/>
                <w:color w:val="auto"/>
              </w:rPr>
            </w:pPr>
          </w:p>
        </w:tc>
        <w:tc>
          <w:tcPr>
            <w:tcW w:w="14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4"/>
                <w:szCs w:val="24"/>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Type</w:t>
            </w: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Class</w:t>
            </w:r>
          </w:p>
        </w:tc>
        <w:tc>
          <w:tcPr>
            <w:tcW w:w="20" w:type="dxa"/>
            <w:vAlign w:val="bottom"/>
          </w:tcPr>
          <w:p>
            <w:pPr>
              <w:spacing w:after="0"/>
              <w:rPr>
                <w:sz w:val="20"/>
                <w:szCs w:val="20"/>
                <w:color w:val="auto"/>
              </w:rPr>
            </w:pPr>
          </w:p>
        </w:tc>
        <w:tc>
          <w:tcPr>
            <w:tcW w:w="12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Calculation</w:t>
            </w:r>
          </w:p>
        </w:tc>
        <w:tc>
          <w:tcPr>
            <w:tcW w:w="20" w:type="dxa"/>
            <w:vAlign w:val="bottom"/>
          </w:tcPr>
          <w:p>
            <w:pPr>
              <w:spacing w:after="0"/>
              <w:rPr>
                <w:sz w:val="20"/>
                <w:szCs w:val="20"/>
                <w:color w:val="auto"/>
              </w:rPr>
            </w:pPr>
          </w:p>
        </w:tc>
        <w:tc>
          <w:tcPr>
            <w:tcW w:w="1140" w:type="dxa"/>
            <w:vAlign w:val="bottom"/>
            <w:shd w:val="clear" w:color="auto" w:fill="9ADAF6"/>
          </w:tcPr>
          <w:p>
            <w:pPr>
              <w:jc w:val="right"/>
              <w:spacing w:after="0" w:line="240" w:lineRule="exact"/>
              <w:rPr>
                <w:sz w:val="20"/>
                <w:szCs w:val="20"/>
                <w:color w:val="auto"/>
              </w:rPr>
            </w:pPr>
            <w:r>
              <w:rPr>
                <w:rFonts w:ascii="Arial" w:cs="Arial" w:eastAsia="Arial" w:hAnsi="Arial"/>
                <w:sz w:val="21"/>
                <w:szCs w:val="21"/>
                <w:b w:val="1"/>
                <w:bCs w:val="1"/>
                <w:color w:val="auto"/>
              </w:rPr>
              <w:t>Registered</w:t>
            </w:r>
          </w:p>
        </w:tc>
        <w:tc>
          <w:tcPr>
            <w:tcW w:w="20" w:type="dxa"/>
            <w:vAlign w:val="bottom"/>
          </w:tcPr>
          <w:p>
            <w:pPr>
              <w:spacing w:after="0"/>
              <w:rPr>
                <w:sz w:val="20"/>
                <w:szCs w:val="20"/>
                <w:color w:val="auto"/>
              </w:rPr>
            </w:pPr>
          </w:p>
        </w:tc>
        <w:tc>
          <w:tcPr>
            <w:tcW w:w="13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40" w:type="dxa"/>
            <w:vAlign w:val="bottom"/>
          </w:tcPr>
          <w:p>
            <w:pPr>
              <w:spacing w:after="0"/>
              <w:rPr>
                <w:sz w:val="20"/>
                <w:szCs w:val="20"/>
                <w:color w:val="auto"/>
              </w:rPr>
            </w:pPr>
          </w:p>
        </w:tc>
        <w:tc>
          <w:tcPr>
            <w:tcW w:w="14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40" w:type="dxa"/>
            <w:vAlign w:val="bottom"/>
          </w:tcPr>
          <w:p>
            <w:pPr>
              <w:spacing w:after="0"/>
              <w:rPr>
                <w:sz w:val="20"/>
                <w:szCs w:val="20"/>
                <w:color w:val="auto"/>
              </w:rPr>
            </w:pPr>
          </w:p>
        </w:tc>
        <w:tc>
          <w:tcPr>
            <w:tcW w:w="10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Fee Rate</w:t>
            </w:r>
          </w:p>
        </w:tc>
        <w:tc>
          <w:tcPr>
            <w:tcW w:w="20" w:type="dxa"/>
            <w:vAlign w:val="bottom"/>
          </w:tcPr>
          <w:p>
            <w:pPr>
              <w:spacing w:after="0"/>
              <w:rPr>
                <w:sz w:val="20"/>
                <w:szCs w:val="20"/>
                <w:color w:val="auto"/>
              </w:rPr>
            </w:pPr>
          </w:p>
        </w:tc>
        <w:tc>
          <w:tcPr>
            <w:tcW w:w="15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20"/>
                <w:szCs w:val="20"/>
                <w:color w:val="auto"/>
              </w:rPr>
            </w:pPr>
          </w:p>
        </w:tc>
      </w:tr>
      <w:tr>
        <w:trPr>
          <w:trHeight w:val="145"/>
        </w:trPr>
        <w:tc>
          <w:tcPr>
            <w:tcW w:w="40" w:type="dxa"/>
            <w:vAlign w:val="bottom"/>
            <w:tcBorders>
              <w:left w:val="single" w:sz="8" w:color="auto"/>
            </w:tcBorders>
          </w:tcPr>
          <w:p>
            <w:pPr>
              <w:spacing w:after="0"/>
              <w:rPr>
                <w:sz w:val="12"/>
                <w:szCs w:val="12"/>
                <w:color w:val="auto"/>
              </w:rPr>
            </w:pPr>
          </w:p>
        </w:tc>
        <w:tc>
          <w:tcPr>
            <w:tcW w:w="1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Title</w:t>
            </w:r>
          </w:p>
        </w:tc>
        <w:tc>
          <w:tcPr>
            <w:tcW w:w="20" w:type="dxa"/>
            <w:vAlign w:val="bottom"/>
          </w:tcPr>
          <w:p>
            <w:pPr>
              <w:spacing w:after="0"/>
              <w:rPr>
                <w:sz w:val="12"/>
                <w:szCs w:val="12"/>
                <w:color w:val="auto"/>
              </w:rPr>
            </w:pPr>
          </w:p>
        </w:tc>
        <w:tc>
          <w:tcPr>
            <w:tcW w:w="120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Rule</w:t>
            </w:r>
          </w:p>
        </w:tc>
        <w:tc>
          <w:tcPr>
            <w:tcW w:w="20" w:type="dxa"/>
            <w:vAlign w:val="bottom"/>
          </w:tcPr>
          <w:p>
            <w:pPr>
              <w:spacing w:after="0"/>
              <w:rPr>
                <w:sz w:val="12"/>
                <w:szCs w:val="12"/>
                <w:color w:val="auto"/>
              </w:rPr>
            </w:pPr>
          </w:p>
        </w:tc>
        <w:tc>
          <w:tcPr>
            <w:tcW w:w="11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Price Per</w:t>
            </w:r>
          </w:p>
        </w:tc>
        <w:tc>
          <w:tcPr>
            <w:tcW w:w="40" w:type="dxa"/>
            <w:vAlign w:val="bottom"/>
          </w:tcPr>
          <w:p>
            <w:pPr>
              <w:spacing w:after="0"/>
              <w:rPr>
                <w:sz w:val="12"/>
                <w:szCs w:val="12"/>
                <w:color w:val="auto"/>
              </w:rPr>
            </w:pPr>
          </w:p>
        </w:tc>
        <w:tc>
          <w:tcPr>
            <w:tcW w:w="14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Offering Price</w:t>
            </w:r>
          </w:p>
        </w:tc>
        <w:tc>
          <w:tcPr>
            <w:tcW w:w="40" w:type="dxa"/>
            <w:vAlign w:val="bottom"/>
          </w:tcPr>
          <w:p>
            <w:pPr>
              <w:spacing w:after="0"/>
              <w:rPr>
                <w:sz w:val="12"/>
                <w:szCs w:val="12"/>
                <w:color w:val="auto"/>
              </w:rPr>
            </w:pPr>
          </w:p>
        </w:tc>
        <w:tc>
          <w:tcPr>
            <w:tcW w:w="10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Fee</w:t>
            </w:r>
          </w:p>
        </w:tc>
        <w:tc>
          <w:tcPr>
            <w:tcW w:w="40" w:type="dxa"/>
            <w:vAlign w:val="bottom"/>
            <w:tcBorders>
              <w:right w:val="single" w:sz="8" w:color="auto"/>
            </w:tcBorders>
          </w:tcPr>
          <w:p>
            <w:pPr>
              <w:spacing w:after="0"/>
              <w:rPr>
                <w:sz w:val="12"/>
                <w:szCs w:val="12"/>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Unit</w:t>
            </w:r>
          </w:p>
        </w:tc>
        <w:tc>
          <w:tcPr>
            <w:tcW w:w="40" w:type="dxa"/>
            <w:vAlign w:val="bottom"/>
          </w:tcPr>
          <w:p>
            <w:pPr>
              <w:spacing w:after="0"/>
              <w:rPr>
                <w:sz w:val="24"/>
                <w:szCs w:val="24"/>
                <w:color w:val="auto"/>
              </w:rPr>
            </w:pPr>
          </w:p>
        </w:tc>
        <w:tc>
          <w:tcPr>
            <w:tcW w:w="148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line="227" w:lineRule="exact"/>
              <w:rPr>
                <w:sz w:val="20"/>
                <w:szCs w:val="20"/>
                <w:color w:val="auto"/>
              </w:rPr>
            </w:pPr>
            <w:r>
              <w:rPr>
                <w:rFonts w:ascii="Arial" w:cs="Arial" w:eastAsia="Arial" w:hAnsi="Arial"/>
                <w:sz w:val="21"/>
                <w:szCs w:val="21"/>
                <w:color w:val="auto"/>
              </w:rPr>
              <w:t>Common</w:t>
            </w: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4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Stock,</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1</w:t>
            </w:r>
          </w:p>
        </w:tc>
        <w:tc>
          <w:tcPr>
            <w:tcW w:w="20" w:type="dxa"/>
            <w:vAlign w:val="bottom"/>
          </w:tcPr>
          <w:p>
            <w:pPr>
              <w:spacing w:after="0"/>
              <w:rPr>
                <w:sz w:val="20"/>
                <w:szCs w:val="20"/>
                <w:color w:val="auto"/>
              </w:rPr>
            </w:pPr>
          </w:p>
        </w:tc>
        <w:tc>
          <w:tcPr>
            <w:tcW w:w="9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Equity</w:t>
            </w:r>
          </w:p>
        </w:tc>
        <w:tc>
          <w:tcPr>
            <w:tcW w:w="20" w:type="dxa"/>
            <w:vAlign w:val="bottom"/>
          </w:tcPr>
          <w:p>
            <w:pPr>
              <w:spacing w:after="0"/>
              <w:rPr>
                <w:sz w:val="20"/>
                <w:szCs w:val="20"/>
                <w:color w:val="auto"/>
              </w:rPr>
            </w:pPr>
          </w:p>
        </w:tc>
        <w:tc>
          <w:tcPr>
            <w:tcW w:w="9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par value</w:t>
            </w:r>
          </w:p>
        </w:tc>
        <w:tc>
          <w:tcPr>
            <w:tcW w:w="20" w:type="dxa"/>
            <w:vAlign w:val="bottom"/>
          </w:tcPr>
          <w:p>
            <w:pPr>
              <w:spacing w:after="0"/>
              <w:rPr>
                <w:sz w:val="20"/>
                <w:szCs w:val="20"/>
                <w:color w:val="auto"/>
              </w:rPr>
            </w:pPr>
          </w:p>
        </w:tc>
        <w:tc>
          <w:tcPr>
            <w:tcW w:w="1200" w:type="dxa"/>
            <w:vAlign w:val="bottom"/>
            <w:shd w:val="clear" w:color="auto" w:fill="E7E7E2"/>
          </w:tcPr>
          <w:p>
            <w:pPr>
              <w:jc w:val="center"/>
              <w:spacing w:after="0" w:line="240" w:lineRule="exact"/>
              <w:rPr>
                <w:sz w:val="20"/>
                <w:szCs w:val="20"/>
                <w:color w:val="auto"/>
              </w:rPr>
            </w:pPr>
            <w:r>
              <w:rPr>
                <w:rFonts w:ascii="Arial" w:cs="Arial" w:eastAsia="Arial" w:hAnsi="Arial"/>
                <w:sz w:val="21"/>
                <w:szCs w:val="21"/>
                <w:color w:val="auto"/>
              </w:rPr>
              <w:t>Other</w:t>
            </w:r>
          </w:p>
        </w:tc>
        <w:tc>
          <w:tcPr>
            <w:tcW w:w="20" w:type="dxa"/>
            <w:vAlign w:val="bottom"/>
          </w:tcPr>
          <w:p>
            <w:pPr>
              <w:spacing w:after="0"/>
              <w:rPr>
                <w:sz w:val="20"/>
                <w:szCs w:val="20"/>
                <w:color w:val="auto"/>
              </w:rPr>
            </w:pPr>
          </w:p>
        </w:tc>
        <w:tc>
          <w:tcPr>
            <w:tcW w:w="114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200,000</w:t>
            </w:r>
          </w:p>
        </w:tc>
        <w:tc>
          <w:tcPr>
            <w:tcW w:w="20" w:type="dxa"/>
            <w:vAlign w:val="bottom"/>
          </w:tcPr>
          <w:p>
            <w:pPr>
              <w:spacing w:after="0"/>
              <w:rPr>
                <w:sz w:val="20"/>
                <w:szCs w:val="20"/>
                <w:color w:val="auto"/>
              </w:rPr>
            </w:pPr>
          </w:p>
        </w:tc>
        <w:tc>
          <w:tcPr>
            <w:tcW w:w="136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$ 13.90</w:t>
            </w:r>
          </w:p>
        </w:tc>
        <w:tc>
          <w:tcPr>
            <w:tcW w:w="40" w:type="dxa"/>
            <w:vAlign w:val="bottom"/>
          </w:tcPr>
          <w:p>
            <w:pPr>
              <w:spacing w:after="0"/>
              <w:rPr>
                <w:sz w:val="20"/>
                <w:szCs w:val="20"/>
                <w:color w:val="auto"/>
              </w:rPr>
            </w:pPr>
          </w:p>
        </w:tc>
        <w:tc>
          <w:tcPr>
            <w:tcW w:w="1480" w:type="dxa"/>
            <w:vAlign w:val="bottom"/>
            <w:shd w:val="clear" w:color="auto" w:fill="E7E7E2"/>
          </w:tcPr>
          <w:p>
            <w:pPr>
              <w:jc w:val="center"/>
              <w:spacing w:after="0" w:line="240" w:lineRule="exact"/>
              <w:rPr>
                <w:sz w:val="20"/>
                <w:szCs w:val="20"/>
                <w:color w:val="auto"/>
              </w:rPr>
            </w:pPr>
            <w:r>
              <w:rPr>
                <w:rFonts w:ascii="Arial" w:cs="Arial" w:eastAsia="Arial" w:hAnsi="Arial"/>
                <w:sz w:val="21"/>
                <w:szCs w:val="21"/>
                <w:color w:val="auto"/>
              </w:rPr>
              <w:t>$ 2,780,000.00</w:t>
            </w:r>
          </w:p>
        </w:tc>
        <w:tc>
          <w:tcPr>
            <w:tcW w:w="40" w:type="dxa"/>
            <w:vAlign w:val="bottom"/>
          </w:tcPr>
          <w:p>
            <w:pPr>
              <w:spacing w:after="0"/>
              <w:rPr>
                <w:sz w:val="20"/>
                <w:szCs w:val="20"/>
                <w:color w:val="auto"/>
              </w:rPr>
            </w:pPr>
          </w:p>
        </w:tc>
        <w:tc>
          <w:tcPr>
            <w:tcW w:w="104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20"/>
                <w:szCs w:val="20"/>
                <w:color w:val="auto"/>
              </w:rPr>
            </w:pPr>
          </w:p>
        </w:tc>
        <w:tc>
          <w:tcPr>
            <w:tcW w:w="150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$ 383.92</w:t>
            </w:r>
          </w:p>
        </w:tc>
        <w:tc>
          <w:tcPr>
            <w:tcW w:w="40" w:type="dxa"/>
            <w:vAlign w:val="bottom"/>
            <w:tcBorders>
              <w:right w:val="single" w:sz="8" w:color="auto"/>
            </w:tcBorders>
          </w:tcPr>
          <w:p>
            <w:pPr>
              <w:spacing w:after="0"/>
              <w:rPr>
                <w:sz w:val="20"/>
                <w:szCs w:val="20"/>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$5.00 per</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0"/>
                <w:szCs w:val="20"/>
                <w:color w:val="auto"/>
              </w:rPr>
            </w:pPr>
            <w:r>
              <w:rPr>
                <w:rFonts w:ascii="Arial" w:cs="Arial" w:eastAsia="Arial" w:hAnsi="Arial"/>
                <w:sz w:val="21"/>
                <w:szCs w:val="21"/>
                <w:color w:val="auto"/>
              </w:rPr>
              <w:t>share</w:t>
            </w:r>
          </w:p>
        </w:tc>
        <w:tc>
          <w:tcPr>
            <w:tcW w:w="20" w:type="dxa"/>
            <w:vAlign w:val="bottom"/>
          </w:tcPr>
          <w:p>
            <w:pPr>
              <w:spacing w:after="0"/>
              <w:rPr>
                <w:sz w:val="24"/>
                <w:szCs w:val="24"/>
                <w:color w:val="auto"/>
              </w:rPr>
            </w:pPr>
          </w:p>
        </w:tc>
        <w:tc>
          <w:tcPr>
            <w:tcW w:w="12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r>
      <w:tr>
        <w:trPr>
          <w:trHeight w:val="295"/>
        </w:trPr>
        <w:tc>
          <w:tcPr>
            <w:tcW w:w="4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20" w:type="dxa"/>
            <w:vAlign w:val="bottom"/>
            <w:gridSpan w:val="2"/>
          </w:tcPr>
          <w:p>
            <w:pPr>
              <w:jc w:val="center"/>
              <w:spacing w:after="0"/>
              <w:rPr>
                <w:sz w:val="20"/>
                <w:szCs w:val="20"/>
                <w:color w:val="auto"/>
              </w:rPr>
            </w:pPr>
            <w:r>
              <w:rPr>
                <w:rFonts w:ascii="Arial" w:cs="Arial" w:eastAsia="Arial" w:hAnsi="Arial"/>
                <w:sz w:val="21"/>
                <w:szCs w:val="21"/>
                <w:color w:val="auto"/>
              </w:rPr>
              <w:t>$ 2,780,000.00</w:t>
            </w: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$ 383.92</w:t>
            </w:r>
          </w:p>
        </w:tc>
        <w:tc>
          <w:tcPr>
            <w:tcW w:w="40" w:type="dxa"/>
            <w:vAlign w:val="bottom"/>
            <w:tcBorders>
              <w:right w:val="single" w:sz="8" w:color="auto"/>
            </w:tcBorders>
          </w:tcPr>
          <w:p>
            <w:pPr>
              <w:spacing w:after="0"/>
              <w:rPr>
                <w:sz w:val="24"/>
                <w:szCs w:val="24"/>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$ 383.92</w:t>
            </w:r>
          </w:p>
        </w:tc>
        <w:tc>
          <w:tcPr>
            <w:tcW w:w="40" w:type="dxa"/>
            <w:vAlign w:val="bottom"/>
            <w:tcBorders>
              <w:right w:val="single" w:sz="8" w:color="auto"/>
            </w:tcBorders>
          </w:tcPr>
          <w:p>
            <w:pPr>
              <w:spacing w:after="0"/>
              <w:rPr>
                <w:sz w:val="24"/>
                <w:szCs w:val="24"/>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bl>
    <w:p>
      <w:pPr>
        <w:spacing w:after="0" w:line="276"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auto"/>
        </w:rPr>
        <w:t>Offering Note</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3"/>
          <w:szCs w:val="13"/>
          <w:color w:val="auto"/>
        </w:rPr>
        <w:t>1</w:t>
      </w:r>
    </w:p>
    <w:p>
      <w:pPr>
        <w:spacing w:after="0" w:line="77" w:lineRule="exact"/>
        <w:rPr>
          <w:sz w:val="20"/>
          <w:szCs w:val="20"/>
          <w:color w:val="auto"/>
        </w:rPr>
      </w:pPr>
    </w:p>
    <w:p>
      <w:pPr>
        <w:ind w:left="800" w:right="680" w:firstLine="2"/>
        <w:spacing w:after="0" w:line="242" w:lineRule="auto"/>
        <w:tabs>
          <w:tab w:leader="none" w:pos="1121" w:val="left"/>
        </w:tabs>
        <w:numPr>
          <w:ilvl w:val="0"/>
          <w:numId w:val="3"/>
        </w:numPr>
        <w:rPr>
          <w:rFonts w:ascii="Arial" w:cs="Arial" w:eastAsia="Arial" w:hAnsi="Arial"/>
          <w:sz w:val="21"/>
          <w:szCs w:val="21"/>
          <w:color w:val="auto"/>
        </w:rPr>
      </w:pPr>
      <w:r>
        <w:rPr>
          <w:rFonts w:ascii="Arial" w:cs="Arial" w:eastAsia="Arial" w:hAnsi="Arial"/>
          <w:sz w:val="21"/>
          <w:szCs w:val="21"/>
          <w:color w:val="auto"/>
        </w:rPr>
        <w:t>Pursuant to Rule 416 under the Securities Act of 1933, as amended (the "Securities Act"), this Registration Statement also covers any additional shares of Common Stock, par value $5.00 per share, of Bassett Furniture Industries, Incorporated, that may become issuable in respect of the securities identified in the above table by reason of any stock dividend, stock split, recapitalization or any other similar transaction.</w:t>
      </w:r>
    </w:p>
    <w:p>
      <w:pPr>
        <w:spacing w:after="0" w:line="4" w:lineRule="exact"/>
        <w:rPr>
          <w:rFonts w:ascii="Arial" w:cs="Arial" w:eastAsia="Arial" w:hAnsi="Arial"/>
          <w:sz w:val="21"/>
          <w:szCs w:val="21"/>
          <w:color w:val="auto"/>
        </w:rPr>
      </w:pPr>
    </w:p>
    <w:p>
      <w:pPr>
        <w:jc w:val="both"/>
        <w:ind w:left="800" w:right="980" w:firstLine="2"/>
        <w:spacing w:after="0" w:line="248" w:lineRule="auto"/>
        <w:tabs>
          <w:tab w:leader="none" w:pos="1121" w:val="left"/>
        </w:tabs>
        <w:numPr>
          <w:ilvl w:val="0"/>
          <w:numId w:val="3"/>
        </w:numPr>
        <w:rPr>
          <w:rFonts w:ascii="Arial" w:cs="Arial" w:eastAsia="Arial" w:hAnsi="Arial"/>
          <w:sz w:val="21"/>
          <w:szCs w:val="21"/>
          <w:color w:val="auto"/>
        </w:rPr>
      </w:pPr>
      <w:r>
        <w:rPr>
          <w:rFonts w:ascii="Arial" w:cs="Arial" w:eastAsia="Arial" w:hAnsi="Arial"/>
          <w:sz w:val="21"/>
          <w:szCs w:val="21"/>
          <w:color w:val="auto"/>
        </w:rPr>
        <w:t>Estimated in accordance with Rule 457(c) under the Securities Act on the basis of the average of the high and low prices of the Common Stock reported on Nasdaq on March 13, 2026, solely for the purpose of calculating the registration fee pursuant to Rule 457(h)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75565</wp:posOffset>
            </wp:positionV>
            <wp:extent cx="63874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2464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7198360" cy="2464435"/>
                    </a:xfrm>
                    <a:prstGeom prst="rect">
                      <a:avLst/>
                    </a:prstGeom>
                    <a:noFill/>
                  </pic:spPr>
                </pic:pic>
              </a:graphicData>
            </a:graphic>
          </wp:anchor>
        </w:drawing>
      </w:r>
    </w:p>
    <w:p>
      <w:pPr>
        <w:sectPr>
          <w:pgSz w:w="11900" w:h="16838" w:orient="portrait"/>
          <w:cols w:equalWidth="0" w:num="1">
            <w:col w:w="11240"/>
          </w:cols>
          <w:pgMar w:left="360" w:top="142"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Sources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0"/>
                <w:szCs w:val="10"/>
                <w:color w:val="auto"/>
              </w:rPr>
            </w:pPr>
          </w:p>
        </w:tc>
        <w:tc>
          <w:tcPr>
            <w:tcW w:w="6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215"/>
        </w:trPr>
        <w:tc>
          <w:tcPr>
            <w:tcW w:w="60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Filing</w:t>
            </w:r>
          </w:p>
        </w:tc>
        <w:tc>
          <w:tcPr>
            <w:tcW w:w="40" w:type="dxa"/>
            <w:vAlign w:val="bottom"/>
          </w:tcPr>
          <w:p>
            <w:pPr>
              <w:spacing w:after="0"/>
              <w:rPr>
                <w:sz w:val="14"/>
                <w:szCs w:val="14"/>
                <w:color w:val="auto"/>
              </w:rPr>
            </w:pPr>
          </w:p>
        </w:tc>
        <w:tc>
          <w:tcPr>
            <w:tcW w:w="84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Number</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0" w:type="dxa"/>
            <w:vAlign w:val="bottom"/>
          </w:tcPr>
          <w:p>
            <w:pPr>
              <w:spacing w:after="0"/>
              <w:rPr>
                <w:sz w:val="1"/>
                <w:szCs w:val="1"/>
                <w:color w:val="auto"/>
              </w:rPr>
            </w:pPr>
          </w:p>
        </w:tc>
      </w:tr>
      <w:tr>
        <w:trPr>
          <w:trHeight w:val="29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760" w:type="dxa"/>
            <w:vAlign w:val="bottom"/>
            <w:shd w:val="clear" w:color="auto" w:fill="9ADAF6"/>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142"/>
        </w:trPr>
        <w:tc>
          <w:tcPr>
            <w:tcW w:w="8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8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4"/>
                <w:szCs w:val="24"/>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sectPr>
      <w:pgSz w:w="11900" w:h="16838" w:orient="portrait"/>
      <w:cols w:equalWidth="0" w:num="3">
        <w:col w:w="1980" w:space="40"/>
        <w:col w:w="2720" w:space="40"/>
        <w:col w:w="6460"/>
      </w:cols>
      <w:pgMar w:left="360" w:top="142"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decimal"/>
      <w:start w:val="107"/>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jpe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13" Type="http://schemas.openxmlformats.org/officeDocument/2006/relationships/hyperlink" Target="http://www.sec.gov/ix?doc=/Archives/edgar/data/10329/000143774926003189/bset20251129d_10k.htm" TargetMode="External"/><Relationship Id="rId14" Type="http://schemas.openxmlformats.org/officeDocument/2006/relationships/hyperlink" Target="http://www.sec.gov/ix?doc=/Archives/edgar/data/10329/000143774926007936/bset20260312_8k.htm" TargetMode="External"/><Relationship Id="rId15" Type="http://schemas.openxmlformats.org/officeDocument/2006/relationships/hyperlink" Target="http://www.sec.gov/ix?doc=/Archives/edgar/data/10329/000143774926007938/bset20260312c_8k.htm" TargetMode="External"/><Relationship Id="rId17" Type="http://schemas.openxmlformats.org/officeDocument/2006/relationships/hyperlink" Target="http://www.sec.gov/Archives/edgar/data/10329/000143774925023205/ex_841551.htm" TargetMode="External"/><Relationship Id="rId18" Type="http://schemas.openxmlformats.org/officeDocument/2006/relationships/hyperlink" Target="http://www.sec.gov/ix?doc=/Archives/edgar/data/10329/000143774926003747/bset20260206_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2026-03-20T14:25:12Z</dcterms:created>
  <dcterms:modified xsi:type="dcterms:W3CDTF">2026-03-20T14:25:12Z</dcterms:modified>
</cp:coreProperties>
</file>