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790" w:right="49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400"/>
          </w:cols>
          <w:pgMar w:left="320" w:top="790" w:right="499" w:bottom="1440" w:gutter="0" w:footer="0" w:header="0"/>
          <w:type w:val="continuous"/>
        </w:sectPr>
      </w:pPr>
    </w:p>
    <w:p>
      <w:pPr>
        <w:spacing w:after="0" w:line="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00" w:space="720"/>
            <w:col w:w="3060"/>
          </w:cols>
          <w:pgMar w:left="320" w:top="790"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4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90"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11, 2024, Bassett Furniture Industries issued a news release relating to the declaration of a quarterly dividend of $0.18 per share of common stock payable on March 1, 2024, to shareholders of record at the close of business on February 16, 2024. A copy of the news release is attached to the report as Exhibit 99.</w:t>
      </w:r>
    </w:p>
    <w:p>
      <w:pPr>
        <w:spacing w:after="0" w:line="2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January 11, 2024.</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January 11, 2024</w:t>
            </w:r>
          </w:p>
        </w:tc>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4500" w:type="dxa"/>
            <w:vAlign w:val="bottom"/>
          </w:tcPr>
          <w:p>
            <w:pPr>
              <w:spacing w:after="0"/>
              <w:rPr>
                <w:sz w:val="16"/>
                <w:szCs w:val="16"/>
                <w:color w:val="auto"/>
              </w:rPr>
            </w:pPr>
          </w:p>
        </w:tc>
        <w:tc>
          <w:tcPr>
            <w:tcW w:w="6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450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 Chief Financial &amp; Administrative Officer</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131570"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15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w:t>
            </w:r>
          </w:p>
        </w:tc>
        <w:tc>
          <w:tcPr>
            <w:tcW w:w="63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J. Michael Daniel, Senior Vice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P.O. Box 626</w:t>
            </w:r>
          </w:p>
        </w:tc>
        <w:tc>
          <w:tcPr>
            <w:tcW w:w="63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President - Chief Financial</w:t>
            </w:r>
          </w:p>
        </w:tc>
        <w:tc>
          <w:tcPr>
            <w:tcW w:w="0" w:type="dxa"/>
            <w:vAlign w:val="bottom"/>
          </w:tcPr>
          <w:p>
            <w:pPr>
              <w:spacing w:after="0"/>
              <w:rPr>
                <w:sz w:val="1"/>
                <w:szCs w:val="1"/>
                <w:color w:val="auto"/>
              </w:rPr>
            </w:pPr>
          </w:p>
        </w:tc>
      </w:tr>
      <w:tr>
        <w:trPr>
          <w:trHeight w:val="22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63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&amp; Administrative Officer</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63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(276) 629-6614 - Investors</w:t>
            </w:r>
          </w:p>
        </w:tc>
        <w:tc>
          <w:tcPr>
            <w:tcW w:w="0" w:type="dxa"/>
            <w:vAlign w:val="bottom"/>
          </w:tcPr>
          <w:p>
            <w:pPr>
              <w:spacing w:after="0"/>
              <w:rPr>
                <w:sz w:val="1"/>
                <w:szCs w:val="1"/>
                <w:color w:val="auto"/>
              </w:rPr>
            </w:pPr>
          </w:p>
        </w:tc>
      </w:tr>
      <w:tr>
        <w:trPr>
          <w:trHeight w:val="414"/>
        </w:trPr>
        <w:tc>
          <w:tcPr>
            <w:tcW w:w="4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 Immediate Release</w:t>
            </w:r>
          </w:p>
        </w:tc>
        <w:tc>
          <w:tcPr>
            <w:tcW w:w="63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w w:val="99"/>
              </w:rPr>
              <w:t>Peter D. Morrison, Vice President of Communications</w:t>
            </w:r>
          </w:p>
        </w:tc>
        <w:tc>
          <w:tcPr>
            <w:tcW w:w="0" w:type="dxa"/>
            <w:vAlign w:val="bottom"/>
          </w:tcPr>
          <w:p>
            <w:pPr>
              <w:spacing w:after="0"/>
              <w:rPr>
                <w:sz w:val="1"/>
                <w:szCs w:val="1"/>
                <w:color w:val="auto"/>
              </w:rPr>
            </w:pPr>
          </w:p>
        </w:tc>
      </w:tr>
      <w:tr>
        <w:trPr>
          <w:trHeight w:val="246"/>
        </w:trPr>
        <w:tc>
          <w:tcPr>
            <w:tcW w:w="4560" w:type="dxa"/>
            <w:vAlign w:val="bottom"/>
            <w:vMerge w:val="continue"/>
          </w:tcPr>
          <w:p>
            <w:pPr>
              <w:spacing w:after="0"/>
              <w:rPr>
                <w:sz w:val="21"/>
                <w:szCs w:val="21"/>
                <w:color w:val="auto"/>
              </w:rPr>
            </w:pPr>
          </w:p>
        </w:tc>
        <w:tc>
          <w:tcPr>
            <w:tcW w:w="63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(276) 629-6387 – Media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Bassett Furniture News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Bassett Announces Regular Quarterly Dividend</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(Bassett, Va.) – January 11, 2024–Bassett Furniture Industries, Inc. (Nasdaq: BSET) announced today that its Board of Directors has declared a regular quarterly dividend of $0.18 per share of common stock, payable on March 1, 2024, to shareholders of record at the close of business on February 16,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87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For more information, visit the Company’s website at bassettfurniture.com. (BSET-E)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2024-01-11T16:26:42Z</dcterms:created>
  <dcterms:modified xsi:type="dcterms:W3CDTF">2024-01-11T16:26:42Z</dcterms:modified>
</cp:coreProperties>
</file>