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5"/>
          <w:szCs w:val="15"/>
          <w:color w:val="auto"/>
        </w:rPr>
        <w:t>1</w:t>
      </w:r>
    </w:p>
    <w:p>
      <w:pPr>
        <w:jc w:val="center"/>
        <w:ind w:right="335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69" w:lineRule="exact"/>
        <w:rPr>
          <w:sz w:val="24"/>
          <w:szCs w:val="24"/>
          <w:color w:val="auto"/>
        </w:rPr>
      </w:pPr>
    </w:p>
    <w:p>
      <w:pPr>
        <w:ind w:left="2460"/>
        <w:spacing w:after="0"/>
        <w:rPr>
          <w:sz w:val="20"/>
          <w:szCs w:val="20"/>
          <w:color w:val="auto"/>
        </w:rPr>
      </w:pPr>
      <w:r>
        <w:rPr>
          <w:rFonts w:ascii="Courier New" w:cs="Courier New" w:eastAsia="Courier New" w:hAnsi="Courier New"/>
          <w:sz w:val="15"/>
          <w:szCs w:val="15"/>
          <w:color w:val="auto"/>
        </w:rPr>
        <w:t>Washington, D.C. 20549</w:t>
      </w:r>
    </w:p>
    <w:p>
      <w:pPr>
        <w:spacing w:after="0" w:line="169" w:lineRule="exact"/>
        <w:rPr>
          <w:sz w:val="24"/>
          <w:szCs w:val="24"/>
          <w:color w:val="auto"/>
        </w:rPr>
      </w:pPr>
    </w:p>
    <w:p>
      <w:pPr>
        <w:ind w:left="2980"/>
        <w:spacing w:after="0"/>
        <w:rPr>
          <w:sz w:val="20"/>
          <w:szCs w:val="20"/>
          <w:color w:val="auto"/>
        </w:rPr>
      </w:pPr>
      <w:r>
        <w:rPr>
          <w:rFonts w:ascii="Courier New" w:cs="Courier New" w:eastAsia="Courier New" w:hAnsi="Courier New"/>
          <w:sz w:val="15"/>
          <w:szCs w:val="15"/>
          <w:color w:val="auto"/>
        </w:rPr>
        <w:t>FORM 10-Q</w:t>
      </w:r>
    </w:p>
    <w:p>
      <w:pPr>
        <w:spacing w:after="0" w:line="175" w:lineRule="exact"/>
        <w:rPr>
          <w:sz w:val="24"/>
          <w:szCs w:val="24"/>
          <w:color w:val="auto"/>
        </w:rPr>
      </w:pPr>
    </w:p>
    <w:p>
      <w:pPr>
        <w:ind w:left="1840" w:right="4319" w:hanging="880"/>
        <w:spacing w:after="0" w:line="235" w:lineRule="auto"/>
        <w:tabs>
          <w:tab w:leader="none" w:pos="1311"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 (d) OF THE SECURITIES EXCHANGE ACT OF 1934</w:t>
      </w:r>
    </w:p>
    <w:p>
      <w:pPr>
        <w:spacing w:after="0" w:line="170"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5"/>
          <w:szCs w:val="15"/>
          <w:color w:val="auto"/>
        </w:rPr>
        <w:t>FOR THE QUARTERLY PERIOD ENDED FEBRUARY 24, 2001</w:t>
      </w:r>
    </w:p>
    <w:p>
      <w:pPr>
        <w:spacing w:after="0" w:line="169" w:lineRule="exact"/>
        <w:rPr>
          <w:sz w:val="24"/>
          <w:szCs w:val="24"/>
          <w:color w:val="auto"/>
        </w:rPr>
      </w:pPr>
    </w:p>
    <w:p>
      <w:pPr>
        <w:ind w:left="3340"/>
        <w:spacing w:after="0"/>
        <w:rPr>
          <w:sz w:val="20"/>
          <w:szCs w:val="20"/>
          <w:color w:val="auto"/>
        </w:rPr>
      </w:pPr>
      <w:r>
        <w:rPr>
          <w:rFonts w:ascii="Courier New" w:cs="Courier New" w:eastAsia="Courier New" w:hAnsi="Courier New"/>
          <w:sz w:val="15"/>
          <w:szCs w:val="15"/>
          <w:color w:val="auto"/>
        </w:rPr>
        <w:t>OR</w:t>
      </w:r>
    </w:p>
    <w:p>
      <w:pPr>
        <w:spacing w:after="0" w:line="344" w:lineRule="exact"/>
        <w:rPr>
          <w:sz w:val="24"/>
          <w:szCs w:val="24"/>
          <w:color w:val="auto"/>
        </w:rPr>
      </w:pPr>
    </w:p>
    <w:p>
      <w:pPr>
        <w:ind w:left="1840" w:right="4319" w:hanging="968"/>
        <w:spacing w:after="0" w:line="235" w:lineRule="auto"/>
        <w:tabs>
          <w:tab w:leader="none" w:pos="104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 (d) OF THE SECURITIES EXCHANGE ACT OF 1934</w:t>
      </w:r>
    </w:p>
    <w:p>
      <w:pPr>
        <w:spacing w:after="0" w:line="176"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For the transition period from __________________ to _______________________</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Commission File No. 0-209</w:t>
      </w:r>
    </w:p>
    <w:p>
      <w:pPr>
        <w:spacing w:after="0" w:line="339"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5"/>
          <w:szCs w:val="15"/>
          <w:color w:val="auto"/>
        </w:rPr>
        <w:t>BASSETT FURNITURE INDUSTRIES, INCORPORATED</w:t>
      </w:r>
    </w:p>
    <w:p>
      <w:pPr>
        <w:jc w:val="center"/>
        <w:ind w:right="335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69" w:lineRule="exact"/>
        <w:rPr>
          <w:sz w:val="24"/>
          <w:szCs w:val="24"/>
          <w:color w:val="auto"/>
        </w:rPr>
      </w:pPr>
    </w:p>
    <w:tbl>
      <w:tblPr>
        <w:tblLayout w:type="fixed"/>
        <w:tblInd w:w="440" w:type="dxa"/>
        <w:tblCellMar>
          <w:top w:w="0" w:type="dxa"/>
          <w:left w:w="0" w:type="dxa"/>
          <w:bottom w:w="0" w:type="dxa"/>
          <w:right w:w="0" w:type="dxa"/>
        </w:tblCellMar>
      </w:tblP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Virginia</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54-0135270</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(State or other jurisdiction</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(I.R.S. Employer</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of incorporation or organization)</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w w:val="97"/>
              </w:rPr>
              <w:t>Identification No.)</w:t>
            </w:r>
          </w:p>
        </w:tc>
      </w:tr>
      <w:tr>
        <w:trPr>
          <w:trHeight w:val="339"/>
        </w:trPr>
        <w:tc>
          <w:tcPr>
            <w:tcW w:w="4220" w:type="dxa"/>
            <w:vAlign w:val="bottom"/>
          </w:tcPr>
          <w:p>
            <w:pPr>
              <w:jc w:val="center"/>
              <w:ind w:left="1687"/>
              <w:spacing w:after="0"/>
              <w:rPr>
                <w:sz w:val="20"/>
                <w:szCs w:val="20"/>
                <w:color w:val="auto"/>
              </w:rPr>
            </w:pPr>
            <w:r>
              <w:rPr>
                <w:rFonts w:ascii="Courier New" w:cs="Courier New" w:eastAsia="Courier New" w:hAnsi="Courier New"/>
                <w:sz w:val="15"/>
                <w:szCs w:val="15"/>
                <w:color w:val="auto"/>
                <w:w w:val="97"/>
              </w:rPr>
              <w:t>3525 Fairystone Park Highway</w:t>
            </w:r>
          </w:p>
        </w:tc>
        <w:tc>
          <w:tcPr>
            <w:tcW w:w="1680" w:type="dxa"/>
            <w:vAlign w:val="bottom"/>
          </w:tcPr>
          <w:p>
            <w:pPr>
              <w:spacing w:after="0"/>
              <w:rPr>
                <w:sz w:val="24"/>
                <w:szCs w:val="24"/>
                <w:color w:val="auto"/>
              </w:rPr>
            </w:pPr>
          </w:p>
        </w:tc>
      </w:tr>
      <w:tr>
        <w:trPr>
          <w:trHeight w:val="170"/>
        </w:trPr>
        <w:tc>
          <w:tcPr>
            <w:tcW w:w="4220" w:type="dxa"/>
            <w:vAlign w:val="bottom"/>
          </w:tcPr>
          <w:p>
            <w:pPr>
              <w:ind w:left="1940"/>
              <w:spacing w:after="0"/>
              <w:rPr>
                <w:sz w:val="20"/>
                <w:szCs w:val="20"/>
                <w:color w:val="auto"/>
              </w:rPr>
            </w:pPr>
            <w:r>
              <w:rPr>
                <w:rFonts w:ascii="Courier New" w:cs="Courier New" w:eastAsia="Courier New" w:hAnsi="Courier New"/>
                <w:sz w:val="15"/>
                <w:szCs w:val="15"/>
                <w:color w:val="auto"/>
              </w:rPr>
              <w:t>Bassett, Virginia 24055</w:t>
            </w:r>
          </w:p>
        </w:tc>
        <w:tc>
          <w:tcPr>
            <w:tcW w:w="1680" w:type="dxa"/>
            <w:vAlign w:val="bottom"/>
          </w:tcPr>
          <w:p>
            <w:pPr>
              <w:spacing w:after="0"/>
              <w:rPr>
                <w:sz w:val="14"/>
                <w:szCs w:val="14"/>
                <w:color w:val="auto"/>
              </w:rPr>
            </w:pPr>
          </w:p>
        </w:tc>
      </w:tr>
      <w:tr>
        <w:trPr>
          <w:trHeight w:val="170"/>
        </w:trPr>
        <w:tc>
          <w:tcPr>
            <w:tcW w:w="4220" w:type="dxa"/>
            <w:vAlign w:val="bottom"/>
          </w:tcPr>
          <w:p>
            <w:pPr>
              <w:ind w:left="1940"/>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spacing w:after="0"/>
              <w:rPr>
                <w:sz w:val="14"/>
                <w:szCs w:val="14"/>
                <w:color w:val="auto"/>
              </w:rPr>
            </w:pPr>
          </w:p>
        </w:tc>
      </w:tr>
      <w:tr>
        <w:trPr>
          <w:trHeight w:val="170"/>
        </w:trPr>
        <w:tc>
          <w:tcPr>
            <w:tcW w:w="5900" w:type="dxa"/>
            <w:vAlign w:val="bottom"/>
            <w:gridSpan w:val="2"/>
          </w:tcPr>
          <w:p>
            <w:pPr>
              <w:jc w:val="center"/>
              <w:ind w:left="7"/>
              <w:spacing w:after="0"/>
              <w:rPr>
                <w:sz w:val="20"/>
                <w:szCs w:val="20"/>
                <w:color w:val="auto"/>
              </w:rPr>
            </w:pPr>
            <w:r>
              <w:rPr>
                <w:rFonts w:ascii="Courier New" w:cs="Courier New" w:eastAsia="Courier New" w:hAnsi="Courier New"/>
                <w:sz w:val="15"/>
                <w:szCs w:val="15"/>
                <w:color w:val="auto"/>
                <w:w w:val="98"/>
              </w:rPr>
              <w:t>(Address of principal executive offices)</w:t>
            </w:r>
          </w:p>
        </w:tc>
      </w:tr>
      <w:tr>
        <w:trPr>
          <w:trHeight w:val="170"/>
        </w:trPr>
        <w:tc>
          <w:tcPr>
            <w:tcW w:w="4220" w:type="dxa"/>
            <w:vAlign w:val="bottom"/>
          </w:tcPr>
          <w:p>
            <w:pPr>
              <w:jc w:val="center"/>
              <w:ind w:left="1667"/>
              <w:spacing w:after="0"/>
              <w:rPr>
                <w:sz w:val="20"/>
                <w:szCs w:val="20"/>
                <w:color w:val="auto"/>
              </w:rPr>
            </w:pPr>
            <w:r>
              <w:rPr>
                <w:rFonts w:ascii="Courier New" w:cs="Courier New" w:eastAsia="Courier New" w:hAnsi="Courier New"/>
                <w:sz w:val="15"/>
                <w:szCs w:val="15"/>
                <w:color w:val="auto"/>
                <w:w w:val="97"/>
              </w:rPr>
              <w:t>(Zip Code)</w:t>
            </w:r>
          </w:p>
        </w:tc>
        <w:tc>
          <w:tcPr>
            <w:tcW w:w="1680" w:type="dxa"/>
            <w:vAlign w:val="bottom"/>
          </w:tcPr>
          <w:p>
            <w:pPr>
              <w:spacing w:after="0"/>
              <w:rPr>
                <w:sz w:val="14"/>
                <w:szCs w:val="14"/>
                <w:color w:val="auto"/>
              </w:rPr>
            </w:pPr>
          </w:p>
        </w:tc>
      </w:tr>
      <w:tr>
        <w:trPr>
          <w:trHeight w:val="509"/>
        </w:trPr>
        <w:tc>
          <w:tcPr>
            <w:tcW w:w="4220" w:type="dxa"/>
            <w:vAlign w:val="bottom"/>
          </w:tcPr>
          <w:p>
            <w:pPr>
              <w:jc w:val="center"/>
              <w:ind w:left="1687"/>
              <w:spacing w:after="0"/>
              <w:rPr>
                <w:sz w:val="20"/>
                <w:szCs w:val="20"/>
                <w:color w:val="auto"/>
              </w:rPr>
            </w:pPr>
            <w:r>
              <w:rPr>
                <w:rFonts w:ascii="Courier New" w:cs="Courier New" w:eastAsia="Courier New" w:hAnsi="Courier New"/>
                <w:sz w:val="15"/>
                <w:szCs w:val="15"/>
                <w:color w:val="auto"/>
                <w:w w:val="96"/>
              </w:rPr>
              <w:t>(540) 629-6000</w:t>
            </w:r>
          </w:p>
        </w:tc>
        <w:tc>
          <w:tcPr>
            <w:tcW w:w="1680" w:type="dxa"/>
            <w:vAlign w:val="bottom"/>
          </w:tcPr>
          <w:p>
            <w:pPr>
              <w:spacing w:after="0"/>
              <w:rPr>
                <w:sz w:val="24"/>
                <w:szCs w:val="24"/>
                <w:color w:val="auto"/>
              </w:rPr>
            </w:pPr>
          </w:p>
        </w:tc>
      </w:tr>
      <w:tr>
        <w:trPr>
          <w:trHeight w:val="170"/>
        </w:trPr>
        <w:tc>
          <w:tcPr>
            <w:tcW w:w="5900" w:type="dxa"/>
            <w:vAlign w:val="bottom"/>
            <w:gridSpan w:val="2"/>
          </w:tcPr>
          <w:p>
            <w:pPr>
              <w:jc w:val="center"/>
              <w:ind w:left="7"/>
              <w:spacing w:after="0"/>
              <w:rPr>
                <w:sz w:val="20"/>
                <w:szCs w:val="20"/>
                <w:color w:val="auto"/>
              </w:rPr>
            </w:pPr>
            <w:r>
              <w:rPr>
                <w:rFonts w:ascii="Courier New" w:cs="Courier New" w:eastAsia="Courier New" w:hAnsi="Courier New"/>
                <w:sz w:val="15"/>
                <w:szCs w:val="15"/>
                <w:color w:val="auto"/>
                <w:w w:val="97"/>
              </w:rPr>
              <w:t>(Registrant's telephone number, including area code)</w:t>
            </w:r>
          </w:p>
        </w:tc>
      </w:tr>
    </w:tbl>
    <w:p>
      <w:pPr>
        <w:spacing w:after="0" w:line="175" w:lineRule="exact"/>
        <w:rPr>
          <w:sz w:val="24"/>
          <w:szCs w:val="24"/>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and (2) has been subject to such filing requirements for the past 90 days. Yes _______No ___X____</w:t>
      </w:r>
    </w:p>
    <w:p>
      <w:pPr>
        <w:spacing w:after="0" w:line="176" w:lineRule="exact"/>
        <w:rPr>
          <w:sz w:val="24"/>
          <w:szCs w:val="24"/>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Form 10-K(A) for the fiscal year ended November 25, 2000, will be filed subsequent to the April 2, 2001, required filing date. The Registrant's 10-K filed on February 22, 2001, will be amended to include the audited financial statements of the Bassett Industries Alternative Asset Fund, LP (BIAAF), a significant affiliate of the company, which has a fiscal year end of December 31, which is different than the Company's fiscal year end. No other changes will be made to the 10-K.</w:t>
      </w:r>
    </w:p>
    <w:p>
      <w:pPr>
        <w:spacing w:after="0" w:line="177" w:lineRule="exact"/>
        <w:rPr>
          <w:sz w:val="24"/>
          <w:szCs w:val="24"/>
          <w:color w:val="auto"/>
        </w:rPr>
      </w:pPr>
    </w:p>
    <w:p>
      <w:pPr>
        <w:ind w:right="3699"/>
        <w:spacing w:after="0" w:line="235" w:lineRule="auto"/>
        <w:rPr>
          <w:sz w:val="20"/>
          <w:szCs w:val="20"/>
          <w:color w:val="auto"/>
        </w:rPr>
      </w:pPr>
      <w:r>
        <w:rPr>
          <w:rFonts w:ascii="Courier New" w:cs="Courier New" w:eastAsia="Courier New" w:hAnsi="Courier New"/>
          <w:sz w:val="15"/>
          <w:szCs w:val="15"/>
          <w:color w:val="auto"/>
        </w:rPr>
        <w:t>At April 9, 2001, 11,731,021 shares of common stock of the Registrant were outstanding.</w:t>
      </w:r>
    </w:p>
    <w:p>
      <w:pPr>
        <w:sectPr>
          <w:pgSz w:w="11900" w:h="16838" w:orient="portrait"/>
          <w:cols w:equalWidth="0" w:num="1">
            <w:col w:w="10219"/>
          </w:cols>
          <w:pgMar w:left="240" w:top="226" w:right="1440" w:bottom="1440" w:gutter="0" w:footer="0" w:header="0"/>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339"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PART I - FINANCIAL INFORMATION</w:t>
      </w:r>
    </w:p>
    <w:p>
      <w:pPr>
        <w:jc w:val="center"/>
        <w:ind w:right="3359"/>
        <w:spacing w:after="0"/>
        <w:rPr>
          <w:sz w:val="20"/>
          <w:szCs w:val="20"/>
          <w:color w:val="auto"/>
        </w:rPr>
      </w:pPr>
      <w:r>
        <w:rPr>
          <w:rFonts w:ascii="Courier New" w:cs="Courier New" w:eastAsia="Courier New" w:hAnsi="Courier New"/>
          <w:sz w:val="15"/>
          <w:szCs w:val="15"/>
          <w:color w:val="auto"/>
        </w:rPr>
        <w:t>BASSETT FURNITURE INDUSTRIES INC. AND SUBSIDIARIES</w:t>
      </w:r>
    </w:p>
    <w:p>
      <w:pPr>
        <w:ind w:left="520"/>
        <w:spacing w:after="0"/>
        <w:rPr>
          <w:sz w:val="20"/>
          <w:szCs w:val="20"/>
          <w:color w:val="auto"/>
        </w:rPr>
      </w:pPr>
      <w:r>
        <w:rPr>
          <w:rFonts w:ascii="Courier New" w:cs="Courier New" w:eastAsia="Courier New" w:hAnsi="Courier New"/>
          <w:sz w:val="15"/>
          <w:szCs w:val="15"/>
          <w:color w:val="auto"/>
        </w:rPr>
        <w:t>CONDENSED CONSOLIDATED STATEMENTS OF INCOME AND RETAINED EARNINGS</w:t>
      </w:r>
    </w:p>
    <w:p>
      <w:pPr>
        <w:ind w:left="160"/>
        <w:spacing w:after="0" w:line="238" w:lineRule="auto"/>
        <w:rPr>
          <w:sz w:val="20"/>
          <w:szCs w:val="20"/>
          <w:color w:val="auto"/>
        </w:rPr>
      </w:pPr>
      <w:r>
        <w:rPr>
          <w:rFonts w:ascii="Courier New" w:cs="Courier New" w:eastAsia="Courier New" w:hAnsi="Courier New"/>
          <w:sz w:val="15"/>
          <w:szCs w:val="15"/>
          <w:color w:val="auto"/>
        </w:rPr>
        <w:t>FOR THE 13 WEEKS ENDED FEBRUARY 24, 2001 AND FEBRUARY 26, 2000 - UNAUDITED</w:t>
      </w:r>
    </w:p>
    <w:p>
      <w:pPr>
        <w:ind w:left="1480"/>
        <w:spacing w:after="0"/>
        <w:rPr>
          <w:sz w:val="20"/>
          <w:szCs w:val="20"/>
          <w:color w:val="auto"/>
        </w:rPr>
      </w:pPr>
      <w:r>
        <w:rPr>
          <w:rFonts w:ascii="Courier New" w:cs="Courier New" w:eastAsia="Courier New" w:hAnsi="Courier New"/>
          <w:sz w:val="15"/>
          <w:szCs w:val="15"/>
          <w:color w:val="auto"/>
        </w:rPr>
        <w:t>(Dollars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2001</w:t>
            </w:r>
          </w:p>
        </w:tc>
        <w:tc>
          <w:tcPr>
            <w:tcW w:w="360" w:type="dxa"/>
            <w:vAlign w:val="bottom"/>
          </w:tcPr>
          <w:p>
            <w:pPr>
              <w:spacing w:after="0"/>
              <w:rPr>
                <w:sz w:val="14"/>
                <w:szCs w:val="14"/>
                <w:color w:val="auto"/>
              </w:rPr>
            </w:pPr>
          </w:p>
        </w:tc>
        <w:tc>
          <w:tcPr>
            <w:tcW w:w="11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4800" w:type="dxa"/>
            <w:vAlign w:val="bottom"/>
          </w:tcPr>
          <w:p>
            <w:pPr>
              <w:spacing w:after="0"/>
              <w:rPr>
                <w:sz w:val="14"/>
                <w:szCs w:val="14"/>
                <w:color w:val="auto"/>
              </w:rPr>
            </w:pPr>
          </w:p>
        </w:tc>
        <w:tc>
          <w:tcPr>
            <w:tcW w:w="29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 -----------------</w:t>
            </w:r>
          </w:p>
        </w:tc>
      </w:tr>
      <w:tr>
        <w:trPr>
          <w:trHeight w:val="339"/>
        </w:trPr>
        <w:tc>
          <w:tcPr>
            <w:tcW w:w="48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82,553</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94,981</w:t>
            </w: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440" w:type="dxa"/>
            <w:vAlign w:val="bottom"/>
          </w:tcPr>
          <w:p>
            <w:pPr>
              <w:spacing w:after="0"/>
              <w:rPr>
                <w:sz w:val="14"/>
                <w:szCs w:val="14"/>
                <w:color w:val="auto"/>
              </w:rPr>
            </w:pP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67,994</w:t>
            </w:r>
          </w:p>
        </w:tc>
        <w:tc>
          <w:tcPr>
            <w:tcW w:w="36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76,408</w:t>
            </w:r>
          </w:p>
        </w:tc>
      </w:tr>
      <w:tr>
        <w:trPr>
          <w:trHeight w:val="170"/>
        </w:trPr>
        <w:tc>
          <w:tcPr>
            <w:tcW w:w="4800" w:type="dxa"/>
            <w:vAlign w:val="bottom"/>
          </w:tcPr>
          <w:p>
            <w:pPr>
              <w:spacing w:after="0"/>
              <w:rPr>
                <w:sz w:val="14"/>
                <w:szCs w:val="14"/>
                <w:color w:val="auto"/>
              </w:rPr>
            </w:pPr>
          </w:p>
        </w:tc>
        <w:tc>
          <w:tcPr>
            <w:tcW w:w="29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 -----------------</w:t>
            </w:r>
          </w:p>
        </w:tc>
      </w:tr>
      <w:tr>
        <w:trPr>
          <w:trHeight w:val="170"/>
        </w:trPr>
        <w:tc>
          <w:tcPr>
            <w:tcW w:w="4800" w:type="dxa"/>
            <w:vAlign w:val="bottom"/>
          </w:tcPr>
          <w:p>
            <w:pPr>
              <w:ind w:left="160"/>
              <w:spacing w:after="0"/>
              <w:rPr>
                <w:sz w:val="20"/>
                <w:szCs w:val="20"/>
                <w:color w:val="auto"/>
              </w:rPr>
            </w:pPr>
            <w:r>
              <w:rPr>
                <w:rFonts w:ascii="Courier New" w:cs="Courier New" w:eastAsia="Courier New" w:hAnsi="Courier New"/>
                <w:sz w:val="15"/>
                <w:szCs w:val="15"/>
                <w:color w:val="auto"/>
              </w:rPr>
              <w:t>Gross profit</w:t>
            </w:r>
          </w:p>
        </w:tc>
        <w:tc>
          <w:tcPr>
            <w:tcW w:w="440" w:type="dxa"/>
            <w:vAlign w:val="bottom"/>
          </w:tcPr>
          <w:p>
            <w:pPr>
              <w:spacing w:after="0"/>
              <w:rPr>
                <w:sz w:val="14"/>
                <w:szCs w:val="14"/>
                <w:color w:val="auto"/>
              </w:rPr>
            </w:pP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14,559</w:t>
            </w:r>
          </w:p>
        </w:tc>
        <w:tc>
          <w:tcPr>
            <w:tcW w:w="36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18,573</w:t>
            </w:r>
          </w:p>
        </w:tc>
      </w:tr>
      <w:tr>
        <w:trPr>
          <w:trHeight w:val="339"/>
        </w:trPr>
        <w:tc>
          <w:tcPr>
            <w:tcW w:w="480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440" w:type="dxa"/>
            <w:vAlign w:val="bottom"/>
          </w:tcPr>
          <w:p>
            <w:pPr>
              <w:spacing w:after="0"/>
              <w:rPr>
                <w:sz w:val="24"/>
                <w:szCs w:val="24"/>
                <w:color w:val="auto"/>
              </w:rPr>
            </w:pP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13,201</w:t>
            </w:r>
          </w:p>
        </w:tc>
        <w:tc>
          <w:tcPr>
            <w:tcW w:w="360" w:type="dxa"/>
            <w:vAlign w:val="bottom"/>
          </w:tcPr>
          <w:p>
            <w:pPr>
              <w:spacing w:after="0"/>
              <w:rPr>
                <w:sz w:val="24"/>
                <w:szCs w:val="2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15,293</w:t>
            </w: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Gain on sale of property and equipment</w:t>
            </w:r>
          </w:p>
        </w:tc>
        <w:tc>
          <w:tcPr>
            <w:tcW w:w="44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(3,028)</w:t>
            </w:r>
          </w:p>
        </w:tc>
        <w:tc>
          <w:tcPr>
            <w:tcW w:w="36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Restructuring and impaired fixed asset charges</w:t>
            </w:r>
          </w:p>
        </w:tc>
        <w:tc>
          <w:tcPr>
            <w:tcW w:w="440" w:type="dxa"/>
            <w:vAlign w:val="bottom"/>
          </w:tcPr>
          <w:p>
            <w:pPr>
              <w:spacing w:after="0"/>
              <w:rPr>
                <w:sz w:val="14"/>
                <w:szCs w:val="14"/>
                <w:color w:val="auto"/>
              </w:rPr>
            </w:pP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1,847</w:t>
            </w:r>
          </w:p>
        </w:tc>
        <w:tc>
          <w:tcPr>
            <w:tcW w:w="36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800" w:type="dxa"/>
            <w:vAlign w:val="bottom"/>
          </w:tcPr>
          <w:p>
            <w:pPr>
              <w:spacing w:after="0"/>
              <w:rPr>
                <w:sz w:val="14"/>
                <w:szCs w:val="14"/>
                <w:color w:val="auto"/>
              </w:rPr>
            </w:pPr>
          </w:p>
        </w:tc>
        <w:tc>
          <w:tcPr>
            <w:tcW w:w="29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 -----------------</w:t>
            </w:r>
          </w:p>
        </w:tc>
      </w:tr>
      <w:tr>
        <w:trPr>
          <w:trHeight w:val="170"/>
        </w:trPr>
        <w:tc>
          <w:tcPr>
            <w:tcW w:w="4800" w:type="dxa"/>
            <w:vAlign w:val="bottom"/>
          </w:tcPr>
          <w:p>
            <w:pPr>
              <w:ind w:left="160"/>
              <w:spacing w:after="0"/>
              <w:rPr>
                <w:sz w:val="20"/>
                <w:szCs w:val="20"/>
                <w:color w:val="auto"/>
              </w:rPr>
            </w:pPr>
            <w:r>
              <w:rPr>
                <w:rFonts w:ascii="Courier New" w:cs="Courier New" w:eastAsia="Courier New" w:hAnsi="Courier New"/>
                <w:sz w:val="15"/>
                <w:szCs w:val="15"/>
                <w:color w:val="auto"/>
              </w:rPr>
              <w:t>Operating income</w:t>
            </w:r>
          </w:p>
        </w:tc>
        <w:tc>
          <w:tcPr>
            <w:tcW w:w="440" w:type="dxa"/>
            <w:vAlign w:val="bottom"/>
          </w:tcPr>
          <w:p>
            <w:pPr>
              <w:spacing w:after="0"/>
              <w:rPr>
                <w:sz w:val="14"/>
                <w:szCs w:val="14"/>
                <w:color w:val="auto"/>
              </w:rPr>
            </w:pP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2,539</w:t>
            </w:r>
          </w:p>
        </w:tc>
        <w:tc>
          <w:tcPr>
            <w:tcW w:w="36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3,280</w:t>
            </w: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Other income, net</w:t>
            </w:r>
          </w:p>
        </w:tc>
        <w:tc>
          <w:tcPr>
            <w:tcW w:w="440" w:type="dxa"/>
            <w:vAlign w:val="bottom"/>
          </w:tcPr>
          <w:p>
            <w:pPr>
              <w:spacing w:after="0"/>
              <w:rPr>
                <w:sz w:val="14"/>
                <w:szCs w:val="14"/>
                <w:color w:val="auto"/>
              </w:rPr>
            </w:pP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678</w:t>
            </w:r>
          </w:p>
        </w:tc>
        <w:tc>
          <w:tcPr>
            <w:tcW w:w="36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3,658</w:t>
            </w:r>
          </w:p>
        </w:tc>
      </w:tr>
      <w:tr>
        <w:trPr>
          <w:trHeight w:val="170"/>
        </w:trPr>
        <w:tc>
          <w:tcPr>
            <w:tcW w:w="4800" w:type="dxa"/>
            <w:vAlign w:val="bottom"/>
          </w:tcPr>
          <w:p>
            <w:pPr>
              <w:spacing w:after="0"/>
              <w:rPr>
                <w:sz w:val="14"/>
                <w:szCs w:val="14"/>
                <w:color w:val="auto"/>
              </w:rPr>
            </w:pPr>
          </w:p>
        </w:tc>
        <w:tc>
          <w:tcPr>
            <w:tcW w:w="29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 -----------------</w:t>
            </w:r>
          </w:p>
        </w:tc>
      </w:tr>
      <w:tr>
        <w:trPr>
          <w:trHeight w:val="170"/>
        </w:trPr>
        <w:tc>
          <w:tcPr>
            <w:tcW w:w="4800" w:type="dxa"/>
            <w:vAlign w:val="bottom"/>
          </w:tcPr>
          <w:p>
            <w:pPr>
              <w:ind w:left="160"/>
              <w:spacing w:after="0"/>
              <w:rPr>
                <w:sz w:val="20"/>
                <w:szCs w:val="20"/>
                <w:color w:val="auto"/>
              </w:rPr>
            </w:pPr>
            <w:r>
              <w:rPr>
                <w:rFonts w:ascii="Courier New" w:cs="Courier New" w:eastAsia="Courier New" w:hAnsi="Courier New"/>
                <w:sz w:val="15"/>
                <w:szCs w:val="15"/>
                <w:color w:val="auto"/>
              </w:rPr>
              <w:t>Income before income taxes and cumulative</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4800" w:type="dxa"/>
            <w:vAlign w:val="bottom"/>
          </w:tcPr>
          <w:p>
            <w:pPr>
              <w:ind w:left="340"/>
              <w:spacing w:after="0"/>
              <w:rPr>
                <w:sz w:val="20"/>
                <w:szCs w:val="20"/>
                <w:color w:val="auto"/>
              </w:rPr>
            </w:pPr>
            <w:r>
              <w:rPr>
                <w:rFonts w:ascii="Courier New" w:cs="Courier New" w:eastAsia="Courier New" w:hAnsi="Courier New"/>
                <w:sz w:val="15"/>
                <w:szCs w:val="15"/>
                <w:color w:val="auto"/>
              </w:rPr>
              <w:t>effect of accounting change</w:t>
            </w:r>
          </w:p>
        </w:tc>
        <w:tc>
          <w:tcPr>
            <w:tcW w:w="440" w:type="dxa"/>
            <w:vAlign w:val="bottom"/>
          </w:tcPr>
          <w:p>
            <w:pPr>
              <w:spacing w:after="0"/>
              <w:rPr>
                <w:sz w:val="14"/>
                <w:szCs w:val="14"/>
                <w:color w:val="auto"/>
              </w:rPr>
            </w:pP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3,217</w:t>
            </w:r>
          </w:p>
        </w:tc>
        <w:tc>
          <w:tcPr>
            <w:tcW w:w="36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6,938</w:t>
            </w: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440" w:type="dxa"/>
            <w:vAlign w:val="bottom"/>
          </w:tcPr>
          <w:p>
            <w:pPr>
              <w:spacing w:after="0"/>
              <w:rPr>
                <w:sz w:val="14"/>
                <w:szCs w:val="14"/>
                <w:color w:val="auto"/>
              </w:rPr>
            </w:pP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965</w:t>
            </w:r>
          </w:p>
        </w:tc>
        <w:tc>
          <w:tcPr>
            <w:tcW w:w="36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2,220</w:t>
            </w:r>
          </w:p>
        </w:tc>
      </w:tr>
      <w:tr>
        <w:trPr>
          <w:trHeight w:val="170"/>
        </w:trPr>
        <w:tc>
          <w:tcPr>
            <w:tcW w:w="4800" w:type="dxa"/>
            <w:vAlign w:val="bottom"/>
          </w:tcPr>
          <w:p>
            <w:pPr>
              <w:spacing w:after="0"/>
              <w:rPr>
                <w:sz w:val="14"/>
                <w:szCs w:val="14"/>
                <w:color w:val="auto"/>
              </w:rPr>
            </w:pPr>
          </w:p>
        </w:tc>
        <w:tc>
          <w:tcPr>
            <w:tcW w:w="29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 -----------------</w:t>
            </w:r>
          </w:p>
        </w:tc>
      </w:tr>
      <w:tr>
        <w:trPr>
          <w:trHeight w:val="170"/>
        </w:trPr>
        <w:tc>
          <w:tcPr>
            <w:tcW w:w="4800" w:type="dxa"/>
            <w:vAlign w:val="bottom"/>
          </w:tcPr>
          <w:p>
            <w:pPr>
              <w:ind w:left="160"/>
              <w:spacing w:after="0"/>
              <w:rPr>
                <w:sz w:val="20"/>
                <w:szCs w:val="20"/>
                <w:color w:val="auto"/>
              </w:rPr>
            </w:pPr>
            <w:r>
              <w:rPr>
                <w:rFonts w:ascii="Courier New" w:cs="Courier New" w:eastAsia="Courier New" w:hAnsi="Courier New"/>
                <w:sz w:val="15"/>
                <w:szCs w:val="15"/>
                <w:color w:val="auto"/>
                <w:w w:val="98"/>
              </w:rPr>
              <w:t>Income before cumulative effect of accounting change</w:t>
            </w:r>
          </w:p>
        </w:tc>
        <w:tc>
          <w:tcPr>
            <w:tcW w:w="440" w:type="dxa"/>
            <w:vAlign w:val="bottom"/>
          </w:tcPr>
          <w:p>
            <w:pPr>
              <w:spacing w:after="0"/>
              <w:rPr>
                <w:sz w:val="14"/>
                <w:szCs w:val="14"/>
                <w:color w:val="auto"/>
              </w:rPr>
            </w:pP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2,252</w:t>
            </w:r>
          </w:p>
        </w:tc>
        <w:tc>
          <w:tcPr>
            <w:tcW w:w="36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4,718</w:t>
            </w:r>
          </w:p>
        </w:tc>
      </w:tr>
      <w:tr>
        <w:trPr>
          <w:trHeight w:val="339"/>
        </w:trPr>
        <w:tc>
          <w:tcPr>
            <w:tcW w:w="4800" w:type="dxa"/>
            <w:vAlign w:val="bottom"/>
          </w:tcPr>
          <w:p>
            <w:pPr>
              <w:spacing w:after="0"/>
              <w:rPr>
                <w:sz w:val="20"/>
                <w:szCs w:val="20"/>
                <w:color w:val="auto"/>
              </w:rPr>
            </w:pPr>
            <w:r>
              <w:rPr>
                <w:rFonts w:ascii="Courier New" w:cs="Courier New" w:eastAsia="Courier New" w:hAnsi="Courier New"/>
                <w:sz w:val="15"/>
                <w:szCs w:val="15"/>
                <w:color w:val="auto"/>
              </w:rPr>
              <w:t>Cumulative effect of accounting change (net of income</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0"/>
        </w:trPr>
        <w:tc>
          <w:tcPr>
            <w:tcW w:w="4800" w:type="dxa"/>
            <w:vAlign w:val="bottom"/>
          </w:tcPr>
          <w:p>
            <w:pPr>
              <w:ind w:left="340"/>
              <w:spacing w:after="0"/>
              <w:rPr>
                <w:sz w:val="20"/>
                <w:szCs w:val="20"/>
                <w:color w:val="auto"/>
              </w:rPr>
            </w:pPr>
            <w:r>
              <w:rPr>
                <w:rFonts w:ascii="Courier New" w:cs="Courier New" w:eastAsia="Courier New" w:hAnsi="Courier New"/>
                <w:sz w:val="15"/>
                <w:szCs w:val="15"/>
                <w:color w:val="auto"/>
              </w:rPr>
              <w:t>taxes of $171)</w:t>
            </w:r>
          </w:p>
        </w:tc>
        <w:tc>
          <w:tcPr>
            <w:tcW w:w="440" w:type="dxa"/>
            <w:vAlign w:val="bottom"/>
          </w:tcPr>
          <w:p>
            <w:pPr>
              <w:spacing w:after="0"/>
              <w:rPr>
                <w:sz w:val="14"/>
                <w:szCs w:val="14"/>
                <w:color w:val="auto"/>
              </w:rPr>
            </w:pP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(364)</w:t>
            </w:r>
          </w:p>
        </w:tc>
      </w:tr>
      <w:tr>
        <w:trPr>
          <w:trHeight w:val="170"/>
        </w:trPr>
        <w:tc>
          <w:tcPr>
            <w:tcW w:w="4800" w:type="dxa"/>
            <w:vAlign w:val="bottom"/>
          </w:tcPr>
          <w:p>
            <w:pPr>
              <w:spacing w:after="0"/>
              <w:rPr>
                <w:sz w:val="14"/>
                <w:szCs w:val="14"/>
                <w:color w:val="auto"/>
              </w:rPr>
            </w:pPr>
          </w:p>
        </w:tc>
        <w:tc>
          <w:tcPr>
            <w:tcW w:w="29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 -----------------</w:t>
            </w:r>
          </w:p>
        </w:tc>
      </w:tr>
      <w:tr>
        <w:trPr>
          <w:trHeight w:val="170"/>
        </w:trPr>
        <w:tc>
          <w:tcPr>
            <w:tcW w:w="4800" w:type="dxa"/>
            <w:vAlign w:val="bottom"/>
          </w:tcPr>
          <w:p>
            <w:pPr>
              <w:ind w:left="160"/>
              <w:spacing w:after="0"/>
              <w:rPr>
                <w:sz w:val="20"/>
                <w:szCs w:val="20"/>
                <w:color w:val="auto"/>
              </w:rPr>
            </w:pPr>
            <w:r>
              <w:rPr>
                <w:rFonts w:ascii="Courier New" w:cs="Courier New" w:eastAsia="Courier New" w:hAnsi="Courier New"/>
                <w:sz w:val="15"/>
                <w:szCs w:val="15"/>
                <w:color w:val="auto"/>
              </w:rPr>
              <w:t>Net income</w:t>
            </w:r>
          </w:p>
        </w:tc>
        <w:tc>
          <w:tcPr>
            <w:tcW w:w="440" w:type="dxa"/>
            <w:vAlign w:val="bottom"/>
          </w:tcPr>
          <w:p>
            <w:pPr>
              <w:spacing w:after="0"/>
              <w:rPr>
                <w:sz w:val="14"/>
                <w:szCs w:val="14"/>
                <w:color w:val="auto"/>
              </w:rPr>
            </w:pP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2,252</w:t>
            </w:r>
          </w:p>
        </w:tc>
        <w:tc>
          <w:tcPr>
            <w:tcW w:w="36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4,354</w:t>
            </w:r>
          </w:p>
        </w:tc>
      </w:tr>
      <w:tr>
        <w:trPr>
          <w:trHeight w:val="339"/>
        </w:trPr>
        <w:tc>
          <w:tcPr>
            <w:tcW w:w="4800" w:type="dxa"/>
            <w:vAlign w:val="bottom"/>
          </w:tcPr>
          <w:p>
            <w:pPr>
              <w:spacing w:after="0"/>
              <w:rPr>
                <w:sz w:val="20"/>
                <w:szCs w:val="20"/>
                <w:color w:val="auto"/>
              </w:rPr>
            </w:pPr>
            <w:r>
              <w:rPr>
                <w:rFonts w:ascii="Courier New" w:cs="Courier New" w:eastAsia="Courier New" w:hAnsi="Courier New"/>
                <w:sz w:val="15"/>
                <w:szCs w:val="15"/>
                <w:color w:val="auto"/>
              </w:rPr>
              <w:t>Retained earnings-beginning of period</w:t>
            </w:r>
          </w:p>
        </w:tc>
        <w:tc>
          <w:tcPr>
            <w:tcW w:w="440" w:type="dxa"/>
            <w:vAlign w:val="bottom"/>
          </w:tcPr>
          <w:p>
            <w:pPr>
              <w:spacing w:after="0"/>
              <w:rPr>
                <w:sz w:val="24"/>
                <w:szCs w:val="24"/>
                <w:color w:val="auto"/>
              </w:rPr>
            </w:pP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185,293</w:t>
            </w:r>
          </w:p>
        </w:tc>
        <w:tc>
          <w:tcPr>
            <w:tcW w:w="360" w:type="dxa"/>
            <w:vAlign w:val="bottom"/>
          </w:tcPr>
          <w:p>
            <w:pPr>
              <w:spacing w:after="0"/>
              <w:rPr>
                <w:sz w:val="24"/>
                <w:szCs w:val="2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187,973</w:t>
            </w: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Cash dividends</w:t>
            </w:r>
          </w:p>
        </w:tc>
        <w:tc>
          <w:tcPr>
            <w:tcW w:w="44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(2,346)</w:t>
            </w: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(2,393)</w:t>
            </w: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Purchase and retirement of common stock, net</w:t>
            </w:r>
          </w:p>
        </w:tc>
        <w:tc>
          <w:tcPr>
            <w:tcW w:w="44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(171)</w:t>
            </w: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(1,894)</w:t>
            </w:r>
          </w:p>
        </w:tc>
      </w:tr>
      <w:tr>
        <w:trPr>
          <w:trHeight w:val="170"/>
        </w:trPr>
        <w:tc>
          <w:tcPr>
            <w:tcW w:w="4800" w:type="dxa"/>
            <w:vAlign w:val="bottom"/>
          </w:tcPr>
          <w:p>
            <w:pPr>
              <w:spacing w:after="0"/>
              <w:rPr>
                <w:sz w:val="14"/>
                <w:szCs w:val="14"/>
                <w:color w:val="auto"/>
              </w:rPr>
            </w:pPr>
          </w:p>
        </w:tc>
        <w:tc>
          <w:tcPr>
            <w:tcW w:w="29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 -----------------</w:t>
            </w: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Retained earnings-end of period</w:t>
            </w:r>
          </w:p>
        </w:tc>
        <w:tc>
          <w:tcPr>
            <w:tcW w:w="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185,028</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188,040</w:t>
            </w:r>
          </w:p>
        </w:tc>
      </w:tr>
      <w:tr>
        <w:trPr>
          <w:trHeight w:val="170"/>
        </w:trPr>
        <w:tc>
          <w:tcPr>
            <w:tcW w:w="4800" w:type="dxa"/>
            <w:vAlign w:val="bottom"/>
          </w:tcPr>
          <w:p>
            <w:pPr>
              <w:spacing w:after="0"/>
              <w:rPr>
                <w:sz w:val="14"/>
                <w:szCs w:val="14"/>
                <w:color w:val="auto"/>
              </w:rPr>
            </w:pPr>
          </w:p>
        </w:tc>
        <w:tc>
          <w:tcPr>
            <w:tcW w:w="29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 =================</w:t>
            </w:r>
          </w:p>
        </w:tc>
      </w:tr>
      <w:tr>
        <w:trPr>
          <w:trHeight w:val="339"/>
        </w:trPr>
        <w:tc>
          <w:tcPr>
            <w:tcW w:w="480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Income before cumulative effect of accounting change</w:t>
            </w:r>
          </w:p>
        </w:tc>
        <w:tc>
          <w:tcPr>
            <w:tcW w:w="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0.19</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0.39</w:t>
            </w: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Cumulative effect of accounting change</w:t>
            </w:r>
          </w:p>
        </w:tc>
        <w:tc>
          <w:tcPr>
            <w:tcW w:w="440" w:type="dxa"/>
            <w:vAlign w:val="bottom"/>
          </w:tcPr>
          <w:p>
            <w:pPr>
              <w:spacing w:after="0"/>
              <w:rPr>
                <w:sz w:val="14"/>
                <w:szCs w:val="14"/>
                <w:color w:val="auto"/>
              </w:rPr>
            </w:pP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(0.03)</w:t>
            </w:r>
          </w:p>
        </w:tc>
      </w:tr>
      <w:tr>
        <w:trPr>
          <w:trHeight w:val="170"/>
        </w:trPr>
        <w:tc>
          <w:tcPr>
            <w:tcW w:w="4800" w:type="dxa"/>
            <w:vAlign w:val="bottom"/>
          </w:tcPr>
          <w:p>
            <w:pPr>
              <w:spacing w:after="0"/>
              <w:rPr>
                <w:sz w:val="14"/>
                <w:szCs w:val="14"/>
                <w:color w:val="auto"/>
              </w:rPr>
            </w:pPr>
          </w:p>
        </w:tc>
        <w:tc>
          <w:tcPr>
            <w:tcW w:w="29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 -----------------</w:t>
            </w: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Net income per share</w:t>
            </w:r>
          </w:p>
        </w:tc>
        <w:tc>
          <w:tcPr>
            <w:tcW w:w="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0.19</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0.36</w:t>
            </w:r>
          </w:p>
        </w:tc>
      </w:tr>
      <w:tr>
        <w:trPr>
          <w:trHeight w:val="170"/>
        </w:trPr>
        <w:tc>
          <w:tcPr>
            <w:tcW w:w="4800" w:type="dxa"/>
            <w:vAlign w:val="bottom"/>
          </w:tcPr>
          <w:p>
            <w:pPr>
              <w:spacing w:after="0"/>
              <w:rPr>
                <w:sz w:val="14"/>
                <w:szCs w:val="14"/>
                <w:color w:val="auto"/>
              </w:rPr>
            </w:pPr>
          </w:p>
        </w:tc>
        <w:tc>
          <w:tcPr>
            <w:tcW w:w="29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 =================</w:t>
            </w:r>
          </w:p>
        </w:tc>
      </w:tr>
      <w:tr>
        <w:trPr>
          <w:trHeight w:val="339"/>
        </w:trPr>
        <w:tc>
          <w:tcPr>
            <w:tcW w:w="480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Income before cumulative effect of accounting change</w:t>
            </w:r>
          </w:p>
        </w:tc>
        <w:tc>
          <w:tcPr>
            <w:tcW w:w="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0.19</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0.39</w:t>
            </w: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Cumulative effect of accounting change</w:t>
            </w:r>
          </w:p>
        </w:tc>
        <w:tc>
          <w:tcPr>
            <w:tcW w:w="440" w:type="dxa"/>
            <w:vAlign w:val="bottom"/>
          </w:tcPr>
          <w:p>
            <w:pPr>
              <w:spacing w:after="0"/>
              <w:rPr>
                <w:sz w:val="14"/>
                <w:szCs w:val="14"/>
                <w:color w:val="auto"/>
              </w:rPr>
            </w:pP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(0.03)</w:t>
            </w:r>
          </w:p>
        </w:tc>
      </w:tr>
      <w:tr>
        <w:trPr>
          <w:trHeight w:val="170"/>
        </w:trPr>
        <w:tc>
          <w:tcPr>
            <w:tcW w:w="4800" w:type="dxa"/>
            <w:vAlign w:val="bottom"/>
          </w:tcPr>
          <w:p>
            <w:pPr>
              <w:spacing w:after="0"/>
              <w:rPr>
                <w:sz w:val="14"/>
                <w:szCs w:val="14"/>
                <w:color w:val="auto"/>
              </w:rPr>
            </w:pPr>
          </w:p>
        </w:tc>
        <w:tc>
          <w:tcPr>
            <w:tcW w:w="29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 -----------------</w:t>
            </w: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Net income per share</w:t>
            </w:r>
          </w:p>
        </w:tc>
        <w:tc>
          <w:tcPr>
            <w:tcW w:w="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0.19</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0.36</w:t>
            </w:r>
          </w:p>
        </w:tc>
      </w:tr>
      <w:tr>
        <w:trPr>
          <w:trHeight w:val="170"/>
        </w:trPr>
        <w:tc>
          <w:tcPr>
            <w:tcW w:w="4800" w:type="dxa"/>
            <w:vAlign w:val="bottom"/>
          </w:tcPr>
          <w:p>
            <w:pPr>
              <w:spacing w:after="0"/>
              <w:rPr>
                <w:sz w:val="14"/>
                <w:szCs w:val="14"/>
                <w:color w:val="auto"/>
              </w:rPr>
            </w:pPr>
          </w:p>
        </w:tc>
        <w:tc>
          <w:tcPr>
            <w:tcW w:w="29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 =================</w:t>
            </w:r>
          </w:p>
        </w:tc>
      </w:tr>
      <w:tr>
        <w:trPr>
          <w:trHeight w:val="339"/>
        </w:trPr>
        <w:tc>
          <w:tcPr>
            <w:tcW w:w="4800" w:type="dxa"/>
            <w:vAlign w:val="bottom"/>
          </w:tcPr>
          <w:p>
            <w:pPr>
              <w:spacing w:after="0"/>
              <w:rPr>
                <w:sz w:val="20"/>
                <w:szCs w:val="20"/>
                <w:color w:val="auto"/>
              </w:rPr>
            </w:pPr>
            <w:r>
              <w:rPr>
                <w:rFonts w:ascii="Courier New" w:cs="Courier New" w:eastAsia="Courier New" w:hAnsi="Courier New"/>
                <w:sz w:val="15"/>
                <w:szCs w:val="15"/>
                <w:color w:val="auto"/>
              </w:rPr>
              <w:t>Dividends per share</w:t>
            </w:r>
          </w:p>
        </w:tc>
        <w:tc>
          <w:tcPr>
            <w:tcW w:w="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0.20</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0.20</w:t>
            </w:r>
          </w:p>
        </w:tc>
      </w:tr>
      <w:tr>
        <w:trPr>
          <w:trHeight w:val="170"/>
        </w:trPr>
        <w:tc>
          <w:tcPr>
            <w:tcW w:w="4800" w:type="dxa"/>
            <w:vAlign w:val="bottom"/>
          </w:tcPr>
          <w:p>
            <w:pPr>
              <w:spacing w:after="0"/>
              <w:rPr>
                <w:sz w:val="14"/>
                <w:szCs w:val="14"/>
                <w:color w:val="auto"/>
              </w:rPr>
            </w:pPr>
          </w:p>
        </w:tc>
        <w:tc>
          <w:tcPr>
            <w:tcW w:w="29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 =================</w:t>
            </w:r>
          </w:p>
        </w:tc>
      </w:tr>
    </w:tbl>
    <w:p>
      <w:pPr>
        <w:spacing w:after="0" w:line="344" w:lineRule="exact"/>
        <w:rPr>
          <w:sz w:val="20"/>
          <w:szCs w:val="20"/>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The accompanying notes to condensed consolidated financial statements are an integral part of the condensed consolidated financial statements.</w:t>
      </w:r>
    </w:p>
    <w:p>
      <w:pPr>
        <w:spacing w:after="0" w:line="17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2 of 13</w:t>
      </w:r>
    </w:p>
    <w:p>
      <w:pPr>
        <w:sectPr>
          <w:pgSz w:w="11900" w:h="16838" w:orient="portrait"/>
          <w:cols w:equalWidth="0" w:num="1">
            <w:col w:w="10219"/>
          </w:cols>
          <w:pgMar w:left="240" w:top="283"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33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PART I - FINANCIAL INFORMATION - CONTINUED</w:t>
      </w:r>
    </w:p>
    <w:p>
      <w:pPr>
        <w:ind w:left="1220"/>
        <w:spacing w:after="0"/>
        <w:rPr>
          <w:sz w:val="20"/>
          <w:szCs w:val="20"/>
          <w:color w:val="auto"/>
        </w:rPr>
      </w:pPr>
      <w:r>
        <w:rPr>
          <w:rFonts w:ascii="Courier New" w:cs="Courier New" w:eastAsia="Courier New" w:hAnsi="Courier New"/>
          <w:sz w:val="15"/>
          <w:szCs w:val="15"/>
          <w:color w:val="auto"/>
        </w:rPr>
        <w:t>BASSETT FURNITURE INDUSTRIES INC. AND SUBSIDIARIES</w:t>
      </w:r>
    </w:p>
    <w:p>
      <w:pPr>
        <w:ind w:left="1760"/>
        <w:spacing w:after="0"/>
        <w:rPr>
          <w:sz w:val="20"/>
          <w:szCs w:val="20"/>
          <w:color w:val="auto"/>
        </w:rPr>
      </w:pPr>
      <w:r>
        <w:rPr>
          <w:rFonts w:ascii="Courier New" w:cs="Courier New" w:eastAsia="Courier New" w:hAnsi="Courier New"/>
          <w:sz w:val="15"/>
          <w:szCs w:val="15"/>
          <w:color w:val="auto"/>
        </w:rPr>
        <w:t>CONDENSED CONSOLIDATED BALANCE SHEETS</w:t>
      </w:r>
    </w:p>
    <w:p>
      <w:pPr>
        <w:jc w:val="center"/>
        <w:ind w:right="3439"/>
        <w:spacing w:after="0" w:line="238" w:lineRule="auto"/>
        <w:rPr>
          <w:sz w:val="20"/>
          <w:szCs w:val="20"/>
          <w:color w:val="auto"/>
        </w:rPr>
      </w:pPr>
      <w:r>
        <w:rPr>
          <w:rFonts w:ascii="Courier New" w:cs="Courier New" w:eastAsia="Courier New" w:hAnsi="Courier New"/>
          <w:sz w:val="15"/>
          <w:szCs w:val="15"/>
          <w:color w:val="auto"/>
        </w:rPr>
        <w:t>FEBRUARY 24, 2001 AND NOVEMBER 25, 2000</w:t>
      </w:r>
    </w:p>
    <w:p>
      <w:pPr>
        <w:jc w:val="center"/>
        <w:ind w:right="3359"/>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98"/>
              </w:rPr>
              <w:t>(Unaudited)</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52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6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February 24, 2001</w:t>
            </w: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November 25, 2000</w:t>
            </w:r>
          </w:p>
        </w:tc>
      </w:tr>
      <w:tr>
        <w:trPr>
          <w:trHeight w:val="170"/>
        </w:trPr>
        <w:tc>
          <w:tcPr>
            <w:tcW w:w="5240" w:type="dxa"/>
            <w:vAlign w:val="bottom"/>
          </w:tcPr>
          <w:p>
            <w:pPr>
              <w:spacing w:after="0"/>
              <w:rPr>
                <w:sz w:val="14"/>
                <w:szCs w:val="14"/>
                <w:color w:val="auto"/>
              </w:rPr>
            </w:pPr>
          </w:p>
        </w:tc>
        <w:tc>
          <w:tcPr>
            <w:tcW w:w="16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2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5240" w:type="dxa"/>
            <w:vAlign w:val="bottom"/>
          </w:tcPr>
          <w:p>
            <w:pPr>
              <w:ind w:left="340"/>
              <w:spacing w:after="0"/>
              <w:rPr>
                <w:sz w:val="20"/>
                <w:szCs w:val="20"/>
                <w:color w:val="auto"/>
              </w:rPr>
            </w:pPr>
            <w:r>
              <w:rPr>
                <w:rFonts w:ascii="Courier New" w:cs="Courier New" w:eastAsia="Courier New" w:hAnsi="Courier New"/>
                <w:sz w:val="15"/>
                <w:szCs w:val="15"/>
                <w:color w:val="auto"/>
              </w:rPr>
              <w:t>Cash and cash equivalents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4,041</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3,259</w:t>
            </w:r>
          </w:p>
        </w:tc>
      </w:tr>
      <w:tr>
        <w:trPr>
          <w:trHeight w:val="170"/>
        </w:trPr>
        <w:tc>
          <w:tcPr>
            <w:tcW w:w="5240" w:type="dxa"/>
            <w:vAlign w:val="bottom"/>
          </w:tcPr>
          <w:p>
            <w:pPr>
              <w:ind w:left="340"/>
              <w:spacing w:after="0"/>
              <w:rPr>
                <w:sz w:val="20"/>
                <w:szCs w:val="20"/>
                <w:color w:val="auto"/>
              </w:rPr>
            </w:pPr>
            <w:r>
              <w:rPr>
                <w:rFonts w:ascii="Courier New" w:cs="Courier New" w:eastAsia="Courier New" w:hAnsi="Courier New"/>
                <w:sz w:val="15"/>
                <w:szCs w:val="15"/>
                <w:color w:val="auto"/>
              </w:rPr>
              <w:t>Trade accounts receivable, net</w:t>
            </w:r>
          </w:p>
        </w:tc>
        <w:tc>
          <w:tcPr>
            <w:tcW w:w="300" w:type="dxa"/>
            <w:vAlign w:val="bottom"/>
          </w:tcPr>
          <w:p>
            <w:pPr>
              <w:spacing w:after="0"/>
              <w:rPr>
                <w:sz w:val="14"/>
                <w:szCs w:val="1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66,349</w:t>
            </w:r>
          </w:p>
        </w:tc>
        <w:tc>
          <w:tcPr>
            <w:tcW w:w="62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70,309</w:t>
            </w:r>
          </w:p>
        </w:tc>
      </w:tr>
      <w:tr>
        <w:trPr>
          <w:trHeight w:val="170"/>
        </w:trPr>
        <w:tc>
          <w:tcPr>
            <w:tcW w:w="5240" w:type="dxa"/>
            <w:vAlign w:val="bottom"/>
          </w:tcPr>
          <w:p>
            <w:pPr>
              <w:ind w:left="340"/>
              <w:spacing w:after="0"/>
              <w:rPr>
                <w:sz w:val="20"/>
                <w:szCs w:val="20"/>
                <w:color w:val="auto"/>
              </w:rPr>
            </w:pPr>
            <w:r>
              <w:rPr>
                <w:rFonts w:ascii="Courier New" w:cs="Courier New" w:eastAsia="Courier New" w:hAnsi="Courier New"/>
                <w:sz w:val="15"/>
                <w:szCs w:val="15"/>
                <w:color w:val="auto"/>
              </w:rPr>
              <w:t>Inventories, net</w:t>
            </w:r>
          </w:p>
        </w:tc>
        <w:tc>
          <w:tcPr>
            <w:tcW w:w="300" w:type="dxa"/>
            <w:vAlign w:val="bottom"/>
          </w:tcPr>
          <w:p>
            <w:pPr>
              <w:spacing w:after="0"/>
              <w:rPr>
                <w:sz w:val="14"/>
                <w:szCs w:val="1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45,231</w:t>
            </w:r>
          </w:p>
        </w:tc>
        <w:tc>
          <w:tcPr>
            <w:tcW w:w="62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50,201</w:t>
            </w:r>
          </w:p>
        </w:tc>
      </w:tr>
      <w:tr>
        <w:trPr>
          <w:trHeight w:val="170"/>
        </w:trPr>
        <w:tc>
          <w:tcPr>
            <w:tcW w:w="5240" w:type="dxa"/>
            <w:vAlign w:val="bottom"/>
          </w:tcPr>
          <w:p>
            <w:pPr>
              <w:ind w:left="340"/>
              <w:spacing w:after="0"/>
              <w:rPr>
                <w:sz w:val="20"/>
                <w:szCs w:val="20"/>
                <w:color w:val="auto"/>
              </w:rPr>
            </w:pPr>
            <w:r>
              <w:rPr>
                <w:rFonts w:ascii="Courier New" w:cs="Courier New" w:eastAsia="Courier New" w:hAnsi="Courier New"/>
                <w:sz w:val="15"/>
                <w:szCs w:val="15"/>
                <w:color w:val="auto"/>
              </w:rPr>
              <w:t>Other current assets</w:t>
            </w:r>
          </w:p>
        </w:tc>
        <w:tc>
          <w:tcPr>
            <w:tcW w:w="300" w:type="dxa"/>
            <w:vAlign w:val="bottom"/>
          </w:tcPr>
          <w:p>
            <w:pPr>
              <w:spacing w:after="0"/>
              <w:rPr>
                <w:sz w:val="14"/>
                <w:szCs w:val="1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6,559</w:t>
            </w:r>
          </w:p>
        </w:tc>
        <w:tc>
          <w:tcPr>
            <w:tcW w:w="62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6,069</w:t>
            </w:r>
          </w:p>
        </w:tc>
      </w:tr>
      <w:tr>
        <w:trPr>
          <w:trHeight w:val="170"/>
        </w:trPr>
        <w:tc>
          <w:tcPr>
            <w:tcW w:w="5240" w:type="dxa"/>
            <w:vAlign w:val="bottom"/>
          </w:tcPr>
          <w:p>
            <w:pPr>
              <w:ind w:left="340"/>
              <w:spacing w:after="0"/>
              <w:rPr>
                <w:sz w:val="20"/>
                <w:szCs w:val="20"/>
                <w:color w:val="auto"/>
              </w:rPr>
            </w:pPr>
            <w:r>
              <w:rPr>
                <w:rFonts w:ascii="Courier New" w:cs="Courier New" w:eastAsia="Courier New" w:hAnsi="Courier New"/>
                <w:sz w:val="15"/>
                <w:szCs w:val="15"/>
                <w:color w:val="auto"/>
              </w:rPr>
              <w:t>Refundable income taxes</w:t>
            </w:r>
          </w:p>
        </w:tc>
        <w:tc>
          <w:tcPr>
            <w:tcW w:w="300" w:type="dxa"/>
            <w:vAlign w:val="bottom"/>
          </w:tcPr>
          <w:p>
            <w:pPr>
              <w:spacing w:after="0"/>
              <w:rPr>
                <w:sz w:val="14"/>
                <w:szCs w:val="1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580</w:t>
            </w:r>
          </w:p>
        </w:tc>
        <w:tc>
          <w:tcPr>
            <w:tcW w:w="62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580</w:t>
            </w:r>
          </w:p>
        </w:tc>
      </w:tr>
      <w:tr>
        <w:trPr>
          <w:trHeight w:val="170"/>
        </w:trPr>
        <w:tc>
          <w:tcPr>
            <w:tcW w:w="5240" w:type="dxa"/>
            <w:vAlign w:val="bottom"/>
          </w:tcPr>
          <w:p>
            <w:pPr>
              <w:ind w:left="340"/>
              <w:spacing w:after="0"/>
              <w:rPr>
                <w:sz w:val="20"/>
                <w:szCs w:val="20"/>
                <w:color w:val="auto"/>
              </w:rPr>
            </w:pPr>
            <w:r>
              <w:rPr>
                <w:rFonts w:ascii="Courier New" w:cs="Courier New" w:eastAsia="Courier New" w:hAnsi="Courier New"/>
                <w:sz w:val="15"/>
                <w:szCs w:val="15"/>
                <w:color w:val="auto"/>
              </w:rPr>
              <w:t>Deferred income taxes</w:t>
            </w:r>
          </w:p>
        </w:tc>
        <w:tc>
          <w:tcPr>
            <w:tcW w:w="300" w:type="dxa"/>
            <w:vAlign w:val="bottom"/>
          </w:tcPr>
          <w:p>
            <w:pPr>
              <w:spacing w:after="0"/>
              <w:rPr>
                <w:sz w:val="14"/>
                <w:szCs w:val="1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6,457</w:t>
            </w:r>
          </w:p>
        </w:tc>
        <w:tc>
          <w:tcPr>
            <w:tcW w:w="62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6,457</w:t>
            </w:r>
          </w:p>
        </w:tc>
      </w:tr>
      <w:tr>
        <w:trPr>
          <w:trHeight w:val="170"/>
        </w:trPr>
        <w:tc>
          <w:tcPr>
            <w:tcW w:w="5240" w:type="dxa"/>
            <w:vAlign w:val="bottom"/>
          </w:tcPr>
          <w:p>
            <w:pPr>
              <w:spacing w:after="0"/>
              <w:rPr>
                <w:sz w:val="14"/>
                <w:szCs w:val="14"/>
                <w:color w:val="auto"/>
              </w:rPr>
            </w:pPr>
          </w:p>
        </w:tc>
        <w:tc>
          <w:tcPr>
            <w:tcW w:w="16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240" w:type="dxa"/>
            <w:vAlign w:val="bottom"/>
          </w:tcPr>
          <w:p>
            <w:pPr>
              <w:spacing w:after="0"/>
              <w:rPr>
                <w:sz w:val="20"/>
                <w:szCs w:val="20"/>
                <w:color w:val="auto"/>
              </w:rPr>
            </w:pPr>
            <w:r>
              <w:rPr>
                <w:rFonts w:ascii="Courier New" w:cs="Courier New" w:eastAsia="Courier New" w:hAnsi="Courier New"/>
                <w:sz w:val="15"/>
                <w:szCs w:val="15"/>
                <w:color w:val="auto"/>
              </w:rPr>
              <w:t>Total current assets</w:t>
            </w:r>
          </w:p>
        </w:tc>
        <w:tc>
          <w:tcPr>
            <w:tcW w:w="300" w:type="dxa"/>
            <w:vAlign w:val="bottom"/>
          </w:tcPr>
          <w:p>
            <w:pPr>
              <w:spacing w:after="0"/>
              <w:rPr>
                <w:sz w:val="14"/>
                <w:szCs w:val="1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129,217</w:t>
            </w:r>
          </w:p>
        </w:tc>
        <w:tc>
          <w:tcPr>
            <w:tcW w:w="62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136,875</w:t>
            </w:r>
          </w:p>
        </w:tc>
      </w:tr>
      <w:tr>
        <w:trPr>
          <w:trHeight w:val="170"/>
        </w:trPr>
        <w:tc>
          <w:tcPr>
            <w:tcW w:w="5240" w:type="dxa"/>
            <w:vAlign w:val="bottom"/>
          </w:tcPr>
          <w:p>
            <w:pPr>
              <w:spacing w:after="0"/>
              <w:rPr>
                <w:sz w:val="14"/>
                <w:szCs w:val="14"/>
                <w:color w:val="auto"/>
              </w:rPr>
            </w:pPr>
          </w:p>
        </w:tc>
        <w:tc>
          <w:tcPr>
            <w:tcW w:w="16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240" w:type="dxa"/>
            <w:vAlign w:val="bottom"/>
          </w:tcPr>
          <w:p>
            <w:pPr>
              <w:spacing w:after="0"/>
              <w:rPr>
                <w:sz w:val="20"/>
                <w:szCs w:val="20"/>
                <w:color w:val="auto"/>
              </w:rPr>
            </w:pPr>
            <w:r>
              <w:rPr>
                <w:rFonts w:ascii="Courier New" w:cs="Courier New" w:eastAsia="Courier New" w:hAnsi="Courier New"/>
                <w:sz w:val="15"/>
                <w:szCs w:val="15"/>
                <w:color w:val="auto"/>
              </w:rPr>
              <w:t>Property &amp; equipment</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5240" w:type="dxa"/>
            <w:vAlign w:val="bottom"/>
          </w:tcPr>
          <w:p>
            <w:pPr>
              <w:ind w:left="340"/>
              <w:spacing w:after="0"/>
              <w:rPr>
                <w:sz w:val="20"/>
                <w:szCs w:val="20"/>
                <w:color w:val="auto"/>
              </w:rPr>
            </w:pPr>
            <w:r>
              <w:rPr>
                <w:rFonts w:ascii="Courier New" w:cs="Courier New" w:eastAsia="Courier New" w:hAnsi="Courier New"/>
                <w:sz w:val="15"/>
                <w:szCs w:val="15"/>
                <w:color w:val="auto"/>
              </w:rPr>
              <w:t>Cost</w:t>
            </w:r>
          </w:p>
        </w:tc>
        <w:tc>
          <w:tcPr>
            <w:tcW w:w="300" w:type="dxa"/>
            <w:vAlign w:val="bottom"/>
          </w:tcPr>
          <w:p>
            <w:pPr>
              <w:spacing w:after="0"/>
              <w:rPr>
                <w:sz w:val="14"/>
                <w:szCs w:val="1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228,931</w:t>
            </w:r>
          </w:p>
        </w:tc>
        <w:tc>
          <w:tcPr>
            <w:tcW w:w="62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230,043</w:t>
            </w:r>
          </w:p>
        </w:tc>
      </w:tr>
      <w:tr>
        <w:trPr>
          <w:trHeight w:val="170"/>
        </w:trPr>
        <w:tc>
          <w:tcPr>
            <w:tcW w:w="5240" w:type="dxa"/>
            <w:vAlign w:val="bottom"/>
          </w:tcPr>
          <w:p>
            <w:pPr>
              <w:ind w:left="340"/>
              <w:spacing w:after="0"/>
              <w:rPr>
                <w:sz w:val="20"/>
                <w:szCs w:val="20"/>
                <w:color w:val="auto"/>
              </w:rPr>
            </w:pPr>
            <w:r>
              <w:rPr>
                <w:rFonts w:ascii="Courier New" w:cs="Courier New" w:eastAsia="Courier New" w:hAnsi="Courier New"/>
                <w:sz w:val="15"/>
                <w:szCs w:val="15"/>
                <w:color w:val="auto"/>
              </w:rPr>
              <w:t>Less accumulated depreciation</w:t>
            </w:r>
          </w:p>
        </w:tc>
        <w:tc>
          <w:tcPr>
            <w:tcW w:w="300" w:type="dxa"/>
            <w:vAlign w:val="bottom"/>
          </w:tcPr>
          <w:p>
            <w:pPr>
              <w:spacing w:after="0"/>
              <w:rPr>
                <w:sz w:val="14"/>
                <w:szCs w:val="1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134,746</w:t>
            </w:r>
          </w:p>
        </w:tc>
        <w:tc>
          <w:tcPr>
            <w:tcW w:w="62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136,071</w:t>
            </w:r>
          </w:p>
        </w:tc>
      </w:tr>
      <w:tr>
        <w:trPr>
          <w:trHeight w:val="170"/>
        </w:trPr>
        <w:tc>
          <w:tcPr>
            <w:tcW w:w="5240" w:type="dxa"/>
            <w:vAlign w:val="bottom"/>
          </w:tcPr>
          <w:p>
            <w:pPr>
              <w:spacing w:after="0"/>
              <w:rPr>
                <w:sz w:val="14"/>
                <w:szCs w:val="14"/>
                <w:color w:val="auto"/>
              </w:rPr>
            </w:pPr>
          </w:p>
        </w:tc>
        <w:tc>
          <w:tcPr>
            <w:tcW w:w="16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240" w:type="dxa"/>
            <w:vAlign w:val="bottom"/>
          </w:tcPr>
          <w:p>
            <w:pPr>
              <w:spacing w:after="0"/>
              <w:rPr>
                <w:sz w:val="20"/>
                <w:szCs w:val="20"/>
                <w:color w:val="auto"/>
              </w:rPr>
            </w:pPr>
            <w:r>
              <w:rPr>
                <w:rFonts w:ascii="Courier New" w:cs="Courier New" w:eastAsia="Courier New" w:hAnsi="Courier New"/>
                <w:sz w:val="15"/>
                <w:szCs w:val="15"/>
                <w:color w:val="auto"/>
              </w:rPr>
              <w:t>Total property &amp; equipment</w:t>
            </w:r>
          </w:p>
        </w:tc>
        <w:tc>
          <w:tcPr>
            <w:tcW w:w="300" w:type="dxa"/>
            <w:vAlign w:val="bottom"/>
          </w:tcPr>
          <w:p>
            <w:pPr>
              <w:spacing w:after="0"/>
              <w:rPr>
                <w:sz w:val="14"/>
                <w:szCs w:val="1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94,185</w:t>
            </w:r>
          </w:p>
        </w:tc>
        <w:tc>
          <w:tcPr>
            <w:tcW w:w="62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93,972</w:t>
            </w:r>
          </w:p>
        </w:tc>
      </w:tr>
      <w:tr>
        <w:trPr>
          <w:trHeight w:val="170"/>
        </w:trPr>
        <w:tc>
          <w:tcPr>
            <w:tcW w:w="5240" w:type="dxa"/>
            <w:vAlign w:val="bottom"/>
          </w:tcPr>
          <w:p>
            <w:pPr>
              <w:spacing w:after="0"/>
              <w:rPr>
                <w:sz w:val="14"/>
                <w:szCs w:val="14"/>
                <w:color w:val="auto"/>
              </w:rPr>
            </w:pPr>
          </w:p>
        </w:tc>
        <w:tc>
          <w:tcPr>
            <w:tcW w:w="16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240" w:type="dxa"/>
            <w:vAlign w:val="bottom"/>
          </w:tcPr>
          <w:p>
            <w:pPr>
              <w:spacing w:after="0"/>
              <w:rPr>
                <w:sz w:val="20"/>
                <w:szCs w:val="20"/>
                <w:color w:val="auto"/>
              </w:rPr>
            </w:pPr>
            <w:r>
              <w:rPr>
                <w:rFonts w:ascii="Courier New" w:cs="Courier New" w:eastAsia="Courier New" w:hAnsi="Courier New"/>
                <w:sz w:val="15"/>
                <w:szCs w:val="15"/>
                <w:color w:val="auto"/>
              </w:rPr>
              <w:t>Other long-term assets</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5240" w:type="dxa"/>
            <w:vAlign w:val="bottom"/>
          </w:tcPr>
          <w:p>
            <w:pPr>
              <w:ind w:left="340"/>
              <w:spacing w:after="0"/>
              <w:rPr>
                <w:sz w:val="20"/>
                <w:szCs w:val="20"/>
                <w:color w:val="auto"/>
              </w:rPr>
            </w:pPr>
            <w:r>
              <w:rPr>
                <w:rFonts w:ascii="Courier New" w:cs="Courier New" w:eastAsia="Courier New" w:hAnsi="Courier New"/>
                <w:sz w:val="15"/>
                <w:szCs w:val="15"/>
                <w:color w:val="auto"/>
              </w:rPr>
              <w:t>Investment securities</w:t>
            </w:r>
          </w:p>
        </w:tc>
        <w:tc>
          <w:tcPr>
            <w:tcW w:w="300" w:type="dxa"/>
            <w:vAlign w:val="bottom"/>
          </w:tcPr>
          <w:p>
            <w:pPr>
              <w:spacing w:after="0"/>
              <w:rPr>
                <w:sz w:val="14"/>
                <w:szCs w:val="1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14,115</w:t>
            </w:r>
          </w:p>
        </w:tc>
        <w:tc>
          <w:tcPr>
            <w:tcW w:w="62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15,043</w:t>
            </w:r>
          </w:p>
        </w:tc>
      </w:tr>
      <w:tr>
        <w:trPr>
          <w:trHeight w:val="170"/>
        </w:trPr>
        <w:tc>
          <w:tcPr>
            <w:tcW w:w="5240" w:type="dxa"/>
            <w:vAlign w:val="bottom"/>
          </w:tcPr>
          <w:p>
            <w:pPr>
              <w:ind w:left="340"/>
              <w:spacing w:after="0"/>
              <w:rPr>
                <w:sz w:val="20"/>
                <w:szCs w:val="20"/>
                <w:color w:val="auto"/>
              </w:rPr>
            </w:pPr>
            <w:r>
              <w:rPr>
                <w:rFonts w:ascii="Courier New" w:cs="Courier New" w:eastAsia="Courier New" w:hAnsi="Courier New"/>
                <w:sz w:val="15"/>
                <w:szCs w:val="15"/>
                <w:color w:val="auto"/>
              </w:rPr>
              <w:t>Investment in affiliated companies</w:t>
            </w:r>
          </w:p>
        </w:tc>
        <w:tc>
          <w:tcPr>
            <w:tcW w:w="300" w:type="dxa"/>
            <w:vAlign w:val="bottom"/>
          </w:tcPr>
          <w:p>
            <w:pPr>
              <w:spacing w:after="0"/>
              <w:rPr>
                <w:sz w:val="14"/>
                <w:szCs w:val="1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46,148</w:t>
            </w:r>
          </w:p>
        </w:tc>
        <w:tc>
          <w:tcPr>
            <w:tcW w:w="62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69,972</w:t>
            </w:r>
          </w:p>
        </w:tc>
      </w:tr>
      <w:tr>
        <w:trPr>
          <w:trHeight w:val="170"/>
        </w:trPr>
        <w:tc>
          <w:tcPr>
            <w:tcW w:w="5240" w:type="dxa"/>
            <w:vAlign w:val="bottom"/>
          </w:tcPr>
          <w:p>
            <w:pPr>
              <w:ind w:left="340"/>
              <w:spacing w:after="0"/>
              <w:rPr>
                <w:sz w:val="20"/>
                <w:szCs w:val="20"/>
                <w:color w:val="auto"/>
              </w:rPr>
            </w:pPr>
            <w:r>
              <w:rPr>
                <w:rFonts w:ascii="Courier New" w:cs="Courier New" w:eastAsia="Courier New" w:hAnsi="Courier New"/>
                <w:sz w:val="15"/>
                <w:szCs w:val="15"/>
                <w:color w:val="auto"/>
              </w:rPr>
              <w:t>Deferred income taxes</w:t>
            </w:r>
          </w:p>
        </w:tc>
        <w:tc>
          <w:tcPr>
            <w:tcW w:w="300" w:type="dxa"/>
            <w:vAlign w:val="bottom"/>
          </w:tcPr>
          <w:p>
            <w:pPr>
              <w:spacing w:after="0"/>
              <w:rPr>
                <w:sz w:val="14"/>
                <w:szCs w:val="1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2,133</w:t>
            </w:r>
          </w:p>
        </w:tc>
        <w:tc>
          <w:tcPr>
            <w:tcW w:w="62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2,061</w:t>
            </w:r>
          </w:p>
        </w:tc>
      </w:tr>
      <w:tr>
        <w:trPr>
          <w:trHeight w:val="170"/>
        </w:trPr>
        <w:tc>
          <w:tcPr>
            <w:tcW w:w="5240" w:type="dxa"/>
            <w:vAlign w:val="bottom"/>
          </w:tcPr>
          <w:p>
            <w:pPr>
              <w:ind w:left="340"/>
              <w:spacing w:after="0"/>
              <w:rPr>
                <w:sz w:val="20"/>
                <w:szCs w:val="20"/>
                <w:color w:val="auto"/>
              </w:rPr>
            </w:pPr>
            <w:r>
              <w:rPr>
                <w:rFonts w:ascii="Courier New" w:cs="Courier New" w:eastAsia="Courier New" w:hAnsi="Courier New"/>
                <w:sz w:val="15"/>
                <w:szCs w:val="15"/>
                <w:color w:val="auto"/>
              </w:rPr>
              <w:t>Other</w:t>
            </w:r>
          </w:p>
        </w:tc>
        <w:tc>
          <w:tcPr>
            <w:tcW w:w="300" w:type="dxa"/>
            <w:vAlign w:val="bottom"/>
          </w:tcPr>
          <w:p>
            <w:pPr>
              <w:spacing w:after="0"/>
              <w:rPr>
                <w:sz w:val="14"/>
                <w:szCs w:val="1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29,167</w:t>
            </w:r>
          </w:p>
        </w:tc>
        <w:tc>
          <w:tcPr>
            <w:tcW w:w="62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28,757</w:t>
            </w:r>
          </w:p>
        </w:tc>
      </w:tr>
      <w:tr>
        <w:trPr>
          <w:trHeight w:val="170"/>
        </w:trPr>
        <w:tc>
          <w:tcPr>
            <w:tcW w:w="5240" w:type="dxa"/>
            <w:vAlign w:val="bottom"/>
          </w:tcPr>
          <w:p>
            <w:pPr>
              <w:spacing w:after="0"/>
              <w:rPr>
                <w:sz w:val="14"/>
                <w:szCs w:val="14"/>
                <w:color w:val="auto"/>
              </w:rPr>
            </w:pPr>
          </w:p>
        </w:tc>
        <w:tc>
          <w:tcPr>
            <w:tcW w:w="16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240" w:type="dxa"/>
            <w:vAlign w:val="bottom"/>
          </w:tcPr>
          <w:p>
            <w:pPr>
              <w:spacing w:after="0"/>
              <w:rPr>
                <w:sz w:val="20"/>
                <w:szCs w:val="20"/>
                <w:color w:val="auto"/>
              </w:rPr>
            </w:pPr>
            <w:r>
              <w:rPr>
                <w:rFonts w:ascii="Courier New" w:cs="Courier New" w:eastAsia="Courier New" w:hAnsi="Courier New"/>
                <w:sz w:val="15"/>
                <w:szCs w:val="15"/>
                <w:color w:val="auto"/>
              </w:rPr>
              <w:t>Total other long-term assets</w:t>
            </w:r>
          </w:p>
        </w:tc>
        <w:tc>
          <w:tcPr>
            <w:tcW w:w="300" w:type="dxa"/>
            <w:vAlign w:val="bottom"/>
          </w:tcPr>
          <w:p>
            <w:pPr>
              <w:spacing w:after="0"/>
              <w:rPr>
                <w:sz w:val="14"/>
                <w:szCs w:val="1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91,563</w:t>
            </w:r>
          </w:p>
        </w:tc>
        <w:tc>
          <w:tcPr>
            <w:tcW w:w="62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115,833</w:t>
            </w:r>
          </w:p>
        </w:tc>
      </w:tr>
      <w:tr>
        <w:trPr>
          <w:trHeight w:val="170"/>
        </w:trPr>
        <w:tc>
          <w:tcPr>
            <w:tcW w:w="5240" w:type="dxa"/>
            <w:vAlign w:val="bottom"/>
          </w:tcPr>
          <w:p>
            <w:pPr>
              <w:spacing w:after="0"/>
              <w:rPr>
                <w:sz w:val="14"/>
                <w:szCs w:val="14"/>
                <w:color w:val="auto"/>
              </w:rPr>
            </w:pPr>
          </w:p>
        </w:tc>
        <w:tc>
          <w:tcPr>
            <w:tcW w:w="16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24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314,965</w:t>
            </w:r>
          </w:p>
        </w:tc>
        <w:tc>
          <w:tcPr>
            <w:tcW w:w="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346,680</w:t>
            </w:r>
          </w:p>
        </w:tc>
      </w:tr>
      <w:tr>
        <w:trPr>
          <w:trHeight w:val="170"/>
        </w:trPr>
        <w:tc>
          <w:tcPr>
            <w:tcW w:w="5240" w:type="dxa"/>
            <w:vAlign w:val="bottom"/>
          </w:tcPr>
          <w:p>
            <w:pPr>
              <w:spacing w:after="0"/>
              <w:rPr>
                <w:sz w:val="14"/>
                <w:szCs w:val="14"/>
                <w:color w:val="auto"/>
              </w:rPr>
            </w:pPr>
          </w:p>
        </w:tc>
        <w:tc>
          <w:tcPr>
            <w:tcW w:w="16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24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52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5240" w:type="dxa"/>
            <w:vAlign w:val="bottom"/>
          </w:tcPr>
          <w:p>
            <w:pPr>
              <w:ind w:left="340"/>
              <w:spacing w:after="0"/>
              <w:rPr>
                <w:sz w:val="20"/>
                <w:szCs w:val="20"/>
                <w:color w:val="auto"/>
              </w:rPr>
            </w:pPr>
            <w:r>
              <w:rPr>
                <w:rFonts w:ascii="Courier New" w:cs="Courier New" w:eastAsia="Courier New" w:hAnsi="Courier New"/>
                <w:sz w:val="15"/>
                <w:szCs w:val="15"/>
                <w:color w:val="auto"/>
              </w:rPr>
              <w:t>Accounts payable</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16,906</w:t>
            </w:r>
          </w:p>
        </w:tc>
        <w:tc>
          <w:tcPr>
            <w:tcW w:w="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20,310</w:t>
            </w:r>
          </w:p>
        </w:tc>
      </w:tr>
      <w:tr>
        <w:trPr>
          <w:trHeight w:val="170"/>
        </w:trPr>
        <w:tc>
          <w:tcPr>
            <w:tcW w:w="5240" w:type="dxa"/>
            <w:vAlign w:val="bottom"/>
          </w:tcPr>
          <w:p>
            <w:pPr>
              <w:ind w:left="340"/>
              <w:spacing w:after="0"/>
              <w:rPr>
                <w:sz w:val="20"/>
                <w:szCs w:val="20"/>
                <w:color w:val="auto"/>
              </w:rPr>
            </w:pPr>
            <w:r>
              <w:rPr>
                <w:rFonts w:ascii="Courier New" w:cs="Courier New" w:eastAsia="Courier New" w:hAnsi="Courier New"/>
                <w:sz w:val="15"/>
                <w:szCs w:val="15"/>
                <w:color w:val="auto"/>
              </w:rPr>
              <w:t>Accrued liabilities</w:t>
            </w:r>
          </w:p>
        </w:tc>
        <w:tc>
          <w:tcPr>
            <w:tcW w:w="300" w:type="dxa"/>
            <w:vAlign w:val="bottom"/>
          </w:tcPr>
          <w:p>
            <w:pPr>
              <w:spacing w:after="0"/>
              <w:rPr>
                <w:sz w:val="14"/>
                <w:szCs w:val="1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20,314</w:t>
            </w:r>
          </w:p>
        </w:tc>
        <w:tc>
          <w:tcPr>
            <w:tcW w:w="62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21,583</w:t>
            </w:r>
          </w:p>
        </w:tc>
      </w:tr>
      <w:tr>
        <w:trPr>
          <w:trHeight w:val="170"/>
        </w:trPr>
        <w:tc>
          <w:tcPr>
            <w:tcW w:w="5240" w:type="dxa"/>
            <w:vAlign w:val="bottom"/>
          </w:tcPr>
          <w:p>
            <w:pPr>
              <w:spacing w:after="0"/>
              <w:rPr>
                <w:sz w:val="14"/>
                <w:szCs w:val="14"/>
                <w:color w:val="auto"/>
              </w:rPr>
            </w:pPr>
          </w:p>
        </w:tc>
        <w:tc>
          <w:tcPr>
            <w:tcW w:w="16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240" w:type="dxa"/>
            <w:vAlign w:val="bottom"/>
          </w:tcPr>
          <w:p>
            <w:pPr>
              <w:spacing w:after="0"/>
              <w:rPr>
                <w:sz w:val="20"/>
                <w:szCs w:val="20"/>
                <w:color w:val="auto"/>
              </w:rPr>
            </w:pPr>
            <w:r>
              <w:rPr>
                <w:rFonts w:ascii="Courier New" w:cs="Courier New" w:eastAsia="Courier New" w:hAnsi="Courier New"/>
                <w:sz w:val="15"/>
                <w:szCs w:val="15"/>
                <w:color w:val="auto"/>
              </w:rPr>
              <w:t>Total current liabilities</w:t>
            </w:r>
          </w:p>
        </w:tc>
        <w:tc>
          <w:tcPr>
            <w:tcW w:w="300" w:type="dxa"/>
            <w:vAlign w:val="bottom"/>
          </w:tcPr>
          <w:p>
            <w:pPr>
              <w:spacing w:after="0"/>
              <w:rPr>
                <w:sz w:val="14"/>
                <w:szCs w:val="1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37,220</w:t>
            </w:r>
          </w:p>
        </w:tc>
        <w:tc>
          <w:tcPr>
            <w:tcW w:w="62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41,893</w:t>
            </w:r>
          </w:p>
        </w:tc>
      </w:tr>
      <w:tr>
        <w:trPr>
          <w:trHeight w:val="170"/>
        </w:trPr>
        <w:tc>
          <w:tcPr>
            <w:tcW w:w="5240" w:type="dxa"/>
            <w:vAlign w:val="bottom"/>
          </w:tcPr>
          <w:p>
            <w:pPr>
              <w:spacing w:after="0"/>
              <w:rPr>
                <w:sz w:val="14"/>
                <w:szCs w:val="14"/>
                <w:color w:val="auto"/>
              </w:rPr>
            </w:pPr>
          </w:p>
        </w:tc>
        <w:tc>
          <w:tcPr>
            <w:tcW w:w="16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240" w:type="dxa"/>
            <w:vAlign w:val="bottom"/>
          </w:tcPr>
          <w:p>
            <w:pPr>
              <w:spacing w:after="0"/>
              <w:rPr>
                <w:sz w:val="20"/>
                <w:szCs w:val="20"/>
                <w:color w:val="auto"/>
              </w:rPr>
            </w:pPr>
            <w:r>
              <w:rPr>
                <w:rFonts w:ascii="Courier New" w:cs="Courier New" w:eastAsia="Courier New" w:hAnsi="Courier New"/>
                <w:sz w:val="15"/>
                <w:szCs w:val="15"/>
                <w:color w:val="auto"/>
              </w:rPr>
              <w:t>Long-term liabilities</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5240" w:type="dxa"/>
            <w:vAlign w:val="bottom"/>
          </w:tcPr>
          <w:p>
            <w:pPr>
              <w:ind w:left="340"/>
              <w:spacing w:after="0"/>
              <w:rPr>
                <w:sz w:val="20"/>
                <w:szCs w:val="20"/>
                <w:color w:val="auto"/>
              </w:rPr>
            </w:pPr>
            <w:r>
              <w:rPr>
                <w:rFonts w:ascii="Courier New" w:cs="Courier New" w:eastAsia="Courier New" w:hAnsi="Courier New"/>
                <w:sz w:val="15"/>
                <w:szCs w:val="15"/>
                <w:color w:val="auto"/>
              </w:rPr>
              <w:t>Employee benefits</w:t>
            </w:r>
          </w:p>
        </w:tc>
        <w:tc>
          <w:tcPr>
            <w:tcW w:w="300" w:type="dxa"/>
            <w:vAlign w:val="bottom"/>
          </w:tcPr>
          <w:p>
            <w:pPr>
              <w:spacing w:after="0"/>
              <w:rPr>
                <w:sz w:val="14"/>
                <w:szCs w:val="1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10,580</w:t>
            </w:r>
          </w:p>
        </w:tc>
        <w:tc>
          <w:tcPr>
            <w:tcW w:w="62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10,647</w:t>
            </w:r>
          </w:p>
        </w:tc>
      </w:tr>
      <w:tr>
        <w:trPr>
          <w:trHeight w:val="170"/>
        </w:trPr>
        <w:tc>
          <w:tcPr>
            <w:tcW w:w="5240" w:type="dxa"/>
            <w:vAlign w:val="bottom"/>
          </w:tcPr>
          <w:p>
            <w:pPr>
              <w:ind w:left="340"/>
              <w:spacing w:after="0"/>
              <w:rPr>
                <w:sz w:val="20"/>
                <w:szCs w:val="20"/>
                <w:color w:val="auto"/>
              </w:rPr>
            </w:pPr>
            <w:r>
              <w:rPr>
                <w:rFonts w:ascii="Courier New" w:cs="Courier New" w:eastAsia="Courier New" w:hAnsi="Courier New"/>
                <w:sz w:val="15"/>
                <w:szCs w:val="15"/>
                <w:color w:val="auto"/>
              </w:rPr>
              <w:t>Notes Payable</w:t>
            </w:r>
          </w:p>
        </w:tc>
        <w:tc>
          <w:tcPr>
            <w:tcW w:w="300" w:type="dxa"/>
            <w:vAlign w:val="bottom"/>
          </w:tcPr>
          <w:p>
            <w:pPr>
              <w:spacing w:after="0"/>
              <w:rPr>
                <w:sz w:val="14"/>
                <w:szCs w:val="1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19,000</w:t>
            </w:r>
          </w:p>
        </w:tc>
        <w:tc>
          <w:tcPr>
            <w:tcW w:w="62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45,000</w:t>
            </w:r>
          </w:p>
        </w:tc>
      </w:tr>
      <w:tr>
        <w:trPr>
          <w:trHeight w:val="170"/>
        </w:trPr>
        <w:tc>
          <w:tcPr>
            <w:tcW w:w="5240" w:type="dxa"/>
            <w:vAlign w:val="bottom"/>
          </w:tcPr>
          <w:p>
            <w:pPr>
              <w:spacing w:after="0"/>
              <w:rPr>
                <w:sz w:val="14"/>
                <w:szCs w:val="14"/>
                <w:color w:val="auto"/>
              </w:rPr>
            </w:pPr>
          </w:p>
        </w:tc>
        <w:tc>
          <w:tcPr>
            <w:tcW w:w="16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240" w:type="dxa"/>
            <w:vAlign w:val="bottom"/>
          </w:tcPr>
          <w:p>
            <w:pPr>
              <w:spacing w:after="0"/>
              <w:rPr>
                <w:sz w:val="20"/>
                <w:szCs w:val="20"/>
                <w:color w:val="auto"/>
              </w:rPr>
            </w:pPr>
            <w:r>
              <w:rPr>
                <w:rFonts w:ascii="Courier New" w:cs="Courier New" w:eastAsia="Courier New" w:hAnsi="Courier New"/>
                <w:sz w:val="15"/>
                <w:szCs w:val="15"/>
                <w:color w:val="auto"/>
              </w:rPr>
              <w:t>Total long-term liabilities</w:t>
            </w:r>
          </w:p>
        </w:tc>
        <w:tc>
          <w:tcPr>
            <w:tcW w:w="300" w:type="dxa"/>
            <w:vAlign w:val="bottom"/>
          </w:tcPr>
          <w:p>
            <w:pPr>
              <w:spacing w:after="0"/>
              <w:rPr>
                <w:sz w:val="14"/>
                <w:szCs w:val="1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29,580</w:t>
            </w:r>
          </w:p>
        </w:tc>
        <w:tc>
          <w:tcPr>
            <w:tcW w:w="62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55,647</w:t>
            </w:r>
          </w:p>
        </w:tc>
      </w:tr>
      <w:tr>
        <w:trPr>
          <w:trHeight w:val="170"/>
        </w:trPr>
        <w:tc>
          <w:tcPr>
            <w:tcW w:w="5240" w:type="dxa"/>
            <w:vAlign w:val="bottom"/>
          </w:tcPr>
          <w:p>
            <w:pPr>
              <w:spacing w:after="0"/>
              <w:rPr>
                <w:sz w:val="14"/>
                <w:szCs w:val="14"/>
                <w:color w:val="auto"/>
              </w:rPr>
            </w:pPr>
          </w:p>
        </w:tc>
        <w:tc>
          <w:tcPr>
            <w:tcW w:w="16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24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 (Notes E and H)</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39"/>
        </w:trPr>
        <w:tc>
          <w:tcPr>
            <w:tcW w:w="52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5240" w:type="dxa"/>
            <w:vAlign w:val="bottom"/>
          </w:tcPr>
          <w:p>
            <w:pPr>
              <w:ind w:left="440"/>
              <w:spacing w:after="0"/>
              <w:rPr>
                <w:sz w:val="20"/>
                <w:szCs w:val="20"/>
                <w:color w:val="auto"/>
              </w:rPr>
            </w:pPr>
            <w:r>
              <w:rPr>
                <w:rFonts w:ascii="Courier New" w:cs="Courier New" w:eastAsia="Courier New" w:hAnsi="Courier New"/>
                <w:sz w:val="15"/>
                <w:szCs w:val="15"/>
                <w:color w:val="auto"/>
              </w:rPr>
              <w:t>Common stock</w:t>
            </w:r>
          </w:p>
        </w:tc>
        <w:tc>
          <w:tcPr>
            <w:tcW w:w="300" w:type="dxa"/>
            <w:vAlign w:val="bottom"/>
          </w:tcPr>
          <w:p>
            <w:pPr>
              <w:spacing w:after="0"/>
              <w:rPr>
                <w:sz w:val="14"/>
                <w:szCs w:val="1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58,664</w:t>
            </w:r>
          </w:p>
        </w:tc>
        <w:tc>
          <w:tcPr>
            <w:tcW w:w="62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58,824</w:t>
            </w:r>
          </w:p>
        </w:tc>
      </w:tr>
      <w:tr>
        <w:trPr>
          <w:trHeight w:val="170"/>
        </w:trPr>
        <w:tc>
          <w:tcPr>
            <w:tcW w:w="5240" w:type="dxa"/>
            <w:vAlign w:val="bottom"/>
          </w:tcPr>
          <w:p>
            <w:pPr>
              <w:ind w:left="440"/>
              <w:spacing w:after="0"/>
              <w:rPr>
                <w:sz w:val="20"/>
                <w:szCs w:val="20"/>
                <w:color w:val="auto"/>
              </w:rPr>
            </w:pPr>
            <w:r>
              <w:rPr>
                <w:rFonts w:ascii="Courier New" w:cs="Courier New" w:eastAsia="Courier New" w:hAnsi="Courier New"/>
                <w:sz w:val="15"/>
                <w:szCs w:val="15"/>
                <w:color w:val="auto"/>
              </w:rPr>
              <w:t>Additional paid-in capital</w:t>
            </w:r>
          </w:p>
        </w:tc>
        <w:tc>
          <w:tcPr>
            <w:tcW w:w="300" w:type="dxa"/>
            <w:vAlign w:val="bottom"/>
          </w:tcPr>
          <w:p>
            <w:pPr>
              <w:spacing w:after="0"/>
              <w:rPr>
                <w:sz w:val="14"/>
                <w:szCs w:val="1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240" w:type="dxa"/>
            <w:vAlign w:val="bottom"/>
          </w:tcPr>
          <w:p>
            <w:pPr>
              <w:ind w:left="440"/>
              <w:spacing w:after="0"/>
              <w:rPr>
                <w:sz w:val="20"/>
                <w:szCs w:val="20"/>
                <w:color w:val="auto"/>
              </w:rPr>
            </w:pPr>
            <w:r>
              <w:rPr>
                <w:rFonts w:ascii="Courier New" w:cs="Courier New" w:eastAsia="Courier New" w:hAnsi="Courier New"/>
                <w:sz w:val="15"/>
                <w:szCs w:val="15"/>
                <w:color w:val="auto"/>
              </w:rPr>
              <w:t>Retained earnings</w:t>
            </w:r>
          </w:p>
        </w:tc>
        <w:tc>
          <w:tcPr>
            <w:tcW w:w="300" w:type="dxa"/>
            <w:vAlign w:val="bottom"/>
          </w:tcPr>
          <w:p>
            <w:pPr>
              <w:spacing w:after="0"/>
              <w:rPr>
                <w:sz w:val="14"/>
                <w:szCs w:val="1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185,028</w:t>
            </w:r>
          </w:p>
        </w:tc>
        <w:tc>
          <w:tcPr>
            <w:tcW w:w="62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185,293</w:t>
            </w:r>
          </w:p>
        </w:tc>
      </w:tr>
      <w:tr>
        <w:trPr>
          <w:trHeight w:val="170"/>
        </w:trPr>
        <w:tc>
          <w:tcPr>
            <w:tcW w:w="5240" w:type="dxa"/>
            <w:vAlign w:val="bottom"/>
          </w:tcPr>
          <w:p>
            <w:pPr>
              <w:ind w:left="440"/>
              <w:spacing w:after="0"/>
              <w:rPr>
                <w:sz w:val="20"/>
                <w:szCs w:val="20"/>
                <w:color w:val="auto"/>
              </w:rPr>
            </w:pPr>
            <w:r>
              <w:rPr>
                <w:rFonts w:ascii="Courier New" w:cs="Courier New" w:eastAsia="Courier New" w:hAnsi="Courier New"/>
                <w:sz w:val="15"/>
                <w:szCs w:val="15"/>
                <w:color w:val="auto"/>
              </w:rPr>
              <w:t>Accumulated other comprehensive income -</w:t>
            </w: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5240" w:type="dxa"/>
            <w:vAlign w:val="bottom"/>
          </w:tcPr>
          <w:p>
            <w:pPr>
              <w:ind w:left="780"/>
              <w:spacing w:after="0"/>
              <w:rPr>
                <w:sz w:val="20"/>
                <w:szCs w:val="20"/>
                <w:color w:val="auto"/>
              </w:rPr>
            </w:pPr>
            <w:r>
              <w:rPr>
                <w:rFonts w:ascii="Courier New" w:cs="Courier New" w:eastAsia="Courier New" w:hAnsi="Courier New"/>
                <w:sz w:val="15"/>
                <w:szCs w:val="15"/>
                <w:color w:val="auto"/>
                <w:w w:val="98"/>
              </w:rPr>
              <w:t>unrealized holding gains, net of income tax effect</w:t>
            </w:r>
          </w:p>
        </w:tc>
        <w:tc>
          <w:tcPr>
            <w:tcW w:w="300" w:type="dxa"/>
            <w:vAlign w:val="bottom"/>
          </w:tcPr>
          <w:p>
            <w:pPr>
              <w:spacing w:after="0"/>
              <w:rPr>
                <w:sz w:val="14"/>
                <w:szCs w:val="1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4,824</w:t>
            </w:r>
          </w:p>
        </w:tc>
        <w:tc>
          <w:tcPr>
            <w:tcW w:w="62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5,418</w:t>
            </w:r>
          </w:p>
        </w:tc>
      </w:tr>
      <w:tr>
        <w:trPr>
          <w:trHeight w:val="170"/>
        </w:trPr>
        <w:tc>
          <w:tcPr>
            <w:tcW w:w="5240" w:type="dxa"/>
            <w:vAlign w:val="bottom"/>
          </w:tcPr>
          <w:p>
            <w:pPr>
              <w:ind w:left="440"/>
              <w:spacing w:after="0"/>
              <w:rPr>
                <w:sz w:val="20"/>
                <w:szCs w:val="20"/>
                <w:color w:val="auto"/>
              </w:rPr>
            </w:pPr>
            <w:r>
              <w:rPr>
                <w:rFonts w:ascii="Courier New" w:cs="Courier New" w:eastAsia="Courier New" w:hAnsi="Courier New"/>
                <w:sz w:val="15"/>
                <w:szCs w:val="15"/>
                <w:color w:val="auto"/>
              </w:rPr>
              <w:t>Unamortized stock compensation</w:t>
            </w:r>
          </w:p>
        </w:tc>
        <w:tc>
          <w:tcPr>
            <w:tcW w:w="300" w:type="dxa"/>
            <w:vAlign w:val="bottom"/>
          </w:tcPr>
          <w:p>
            <w:pPr>
              <w:spacing w:after="0"/>
              <w:rPr>
                <w:sz w:val="14"/>
                <w:szCs w:val="1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(351)</w:t>
            </w:r>
          </w:p>
        </w:tc>
        <w:tc>
          <w:tcPr>
            <w:tcW w:w="62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(395)</w:t>
            </w:r>
          </w:p>
        </w:tc>
      </w:tr>
      <w:tr>
        <w:trPr>
          <w:trHeight w:val="170"/>
        </w:trPr>
        <w:tc>
          <w:tcPr>
            <w:tcW w:w="5240" w:type="dxa"/>
            <w:vAlign w:val="bottom"/>
          </w:tcPr>
          <w:p>
            <w:pPr>
              <w:spacing w:after="0"/>
              <w:rPr>
                <w:sz w:val="14"/>
                <w:szCs w:val="14"/>
                <w:color w:val="auto"/>
              </w:rPr>
            </w:pPr>
          </w:p>
        </w:tc>
        <w:tc>
          <w:tcPr>
            <w:tcW w:w="16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240" w:type="dxa"/>
            <w:vAlign w:val="bottom"/>
          </w:tcPr>
          <w:p>
            <w:pPr>
              <w:spacing w:after="0"/>
              <w:rPr>
                <w:sz w:val="20"/>
                <w:szCs w:val="20"/>
                <w:color w:val="auto"/>
              </w:rPr>
            </w:pPr>
            <w:r>
              <w:rPr>
                <w:rFonts w:ascii="Courier New" w:cs="Courier New" w:eastAsia="Courier New" w:hAnsi="Courier New"/>
                <w:sz w:val="15"/>
                <w:szCs w:val="15"/>
                <w:color w:val="auto"/>
              </w:rPr>
              <w:t>Total stockholders' equity</w:t>
            </w:r>
          </w:p>
        </w:tc>
        <w:tc>
          <w:tcPr>
            <w:tcW w:w="300" w:type="dxa"/>
            <w:vAlign w:val="bottom"/>
          </w:tcPr>
          <w:p>
            <w:pPr>
              <w:spacing w:after="0"/>
              <w:rPr>
                <w:sz w:val="14"/>
                <w:szCs w:val="1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248,165</w:t>
            </w:r>
          </w:p>
        </w:tc>
        <w:tc>
          <w:tcPr>
            <w:tcW w:w="62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249,140</w:t>
            </w:r>
          </w:p>
        </w:tc>
      </w:tr>
      <w:tr>
        <w:trPr>
          <w:trHeight w:val="170"/>
        </w:trPr>
        <w:tc>
          <w:tcPr>
            <w:tcW w:w="5240" w:type="dxa"/>
            <w:vAlign w:val="bottom"/>
          </w:tcPr>
          <w:p>
            <w:pPr>
              <w:spacing w:after="0"/>
              <w:rPr>
                <w:sz w:val="14"/>
                <w:szCs w:val="14"/>
                <w:color w:val="auto"/>
              </w:rPr>
            </w:pPr>
          </w:p>
        </w:tc>
        <w:tc>
          <w:tcPr>
            <w:tcW w:w="16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240" w:type="dxa"/>
            <w:vAlign w:val="bottom"/>
          </w:tcPr>
          <w:p>
            <w:pPr>
              <w:spacing w:after="0"/>
              <w:rPr>
                <w:sz w:val="20"/>
                <w:szCs w:val="20"/>
                <w:color w:val="auto"/>
              </w:rPr>
            </w:pPr>
            <w:r>
              <w:rPr>
                <w:rFonts w:ascii="Courier New" w:cs="Courier New" w:eastAsia="Courier New" w:hAnsi="Courier New"/>
                <w:sz w:val="15"/>
                <w:szCs w:val="15"/>
                <w:color w:val="auto"/>
              </w:rPr>
              <w:t>Total liabilities and stockholders' equity</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314,965</w:t>
            </w:r>
          </w:p>
        </w:tc>
        <w:tc>
          <w:tcPr>
            <w:tcW w:w="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346,680</w:t>
            </w:r>
          </w:p>
        </w:tc>
      </w:tr>
      <w:tr>
        <w:trPr>
          <w:trHeight w:val="170"/>
        </w:trPr>
        <w:tc>
          <w:tcPr>
            <w:tcW w:w="5240" w:type="dxa"/>
            <w:vAlign w:val="bottom"/>
          </w:tcPr>
          <w:p>
            <w:pPr>
              <w:spacing w:after="0"/>
              <w:rPr>
                <w:sz w:val="14"/>
                <w:szCs w:val="14"/>
                <w:color w:val="auto"/>
              </w:rPr>
            </w:pPr>
          </w:p>
        </w:tc>
        <w:tc>
          <w:tcPr>
            <w:tcW w:w="16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The accompanying notes to condensed consolidated financial statements are an integral part of the condensed consolidated financial statements.</w:t>
      </w:r>
    </w:p>
    <w:p>
      <w:pPr>
        <w:spacing w:after="0" w:line="17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3 of 13</w:t>
      </w:r>
    </w:p>
    <w:p>
      <w:pPr>
        <w:sectPr>
          <w:pgSz w:w="11900" w:h="16838" w:orient="portrait"/>
          <w:cols w:equalWidth="0" w:num="1">
            <w:col w:w="10219"/>
          </w:cols>
          <w:pgMar w:left="240" w:top="283"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70"/>
        </w:trPr>
        <w:tc>
          <w:tcPr>
            <w:tcW w:w="8100" w:type="dxa"/>
            <w:vAlign w:val="bottom"/>
          </w:tcPr>
          <w:p>
            <w:pPr>
              <w:ind w:left="260"/>
              <w:spacing w:after="0"/>
              <w:rPr>
                <w:sz w:val="20"/>
                <w:szCs w:val="20"/>
                <w:color w:val="auto"/>
              </w:rPr>
            </w:pPr>
            <w:r>
              <w:rPr>
                <w:rFonts w:ascii="Courier New" w:cs="Courier New" w:eastAsia="Courier New" w:hAnsi="Courier New"/>
                <w:sz w:val="15"/>
                <w:szCs w:val="15"/>
                <w:color w:val="auto"/>
              </w:rPr>
              <w:t>4</w:t>
            </w: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509"/>
        </w:trPr>
        <w:tc>
          <w:tcPr>
            <w:tcW w:w="8100" w:type="dxa"/>
            <w:vAlign w:val="bottom"/>
          </w:tcPr>
          <w:p>
            <w:pPr>
              <w:jc w:val="center"/>
              <w:ind w:right="1167"/>
              <w:spacing w:after="0"/>
              <w:rPr>
                <w:sz w:val="20"/>
                <w:szCs w:val="20"/>
                <w:color w:val="auto"/>
              </w:rPr>
            </w:pPr>
            <w:r>
              <w:rPr>
                <w:rFonts w:ascii="Courier New" w:cs="Courier New" w:eastAsia="Courier New" w:hAnsi="Courier New"/>
                <w:sz w:val="15"/>
                <w:szCs w:val="15"/>
                <w:color w:val="auto"/>
                <w:w w:val="97"/>
              </w:rPr>
              <w:t>PART I - FINANCIAL INFORMATION - CONTINUED</w:t>
            </w: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8100" w:type="dxa"/>
            <w:vAlign w:val="bottom"/>
          </w:tcPr>
          <w:p>
            <w:pPr>
              <w:jc w:val="center"/>
              <w:ind w:right="1167"/>
              <w:spacing w:after="0"/>
              <w:rPr>
                <w:sz w:val="20"/>
                <w:szCs w:val="20"/>
                <w:color w:val="auto"/>
              </w:rPr>
            </w:pPr>
            <w:r>
              <w:rPr>
                <w:rFonts w:ascii="Courier New" w:cs="Courier New" w:eastAsia="Courier New" w:hAnsi="Courier New"/>
                <w:sz w:val="15"/>
                <w:szCs w:val="15"/>
                <w:color w:val="auto"/>
                <w:w w:val="98"/>
              </w:rPr>
              <w:t>BASSETT FURNITURE INDUSTRIES INC. AND SUBSIDIARIES</w:t>
            </w: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8100" w:type="dxa"/>
            <w:vAlign w:val="bottom"/>
          </w:tcPr>
          <w:p>
            <w:pPr>
              <w:ind w:left="1760"/>
              <w:spacing w:after="0"/>
              <w:rPr>
                <w:sz w:val="20"/>
                <w:szCs w:val="20"/>
                <w:color w:val="auto"/>
              </w:rPr>
            </w:pPr>
            <w:r>
              <w:rPr>
                <w:rFonts w:ascii="Courier New" w:cs="Courier New" w:eastAsia="Courier New" w:hAnsi="Courier New"/>
                <w:sz w:val="15"/>
                <w:szCs w:val="15"/>
                <w:color w:val="auto"/>
              </w:rPr>
              <w:t>CONSOLIDATED STATEMENTS OF CASH FLOWS</w:t>
            </w: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8100" w:type="dxa"/>
            <w:vAlign w:val="bottom"/>
          </w:tcPr>
          <w:p>
            <w:pPr>
              <w:ind w:left="160"/>
              <w:spacing w:after="0"/>
              <w:rPr>
                <w:sz w:val="20"/>
                <w:szCs w:val="20"/>
                <w:color w:val="auto"/>
              </w:rPr>
            </w:pPr>
            <w:r>
              <w:rPr>
                <w:rFonts w:ascii="Courier New" w:cs="Courier New" w:eastAsia="Courier New" w:hAnsi="Courier New"/>
                <w:sz w:val="15"/>
                <w:szCs w:val="15"/>
                <w:color w:val="auto"/>
              </w:rPr>
              <w:t>FOR THE 13 WEEKS ENDED FEBRUARY 24, 2001 AND FEBRUARY 26, 2000 - UNAUDITED</w:t>
            </w: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8100" w:type="dxa"/>
            <w:vAlign w:val="bottom"/>
          </w:tcPr>
          <w:p>
            <w:pPr>
              <w:jc w:val="center"/>
              <w:ind w:right="1167"/>
              <w:spacing w:after="0"/>
              <w:rPr>
                <w:sz w:val="20"/>
                <w:szCs w:val="20"/>
                <w:color w:val="auto"/>
              </w:rPr>
            </w:pPr>
            <w:r>
              <w:rPr>
                <w:rFonts w:ascii="Courier New" w:cs="Courier New" w:eastAsia="Courier New" w:hAnsi="Courier New"/>
                <w:sz w:val="15"/>
                <w:szCs w:val="15"/>
                <w:color w:val="auto"/>
                <w:w w:val="96"/>
              </w:rPr>
              <w:t>(in thousands)</w:t>
            </w: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78"/>
        </w:trPr>
        <w:tc>
          <w:tcPr>
            <w:tcW w:w="8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2001</w:t>
            </w:r>
          </w:p>
        </w:tc>
        <w:tc>
          <w:tcPr>
            <w:tcW w:w="10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8100" w:type="dxa"/>
            <w:vAlign w:val="bottom"/>
          </w:tcPr>
          <w:p>
            <w:pPr>
              <w:spacing w:after="0"/>
              <w:rPr>
                <w:sz w:val="14"/>
                <w:szCs w:val="14"/>
                <w:color w:val="auto"/>
              </w:rPr>
            </w:pPr>
          </w:p>
        </w:tc>
        <w:tc>
          <w:tcPr>
            <w:tcW w:w="25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w:t>
            </w:r>
          </w:p>
        </w:tc>
      </w:tr>
      <w:tr>
        <w:trPr>
          <w:trHeight w:val="339"/>
        </w:trPr>
        <w:tc>
          <w:tcPr>
            <w:tcW w:w="81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2,252</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4,354</w:t>
            </w:r>
          </w:p>
        </w:tc>
      </w:tr>
      <w:tr>
        <w:trPr>
          <w:trHeight w:val="170"/>
        </w:trPr>
        <w:tc>
          <w:tcPr>
            <w:tcW w:w="8100" w:type="dxa"/>
            <w:vAlign w:val="bottom"/>
          </w:tcPr>
          <w:p>
            <w:pPr>
              <w:spacing w:after="0"/>
              <w:rPr>
                <w:sz w:val="20"/>
                <w:szCs w:val="20"/>
                <w:color w:val="auto"/>
              </w:rPr>
            </w:pPr>
            <w:r>
              <w:rPr>
                <w:rFonts w:ascii="Courier New" w:cs="Courier New" w:eastAsia="Courier New" w:hAnsi="Courier New"/>
                <w:sz w:val="15"/>
                <w:szCs w:val="15"/>
                <w:color w:val="auto"/>
                <w:w w:val="98"/>
              </w:rPr>
              <w:t>Adjustments to reconcile net income to net cash provided by (used in) operating activities:</w:t>
            </w: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8100" w:type="dxa"/>
            <w:vAlign w:val="bottom"/>
          </w:tcPr>
          <w:p>
            <w:pPr>
              <w:ind w:left="160"/>
              <w:spacing w:after="0"/>
              <w:rPr>
                <w:sz w:val="20"/>
                <w:szCs w:val="20"/>
                <w:color w:val="auto"/>
              </w:rPr>
            </w:pPr>
            <w:r>
              <w:rPr>
                <w:rFonts w:ascii="Courier New" w:cs="Courier New" w:eastAsia="Courier New" w:hAnsi="Courier New"/>
                <w:sz w:val="15"/>
                <w:szCs w:val="15"/>
                <w:color w:val="auto"/>
              </w:rPr>
              <w:t>Depreciation and amortization</w:t>
            </w:r>
          </w:p>
        </w:tc>
        <w:tc>
          <w:tcPr>
            <w:tcW w:w="44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2,786</w:t>
            </w:r>
          </w:p>
        </w:tc>
        <w:tc>
          <w:tcPr>
            <w:tcW w:w="36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2,677</w:t>
            </w:r>
          </w:p>
        </w:tc>
      </w:tr>
      <w:tr>
        <w:trPr>
          <w:trHeight w:val="170"/>
        </w:trPr>
        <w:tc>
          <w:tcPr>
            <w:tcW w:w="8100" w:type="dxa"/>
            <w:vAlign w:val="bottom"/>
          </w:tcPr>
          <w:p>
            <w:pPr>
              <w:ind w:left="160"/>
              <w:spacing w:after="0"/>
              <w:rPr>
                <w:sz w:val="20"/>
                <w:szCs w:val="20"/>
                <w:color w:val="auto"/>
              </w:rPr>
            </w:pPr>
            <w:r>
              <w:rPr>
                <w:rFonts w:ascii="Courier New" w:cs="Courier New" w:eastAsia="Courier New" w:hAnsi="Courier New"/>
                <w:sz w:val="15"/>
                <w:szCs w:val="15"/>
                <w:color w:val="auto"/>
              </w:rPr>
              <w:t>Equity in undistributed income of affiliated companies</w:t>
            </w:r>
          </w:p>
        </w:tc>
        <w:tc>
          <w:tcPr>
            <w:tcW w:w="4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(956)</w:t>
            </w: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(2,961)</w:t>
            </w:r>
          </w:p>
        </w:tc>
      </w:tr>
      <w:tr>
        <w:trPr>
          <w:trHeight w:val="170"/>
        </w:trPr>
        <w:tc>
          <w:tcPr>
            <w:tcW w:w="8100" w:type="dxa"/>
            <w:vAlign w:val="bottom"/>
          </w:tcPr>
          <w:p>
            <w:pPr>
              <w:ind w:left="160"/>
              <w:spacing w:after="0"/>
              <w:rPr>
                <w:sz w:val="20"/>
                <w:szCs w:val="20"/>
                <w:color w:val="auto"/>
              </w:rPr>
            </w:pPr>
            <w:r>
              <w:rPr>
                <w:rFonts w:ascii="Courier New" w:cs="Courier New" w:eastAsia="Courier New" w:hAnsi="Courier New"/>
                <w:sz w:val="15"/>
                <w:szCs w:val="15"/>
                <w:color w:val="auto"/>
              </w:rPr>
              <w:t>Provision for deferred income taxes</w:t>
            </w:r>
          </w:p>
        </w:tc>
        <w:tc>
          <w:tcPr>
            <w:tcW w:w="4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(72)</w:t>
            </w:r>
          </w:p>
        </w:tc>
        <w:tc>
          <w:tcPr>
            <w:tcW w:w="36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2,277</w:t>
            </w:r>
          </w:p>
        </w:tc>
      </w:tr>
      <w:tr>
        <w:trPr>
          <w:trHeight w:val="170"/>
        </w:trPr>
        <w:tc>
          <w:tcPr>
            <w:tcW w:w="8100" w:type="dxa"/>
            <w:vAlign w:val="bottom"/>
          </w:tcPr>
          <w:p>
            <w:pPr>
              <w:ind w:left="160"/>
              <w:spacing w:after="0"/>
              <w:rPr>
                <w:sz w:val="20"/>
                <w:szCs w:val="20"/>
                <w:color w:val="auto"/>
              </w:rPr>
            </w:pPr>
            <w:r>
              <w:rPr>
                <w:rFonts w:ascii="Courier New" w:cs="Courier New" w:eastAsia="Courier New" w:hAnsi="Courier New"/>
                <w:sz w:val="15"/>
                <w:szCs w:val="15"/>
                <w:color w:val="auto"/>
              </w:rPr>
              <w:t>Provision for  writedown of property and equipment</w:t>
            </w:r>
          </w:p>
        </w:tc>
        <w:tc>
          <w:tcPr>
            <w:tcW w:w="44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1,600</w:t>
            </w:r>
          </w:p>
        </w:tc>
        <w:tc>
          <w:tcPr>
            <w:tcW w:w="36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8100" w:type="dxa"/>
            <w:vAlign w:val="bottom"/>
          </w:tcPr>
          <w:p>
            <w:pPr>
              <w:ind w:left="160"/>
              <w:spacing w:after="0"/>
              <w:rPr>
                <w:sz w:val="20"/>
                <w:szCs w:val="20"/>
                <w:color w:val="auto"/>
              </w:rPr>
            </w:pPr>
            <w:r>
              <w:rPr>
                <w:rFonts w:ascii="Courier New" w:cs="Courier New" w:eastAsia="Courier New" w:hAnsi="Courier New"/>
                <w:sz w:val="15"/>
                <w:szCs w:val="15"/>
                <w:color w:val="auto"/>
              </w:rPr>
              <w:t>Net gain from sales of property and equipment</w:t>
            </w:r>
          </w:p>
        </w:tc>
        <w:tc>
          <w:tcPr>
            <w:tcW w:w="4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(3,028)</w:t>
            </w:r>
          </w:p>
        </w:tc>
        <w:tc>
          <w:tcPr>
            <w:tcW w:w="36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8100" w:type="dxa"/>
            <w:vAlign w:val="bottom"/>
          </w:tcPr>
          <w:p>
            <w:pPr>
              <w:ind w:left="160"/>
              <w:spacing w:after="0"/>
              <w:rPr>
                <w:sz w:val="20"/>
                <w:szCs w:val="20"/>
                <w:color w:val="auto"/>
              </w:rPr>
            </w:pPr>
            <w:r>
              <w:rPr>
                <w:rFonts w:ascii="Courier New" w:cs="Courier New" w:eastAsia="Courier New" w:hAnsi="Courier New"/>
                <w:sz w:val="15"/>
                <w:szCs w:val="15"/>
                <w:color w:val="auto"/>
              </w:rPr>
              <w:t>Net gain on financial instrument</w:t>
            </w:r>
          </w:p>
        </w:tc>
        <w:tc>
          <w:tcPr>
            <w:tcW w:w="4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(350)</w:t>
            </w: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(1,366)</w:t>
            </w:r>
          </w:p>
        </w:tc>
      </w:tr>
      <w:tr>
        <w:trPr>
          <w:trHeight w:val="170"/>
        </w:trPr>
        <w:tc>
          <w:tcPr>
            <w:tcW w:w="8100" w:type="dxa"/>
            <w:vAlign w:val="bottom"/>
          </w:tcPr>
          <w:p>
            <w:pPr>
              <w:ind w:left="160"/>
              <w:spacing w:after="0"/>
              <w:rPr>
                <w:sz w:val="20"/>
                <w:szCs w:val="20"/>
                <w:color w:val="auto"/>
              </w:rPr>
            </w:pPr>
            <w:r>
              <w:rPr>
                <w:rFonts w:ascii="Courier New" w:cs="Courier New" w:eastAsia="Courier New" w:hAnsi="Courier New"/>
                <w:sz w:val="15"/>
                <w:szCs w:val="15"/>
                <w:color w:val="auto"/>
              </w:rPr>
              <w:t>Compensation earned under restricted stock plan</w:t>
            </w:r>
          </w:p>
        </w:tc>
        <w:tc>
          <w:tcPr>
            <w:tcW w:w="44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44</w:t>
            </w:r>
          </w:p>
        </w:tc>
        <w:tc>
          <w:tcPr>
            <w:tcW w:w="36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60</w:t>
            </w:r>
          </w:p>
        </w:tc>
      </w:tr>
      <w:tr>
        <w:trPr>
          <w:trHeight w:val="170"/>
        </w:trPr>
        <w:tc>
          <w:tcPr>
            <w:tcW w:w="8100" w:type="dxa"/>
            <w:vAlign w:val="bottom"/>
          </w:tcPr>
          <w:p>
            <w:pPr>
              <w:ind w:left="160"/>
              <w:spacing w:after="0"/>
              <w:rPr>
                <w:sz w:val="20"/>
                <w:szCs w:val="20"/>
                <w:color w:val="auto"/>
              </w:rPr>
            </w:pPr>
            <w:r>
              <w:rPr>
                <w:rFonts w:ascii="Courier New" w:cs="Courier New" w:eastAsia="Courier New" w:hAnsi="Courier New"/>
                <w:sz w:val="15"/>
                <w:szCs w:val="15"/>
                <w:color w:val="auto"/>
              </w:rPr>
              <w:t>Changes in operating assets and liabilities:</w:t>
            </w: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8100" w:type="dxa"/>
            <w:vAlign w:val="bottom"/>
          </w:tcPr>
          <w:p>
            <w:pPr>
              <w:ind w:left="1140"/>
              <w:spacing w:after="0"/>
              <w:rPr>
                <w:sz w:val="20"/>
                <w:szCs w:val="20"/>
                <w:color w:val="auto"/>
              </w:rPr>
            </w:pPr>
            <w:r>
              <w:rPr>
                <w:rFonts w:ascii="Courier New" w:cs="Courier New" w:eastAsia="Courier New" w:hAnsi="Courier New"/>
                <w:sz w:val="15"/>
                <w:szCs w:val="15"/>
                <w:color w:val="auto"/>
              </w:rPr>
              <w:t>Trade accounts receivable</w:t>
            </w:r>
          </w:p>
        </w:tc>
        <w:tc>
          <w:tcPr>
            <w:tcW w:w="44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3,960</w:t>
            </w: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(5,054)</w:t>
            </w:r>
          </w:p>
        </w:tc>
      </w:tr>
      <w:tr>
        <w:trPr>
          <w:trHeight w:val="170"/>
        </w:trPr>
        <w:tc>
          <w:tcPr>
            <w:tcW w:w="8100" w:type="dxa"/>
            <w:vAlign w:val="bottom"/>
          </w:tcPr>
          <w:p>
            <w:pPr>
              <w:ind w:left="1140"/>
              <w:spacing w:after="0"/>
              <w:rPr>
                <w:sz w:val="20"/>
                <w:szCs w:val="20"/>
                <w:color w:val="auto"/>
              </w:rPr>
            </w:pPr>
            <w:r>
              <w:rPr>
                <w:rFonts w:ascii="Courier New" w:cs="Courier New" w:eastAsia="Courier New" w:hAnsi="Courier New"/>
                <w:sz w:val="15"/>
                <w:szCs w:val="15"/>
                <w:color w:val="auto"/>
              </w:rPr>
              <w:t>Inventory</w:t>
            </w:r>
          </w:p>
        </w:tc>
        <w:tc>
          <w:tcPr>
            <w:tcW w:w="44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4,970</w:t>
            </w: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(5,386)</w:t>
            </w:r>
          </w:p>
        </w:tc>
      </w:tr>
      <w:tr>
        <w:trPr>
          <w:trHeight w:val="170"/>
        </w:trPr>
        <w:tc>
          <w:tcPr>
            <w:tcW w:w="8100" w:type="dxa"/>
            <w:vAlign w:val="bottom"/>
          </w:tcPr>
          <w:p>
            <w:pPr>
              <w:ind w:left="1140"/>
              <w:spacing w:after="0"/>
              <w:rPr>
                <w:sz w:val="20"/>
                <w:szCs w:val="20"/>
                <w:color w:val="auto"/>
              </w:rPr>
            </w:pPr>
            <w:r>
              <w:rPr>
                <w:rFonts w:ascii="Courier New" w:cs="Courier New" w:eastAsia="Courier New" w:hAnsi="Courier New"/>
                <w:sz w:val="15"/>
                <w:szCs w:val="15"/>
                <w:color w:val="auto"/>
              </w:rPr>
              <w:t>Other current assets</w:t>
            </w:r>
          </w:p>
        </w:tc>
        <w:tc>
          <w:tcPr>
            <w:tcW w:w="44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47</w:t>
            </w:r>
          </w:p>
        </w:tc>
        <w:tc>
          <w:tcPr>
            <w:tcW w:w="36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2,147</w:t>
            </w:r>
          </w:p>
        </w:tc>
      </w:tr>
      <w:tr>
        <w:trPr>
          <w:trHeight w:val="170"/>
        </w:trPr>
        <w:tc>
          <w:tcPr>
            <w:tcW w:w="8100" w:type="dxa"/>
            <w:vAlign w:val="bottom"/>
          </w:tcPr>
          <w:p>
            <w:pPr>
              <w:ind w:left="1140"/>
              <w:spacing w:after="0"/>
              <w:rPr>
                <w:sz w:val="20"/>
                <w:szCs w:val="20"/>
                <w:color w:val="auto"/>
              </w:rPr>
            </w:pPr>
            <w:r>
              <w:rPr>
                <w:rFonts w:ascii="Courier New" w:cs="Courier New" w:eastAsia="Courier New" w:hAnsi="Courier New"/>
                <w:sz w:val="15"/>
                <w:szCs w:val="15"/>
                <w:color w:val="auto"/>
              </w:rPr>
              <w:t>Accounts payable and accrued liabilities</w:t>
            </w:r>
          </w:p>
        </w:tc>
        <w:tc>
          <w:tcPr>
            <w:tcW w:w="4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(4,323)</w:t>
            </w:r>
          </w:p>
        </w:tc>
        <w:tc>
          <w:tcPr>
            <w:tcW w:w="36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627</w:t>
            </w:r>
          </w:p>
        </w:tc>
      </w:tr>
      <w:tr>
        <w:trPr>
          <w:trHeight w:val="170"/>
        </w:trPr>
        <w:tc>
          <w:tcPr>
            <w:tcW w:w="8100" w:type="dxa"/>
            <w:vAlign w:val="bottom"/>
          </w:tcPr>
          <w:p>
            <w:pPr>
              <w:ind w:left="1140"/>
              <w:spacing w:after="0"/>
              <w:rPr>
                <w:sz w:val="20"/>
                <w:szCs w:val="20"/>
                <w:color w:val="auto"/>
              </w:rPr>
            </w:pPr>
            <w:r>
              <w:rPr>
                <w:rFonts w:ascii="Courier New" w:cs="Courier New" w:eastAsia="Courier New" w:hAnsi="Courier New"/>
                <w:sz w:val="15"/>
                <w:szCs w:val="15"/>
                <w:color w:val="auto"/>
              </w:rPr>
              <w:t>Long-term liabilities</w:t>
            </w:r>
          </w:p>
        </w:tc>
        <w:tc>
          <w:tcPr>
            <w:tcW w:w="4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(67)</w:t>
            </w: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(79)</w:t>
            </w:r>
          </w:p>
        </w:tc>
      </w:tr>
      <w:tr>
        <w:trPr>
          <w:trHeight w:val="170"/>
        </w:trPr>
        <w:tc>
          <w:tcPr>
            <w:tcW w:w="8100" w:type="dxa"/>
            <w:vAlign w:val="bottom"/>
          </w:tcPr>
          <w:p>
            <w:pPr>
              <w:spacing w:after="0"/>
              <w:rPr>
                <w:sz w:val="14"/>
                <w:szCs w:val="14"/>
                <w:color w:val="auto"/>
              </w:rPr>
            </w:pPr>
          </w:p>
        </w:tc>
        <w:tc>
          <w:tcPr>
            <w:tcW w:w="25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0"/>
        </w:trPr>
        <w:tc>
          <w:tcPr>
            <w:tcW w:w="8100" w:type="dxa"/>
            <w:vAlign w:val="bottom"/>
          </w:tcPr>
          <w:p>
            <w:pPr>
              <w:ind w:left="880"/>
              <w:spacing w:after="0"/>
              <w:rPr>
                <w:sz w:val="20"/>
                <w:szCs w:val="20"/>
                <w:color w:val="auto"/>
              </w:rPr>
            </w:pPr>
            <w:r>
              <w:rPr>
                <w:rFonts w:ascii="Courier New" w:cs="Courier New" w:eastAsia="Courier New" w:hAnsi="Courier New"/>
                <w:sz w:val="15"/>
                <w:szCs w:val="15"/>
                <w:color w:val="auto"/>
              </w:rPr>
              <w:t>Net cash provided by (used in) operating activities</w:t>
            </w:r>
          </w:p>
        </w:tc>
        <w:tc>
          <w:tcPr>
            <w:tcW w:w="44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6,863</w:t>
            </w: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(2,704)</w:t>
            </w:r>
          </w:p>
        </w:tc>
      </w:tr>
      <w:tr>
        <w:trPr>
          <w:trHeight w:val="170"/>
        </w:trPr>
        <w:tc>
          <w:tcPr>
            <w:tcW w:w="8100" w:type="dxa"/>
            <w:vAlign w:val="bottom"/>
          </w:tcPr>
          <w:p>
            <w:pPr>
              <w:spacing w:after="0"/>
              <w:rPr>
                <w:sz w:val="14"/>
                <w:szCs w:val="14"/>
                <w:color w:val="auto"/>
              </w:rPr>
            </w:pPr>
          </w:p>
        </w:tc>
        <w:tc>
          <w:tcPr>
            <w:tcW w:w="25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0"/>
        </w:trPr>
        <w:tc>
          <w:tcPr>
            <w:tcW w:w="810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8100" w:type="dxa"/>
            <w:vAlign w:val="bottom"/>
          </w:tcPr>
          <w:p>
            <w:pPr>
              <w:ind w:left="340"/>
              <w:spacing w:after="0"/>
              <w:rPr>
                <w:sz w:val="20"/>
                <w:szCs w:val="20"/>
                <w:color w:val="auto"/>
              </w:rPr>
            </w:pPr>
            <w:r>
              <w:rPr>
                <w:rFonts w:ascii="Courier New" w:cs="Courier New" w:eastAsia="Courier New" w:hAnsi="Courier New"/>
                <w:sz w:val="15"/>
                <w:szCs w:val="15"/>
                <w:color w:val="auto"/>
              </w:rPr>
              <w:t>Purchases of property and equipment</w:t>
            </w:r>
          </w:p>
        </w:tc>
        <w:tc>
          <w:tcPr>
            <w:tcW w:w="4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(5,344)</w:t>
            </w: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(7,979)</w:t>
            </w:r>
          </w:p>
        </w:tc>
      </w:tr>
      <w:tr>
        <w:trPr>
          <w:trHeight w:val="170"/>
        </w:trPr>
        <w:tc>
          <w:tcPr>
            <w:tcW w:w="8100" w:type="dxa"/>
            <w:vAlign w:val="bottom"/>
          </w:tcPr>
          <w:p>
            <w:pPr>
              <w:ind w:left="340"/>
              <w:spacing w:after="0"/>
              <w:rPr>
                <w:sz w:val="20"/>
                <w:szCs w:val="20"/>
                <w:color w:val="auto"/>
              </w:rPr>
            </w:pPr>
            <w:r>
              <w:rPr>
                <w:rFonts w:ascii="Courier New" w:cs="Courier New" w:eastAsia="Courier New" w:hAnsi="Courier New"/>
                <w:sz w:val="15"/>
                <w:szCs w:val="15"/>
                <w:color w:val="auto"/>
              </w:rPr>
              <w:t>Proceeds from sales of property and equipment</w:t>
            </w:r>
          </w:p>
        </w:tc>
        <w:tc>
          <w:tcPr>
            <w:tcW w:w="44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3,828</w:t>
            </w:r>
          </w:p>
        </w:tc>
        <w:tc>
          <w:tcPr>
            <w:tcW w:w="36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8100" w:type="dxa"/>
            <w:vAlign w:val="bottom"/>
          </w:tcPr>
          <w:p>
            <w:pPr>
              <w:ind w:left="340"/>
              <w:spacing w:after="0"/>
              <w:rPr>
                <w:sz w:val="20"/>
                <w:szCs w:val="20"/>
                <w:color w:val="auto"/>
              </w:rPr>
            </w:pPr>
            <w:r>
              <w:rPr>
                <w:rFonts w:ascii="Courier New" w:cs="Courier New" w:eastAsia="Courier New" w:hAnsi="Courier New"/>
                <w:sz w:val="15"/>
                <w:szCs w:val="15"/>
                <w:color w:val="auto"/>
              </w:rPr>
              <w:t>Dividends from affiliated companies</w:t>
            </w:r>
          </w:p>
        </w:tc>
        <w:tc>
          <w:tcPr>
            <w:tcW w:w="44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25,059</w:t>
            </w:r>
          </w:p>
        </w:tc>
        <w:tc>
          <w:tcPr>
            <w:tcW w:w="36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8100" w:type="dxa"/>
            <w:vAlign w:val="bottom"/>
          </w:tcPr>
          <w:p>
            <w:pPr>
              <w:ind w:left="340"/>
              <w:spacing w:after="0"/>
              <w:rPr>
                <w:sz w:val="20"/>
                <w:szCs w:val="20"/>
                <w:color w:val="auto"/>
              </w:rPr>
            </w:pPr>
            <w:r>
              <w:rPr>
                <w:rFonts w:ascii="Courier New" w:cs="Courier New" w:eastAsia="Courier New" w:hAnsi="Courier New"/>
                <w:sz w:val="15"/>
                <w:szCs w:val="15"/>
                <w:color w:val="auto"/>
              </w:rPr>
              <w:t>Investments in affiliated companies</w:t>
            </w:r>
          </w:p>
        </w:tc>
        <w:tc>
          <w:tcPr>
            <w:tcW w:w="44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(4,200)</w:t>
            </w:r>
          </w:p>
        </w:tc>
      </w:tr>
      <w:tr>
        <w:trPr>
          <w:trHeight w:val="170"/>
        </w:trPr>
        <w:tc>
          <w:tcPr>
            <w:tcW w:w="8100" w:type="dxa"/>
            <w:vAlign w:val="bottom"/>
          </w:tcPr>
          <w:p>
            <w:pPr>
              <w:ind w:left="340"/>
              <w:spacing w:after="0"/>
              <w:rPr>
                <w:sz w:val="20"/>
                <w:szCs w:val="20"/>
                <w:color w:val="auto"/>
              </w:rPr>
            </w:pPr>
            <w:r>
              <w:rPr>
                <w:rFonts w:ascii="Courier New" w:cs="Courier New" w:eastAsia="Courier New" w:hAnsi="Courier New"/>
                <w:sz w:val="15"/>
                <w:szCs w:val="15"/>
                <w:color w:val="auto"/>
              </w:rPr>
              <w:t>Other</w:t>
            </w:r>
          </w:p>
        </w:tc>
        <w:tc>
          <w:tcPr>
            <w:tcW w:w="4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(946)</w:t>
            </w: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8100" w:type="dxa"/>
            <w:vAlign w:val="bottom"/>
          </w:tcPr>
          <w:p>
            <w:pPr>
              <w:spacing w:after="0"/>
              <w:rPr>
                <w:sz w:val="14"/>
                <w:szCs w:val="14"/>
                <w:color w:val="auto"/>
              </w:rPr>
            </w:pPr>
          </w:p>
        </w:tc>
        <w:tc>
          <w:tcPr>
            <w:tcW w:w="25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0"/>
        </w:trPr>
        <w:tc>
          <w:tcPr>
            <w:tcW w:w="8100" w:type="dxa"/>
            <w:vAlign w:val="bottom"/>
          </w:tcPr>
          <w:p>
            <w:pPr>
              <w:ind w:left="960"/>
              <w:spacing w:after="0"/>
              <w:rPr>
                <w:sz w:val="20"/>
                <w:szCs w:val="20"/>
                <w:color w:val="auto"/>
              </w:rPr>
            </w:pPr>
            <w:r>
              <w:rPr>
                <w:rFonts w:ascii="Courier New" w:cs="Courier New" w:eastAsia="Courier New" w:hAnsi="Courier New"/>
                <w:sz w:val="15"/>
                <w:szCs w:val="15"/>
                <w:color w:val="auto"/>
              </w:rPr>
              <w:t>Net cash provided by (used in) investing activities</w:t>
            </w:r>
          </w:p>
        </w:tc>
        <w:tc>
          <w:tcPr>
            <w:tcW w:w="44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22,597</w:t>
            </w: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(14,174)</w:t>
            </w:r>
          </w:p>
        </w:tc>
      </w:tr>
      <w:tr>
        <w:trPr>
          <w:trHeight w:val="170"/>
        </w:trPr>
        <w:tc>
          <w:tcPr>
            <w:tcW w:w="8100" w:type="dxa"/>
            <w:vAlign w:val="bottom"/>
          </w:tcPr>
          <w:p>
            <w:pPr>
              <w:spacing w:after="0"/>
              <w:rPr>
                <w:sz w:val="14"/>
                <w:szCs w:val="14"/>
                <w:color w:val="auto"/>
              </w:rPr>
            </w:pPr>
          </w:p>
        </w:tc>
        <w:tc>
          <w:tcPr>
            <w:tcW w:w="25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0"/>
        </w:trPr>
        <w:tc>
          <w:tcPr>
            <w:tcW w:w="810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8100" w:type="dxa"/>
            <w:vAlign w:val="bottom"/>
          </w:tcPr>
          <w:p>
            <w:pPr>
              <w:ind w:left="160"/>
              <w:spacing w:after="0"/>
              <w:rPr>
                <w:sz w:val="20"/>
                <w:szCs w:val="20"/>
                <w:color w:val="auto"/>
              </w:rPr>
            </w:pPr>
            <w:r>
              <w:rPr>
                <w:rFonts w:ascii="Courier New" w:cs="Courier New" w:eastAsia="Courier New" w:hAnsi="Courier New"/>
                <w:sz w:val="15"/>
                <w:szCs w:val="15"/>
                <w:color w:val="auto"/>
              </w:rPr>
              <w:t>Borrowings (repayments) under notes payable</w:t>
            </w:r>
          </w:p>
        </w:tc>
        <w:tc>
          <w:tcPr>
            <w:tcW w:w="4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(26,000)</w:t>
            </w:r>
          </w:p>
        </w:tc>
        <w:tc>
          <w:tcPr>
            <w:tcW w:w="36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19,000</w:t>
            </w:r>
          </w:p>
        </w:tc>
      </w:tr>
      <w:tr>
        <w:trPr>
          <w:trHeight w:val="170"/>
        </w:trPr>
        <w:tc>
          <w:tcPr>
            <w:tcW w:w="8100" w:type="dxa"/>
            <w:vAlign w:val="bottom"/>
          </w:tcPr>
          <w:p>
            <w:pPr>
              <w:ind w:left="160"/>
              <w:spacing w:after="0"/>
              <w:rPr>
                <w:sz w:val="20"/>
                <w:szCs w:val="20"/>
                <w:color w:val="auto"/>
              </w:rPr>
            </w:pPr>
            <w:r>
              <w:rPr>
                <w:rFonts w:ascii="Courier New" w:cs="Courier New" w:eastAsia="Courier New" w:hAnsi="Courier New"/>
                <w:sz w:val="15"/>
                <w:szCs w:val="15"/>
                <w:color w:val="auto"/>
              </w:rPr>
              <w:t>Issuance of common stock</w:t>
            </w:r>
          </w:p>
        </w:tc>
        <w:tc>
          <w:tcPr>
            <w:tcW w:w="44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52</w:t>
            </w:r>
          </w:p>
        </w:tc>
        <w:tc>
          <w:tcPr>
            <w:tcW w:w="36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w:t>
            </w:r>
          </w:p>
        </w:tc>
      </w:tr>
      <w:tr>
        <w:trPr>
          <w:trHeight w:val="170"/>
        </w:trPr>
        <w:tc>
          <w:tcPr>
            <w:tcW w:w="8100" w:type="dxa"/>
            <w:vAlign w:val="bottom"/>
          </w:tcPr>
          <w:p>
            <w:pPr>
              <w:ind w:left="160"/>
              <w:spacing w:after="0"/>
              <w:rPr>
                <w:sz w:val="20"/>
                <w:szCs w:val="20"/>
                <w:color w:val="auto"/>
              </w:rPr>
            </w:pPr>
            <w:r>
              <w:rPr>
                <w:rFonts w:ascii="Courier New" w:cs="Courier New" w:eastAsia="Courier New" w:hAnsi="Courier New"/>
                <w:sz w:val="15"/>
                <w:szCs w:val="15"/>
                <w:color w:val="auto"/>
              </w:rPr>
              <w:t>Repurchase of common stock</w:t>
            </w:r>
          </w:p>
        </w:tc>
        <w:tc>
          <w:tcPr>
            <w:tcW w:w="4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(384)</w:t>
            </w: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(2,882)</w:t>
            </w:r>
          </w:p>
        </w:tc>
      </w:tr>
      <w:tr>
        <w:trPr>
          <w:trHeight w:val="170"/>
        </w:trPr>
        <w:tc>
          <w:tcPr>
            <w:tcW w:w="8100" w:type="dxa"/>
            <w:vAlign w:val="bottom"/>
          </w:tcPr>
          <w:p>
            <w:pPr>
              <w:ind w:left="160"/>
              <w:spacing w:after="0"/>
              <w:rPr>
                <w:sz w:val="20"/>
                <w:szCs w:val="20"/>
                <w:color w:val="auto"/>
              </w:rPr>
            </w:pPr>
            <w:r>
              <w:rPr>
                <w:rFonts w:ascii="Courier New" w:cs="Courier New" w:eastAsia="Courier New" w:hAnsi="Courier New"/>
                <w:sz w:val="15"/>
                <w:szCs w:val="15"/>
                <w:color w:val="auto"/>
              </w:rPr>
              <w:t>Cash dividends</w:t>
            </w:r>
          </w:p>
        </w:tc>
        <w:tc>
          <w:tcPr>
            <w:tcW w:w="4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(2,346)</w:t>
            </w: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(2,393)</w:t>
            </w:r>
          </w:p>
        </w:tc>
      </w:tr>
      <w:tr>
        <w:trPr>
          <w:trHeight w:val="170"/>
        </w:trPr>
        <w:tc>
          <w:tcPr>
            <w:tcW w:w="8100" w:type="dxa"/>
            <w:vAlign w:val="bottom"/>
          </w:tcPr>
          <w:p>
            <w:pPr>
              <w:spacing w:after="0"/>
              <w:rPr>
                <w:sz w:val="14"/>
                <w:szCs w:val="14"/>
                <w:color w:val="auto"/>
              </w:rPr>
            </w:pPr>
          </w:p>
        </w:tc>
        <w:tc>
          <w:tcPr>
            <w:tcW w:w="25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0"/>
        </w:trPr>
        <w:tc>
          <w:tcPr>
            <w:tcW w:w="8100" w:type="dxa"/>
            <w:vAlign w:val="bottom"/>
          </w:tcPr>
          <w:p>
            <w:pPr>
              <w:ind w:left="1040"/>
              <w:spacing w:after="0"/>
              <w:rPr>
                <w:sz w:val="20"/>
                <w:szCs w:val="20"/>
                <w:color w:val="auto"/>
              </w:rPr>
            </w:pPr>
            <w:r>
              <w:rPr>
                <w:rFonts w:ascii="Courier New" w:cs="Courier New" w:eastAsia="Courier New" w:hAnsi="Courier New"/>
                <w:sz w:val="15"/>
                <w:szCs w:val="15"/>
                <w:color w:val="auto"/>
              </w:rPr>
              <w:t>Net cash provided by (used in) financing activities</w:t>
            </w:r>
          </w:p>
        </w:tc>
        <w:tc>
          <w:tcPr>
            <w:tcW w:w="4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(28,678)</w:t>
            </w:r>
          </w:p>
        </w:tc>
        <w:tc>
          <w:tcPr>
            <w:tcW w:w="36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13,737</w:t>
            </w:r>
          </w:p>
        </w:tc>
      </w:tr>
      <w:tr>
        <w:trPr>
          <w:trHeight w:val="170"/>
        </w:trPr>
        <w:tc>
          <w:tcPr>
            <w:tcW w:w="8100" w:type="dxa"/>
            <w:vAlign w:val="bottom"/>
          </w:tcPr>
          <w:p>
            <w:pPr>
              <w:spacing w:after="0"/>
              <w:rPr>
                <w:sz w:val="14"/>
                <w:szCs w:val="14"/>
                <w:color w:val="auto"/>
              </w:rPr>
            </w:pPr>
          </w:p>
        </w:tc>
        <w:tc>
          <w:tcPr>
            <w:tcW w:w="25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w:t>
            </w:r>
          </w:p>
        </w:tc>
      </w:tr>
      <w:tr>
        <w:trPr>
          <w:trHeight w:val="339"/>
        </w:trPr>
        <w:tc>
          <w:tcPr>
            <w:tcW w:w="8100" w:type="dxa"/>
            <w:vAlign w:val="bottom"/>
          </w:tcPr>
          <w:p>
            <w:pPr>
              <w:spacing w:after="0"/>
              <w:rPr>
                <w:sz w:val="20"/>
                <w:szCs w:val="20"/>
                <w:color w:val="auto"/>
              </w:rPr>
            </w:pPr>
            <w:r>
              <w:rPr>
                <w:rFonts w:ascii="Courier New" w:cs="Courier New" w:eastAsia="Courier New" w:hAnsi="Courier New"/>
                <w:sz w:val="15"/>
                <w:szCs w:val="15"/>
                <w:color w:val="auto"/>
              </w:rPr>
              <w:t>Net change in cash and cash equivalents</w:t>
            </w:r>
          </w:p>
        </w:tc>
        <w:tc>
          <w:tcPr>
            <w:tcW w:w="440" w:type="dxa"/>
            <w:vAlign w:val="bottom"/>
          </w:tcPr>
          <w:p>
            <w:pPr>
              <w:spacing w:after="0"/>
              <w:rPr>
                <w:sz w:val="24"/>
                <w:szCs w:val="2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782</w:t>
            </w: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(3,141)</w:t>
            </w:r>
          </w:p>
        </w:tc>
      </w:tr>
      <w:tr>
        <w:trPr>
          <w:trHeight w:val="170"/>
        </w:trPr>
        <w:tc>
          <w:tcPr>
            <w:tcW w:w="8100" w:type="dxa"/>
            <w:vAlign w:val="bottom"/>
          </w:tcPr>
          <w:p>
            <w:pPr>
              <w:spacing w:after="0"/>
              <w:rPr>
                <w:sz w:val="20"/>
                <w:szCs w:val="20"/>
                <w:color w:val="auto"/>
              </w:rPr>
            </w:pPr>
            <w:r>
              <w:rPr>
                <w:rFonts w:ascii="Courier New" w:cs="Courier New" w:eastAsia="Courier New" w:hAnsi="Courier New"/>
                <w:sz w:val="15"/>
                <w:szCs w:val="15"/>
                <w:color w:val="auto"/>
              </w:rPr>
              <w:t>Cash and cash equivalents, beginning of period</w:t>
            </w:r>
          </w:p>
        </w:tc>
        <w:tc>
          <w:tcPr>
            <w:tcW w:w="44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3,259</w:t>
            </w:r>
          </w:p>
        </w:tc>
        <w:tc>
          <w:tcPr>
            <w:tcW w:w="36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5,740</w:t>
            </w:r>
          </w:p>
        </w:tc>
      </w:tr>
      <w:tr>
        <w:trPr>
          <w:trHeight w:val="170"/>
        </w:trPr>
        <w:tc>
          <w:tcPr>
            <w:tcW w:w="8100" w:type="dxa"/>
            <w:vAlign w:val="bottom"/>
          </w:tcPr>
          <w:p>
            <w:pPr>
              <w:spacing w:after="0"/>
              <w:rPr>
                <w:sz w:val="14"/>
                <w:szCs w:val="14"/>
                <w:color w:val="auto"/>
              </w:rPr>
            </w:pPr>
          </w:p>
        </w:tc>
        <w:tc>
          <w:tcPr>
            <w:tcW w:w="25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0"/>
        </w:trPr>
        <w:tc>
          <w:tcPr>
            <w:tcW w:w="8100" w:type="dxa"/>
            <w:vAlign w:val="bottom"/>
          </w:tcPr>
          <w:p>
            <w:pPr>
              <w:spacing w:after="0"/>
              <w:rPr>
                <w:sz w:val="20"/>
                <w:szCs w:val="20"/>
                <w:color w:val="auto"/>
              </w:rPr>
            </w:pPr>
            <w:r>
              <w:rPr>
                <w:rFonts w:ascii="Courier New" w:cs="Courier New" w:eastAsia="Courier New" w:hAnsi="Courier New"/>
                <w:sz w:val="15"/>
                <w:szCs w:val="15"/>
                <w:color w:val="auto"/>
              </w:rPr>
              <w:t>Cash and cash equivalents, end of period</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4,041</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2,599</w:t>
            </w:r>
          </w:p>
        </w:tc>
      </w:tr>
      <w:tr>
        <w:trPr>
          <w:trHeight w:val="170"/>
        </w:trPr>
        <w:tc>
          <w:tcPr>
            <w:tcW w:w="8100" w:type="dxa"/>
            <w:vAlign w:val="bottom"/>
          </w:tcPr>
          <w:p>
            <w:pPr>
              <w:spacing w:after="0"/>
              <w:rPr>
                <w:sz w:val="14"/>
                <w:szCs w:val="14"/>
                <w:color w:val="auto"/>
              </w:rPr>
            </w:pPr>
          </w:p>
        </w:tc>
        <w:tc>
          <w:tcPr>
            <w:tcW w:w="25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w:t>
            </w:r>
          </w:p>
        </w:tc>
      </w:tr>
    </w:tbl>
    <w:p>
      <w:pPr>
        <w:spacing w:after="0" w:line="344" w:lineRule="exact"/>
        <w:rPr>
          <w:sz w:val="20"/>
          <w:szCs w:val="20"/>
          <w:color w:val="auto"/>
        </w:rPr>
      </w:pPr>
    </w:p>
    <w:p>
      <w:pPr>
        <w:ind w:right="3980"/>
        <w:spacing w:after="0" w:line="235" w:lineRule="auto"/>
        <w:rPr>
          <w:sz w:val="20"/>
          <w:szCs w:val="20"/>
          <w:color w:val="auto"/>
        </w:rPr>
      </w:pPr>
      <w:r>
        <w:rPr>
          <w:rFonts w:ascii="Courier New" w:cs="Courier New" w:eastAsia="Courier New" w:hAnsi="Courier New"/>
          <w:sz w:val="15"/>
          <w:szCs w:val="15"/>
          <w:color w:val="auto"/>
        </w:rPr>
        <w:t>The accompanying notes to condensed consolidated financial statements are an integral part of the condensed consolidated financial statements.</w:t>
      </w:r>
    </w:p>
    <w:p>
      <w:pPr>
        <w:spacing w:after="0" w:line="17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4 of 13</w:t>
      </w:r>
    </w:p>
    <w:p>
      <w:pPr>
        <w:sectPr>
          <w:pgSz w:w="11900" w:h="16838" w:orient="portrait"/>
          <w:cols w:equalWidth="0" w:num="1">
            <w:col w:w="10660"/>
          </w:cols>
          <w:pgMar w:left="240" w:top="283" w:right="999"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339"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BASSETT FURNITURE INDUSTRIES INC. AND SUBSIDIARIES</w:t>
      </w:r>
    </w:p>
    <w:p>
      <w:pPr>
        <w:ind w:left="780"/>
        <w:spacing w:after="0"/>
        <w:rPr>
          <w:sz w:val="20"/>
          <w:szCs w:val="20"/>
          <w:color w:val="auto"/>
        </w:rPr>
      </w:pPr>
      <w:r>
        <w:rPr>
          <w:rFonts w:ascii="Courier New" w:cs="Courier New" w:eastAsia="Courier New" w:hAnsi="Courier New"/>
          <w:sz w:val="15"/>
          <w:szCs w:val="15"/>
          <w:color w:val="auto"/>
        </w:rPr>
        <w:t>NOTES TO CONDENSED CONSOLIDATED FINANCIAL STATEMENTS-UNAUDITED</w:t>
      </w:r>
    </w:p>
    <w:p>
      <w:pPr>
        <w:ind w:left="340"/>
        <w:spacing w:after="0"/>
        <w:rPr>
          <w:sz w:val="20"/>
          <w:szCs w:val="20"/>
          <w:color w:val="auto"/>
        </w:rPr>
      </w:pPr>
      <w:r>
        <w:rPr>
          <w:rFonts w:ascii="Courier New" w:cs="Courier New" w:eastAsia="Courier New" w:hAnsi="Courier New"/>
          <w:sz w:val="15"/>
          <w:szCs w:val="15"/>
          <w:color w:val="auto"/>
        </w:rPr>
        <w:t>FEBRUARY 24, 2001 (Dollars in thousands except share and per share data)</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A. Basis of Presentation:</w:t>
      </w:r>
    </w:p>
    <w:p>
      <w:pPr>
        <w:spacing w:after="0" w:line="175" w:lineRule="exact"/>
        <w:rPr>
          <w:sz w:val="20"/>
          <w:szCs w:val="20"/>
          <w:color w:val="auto"/>
        </w:rPr>
      </w:pPr>
    </w:p>
    <w:p>
      <w:pPr>
        <w:ind w:right="3619"/>
        <w:spacing w:after="0" w:line="258" w:lineRule="auto"/>
        <w:rPr>
          <w:sz w:val="20"/>
          <w:szCs w:val="20"/>
          <w:color w:val="auto"/>
        </w:rPr>
      </w:pPr>
      <w:r>
        <w:rPr>
          <w:rFonts w:ascii="Courier New" w:cs="Courier New" w:eastAsia="Courier New" w:hAnsi="Courier New"/>
          <w:sz w:val="14"/>
          <w:szCs w:val="14"/>
          <w:color w:val="auto"/>
        </w:rPr>
        <w:t>The accompanying unaudited condensed consolidated financial statements have been prepared in accordance with the instructions to Form 10-Q and do not include all of the information and footnotes required by generally accepted accounting principles for complete financial statements. In the opinion of management, all adjustments (consisting of normal recurring accruals) considered necessary for a fair presentation have been included.</w:t>
      </w:r>
    </w:p>
    <w:p>
      <w:pPr>
        <w:spacing w:after="0" w:line="164"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The condensed consolidated financial statements include the accounts of Bassett Furniture Industries, Incorporated (the "Company") and its wholly owned subsidiaries. The equity method of accounting is used for the Company's investment in affiliated companies in which the Company exercises significant influence but does not maintain control.</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B. Reclassifications:</w:t>
      </w:r>
    </w:p>
    <w:p>
      <w:pPr>
        <w:spacing w:after="0" w:line="175"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5"/>
          <w:szCs w:val="15"/>
          <w:color w:val="auto"/>
        </w:rPr>
        <w:t>For comparative purposes certain amounts for fiscal 2000 have been reclassified to conform to fiscal 2001 presentation.</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C. Cumulative Effect of Accounting Change:</w:t>
      </w:r>
    </w:p>
    <w:p>
      <w:pPr>
        <w:spacing w:after="0" w:line="175" w:lineRule="exact"/>
        <w:rPr>
          <w:sz w:val="20"/>
          <w:szCs w:val="20"/>
          <w:color w:val="auto"/>
        </w:rPr>
      </w:pPr>
    </w:p>
    <w:p>
      <w:pPr>
        <w:ind w:right="3539"/>
        <w:spacing w:after="0" w:line="238" w:lineRule="auto"/>
        <w:rPr>
          <w:sz w:val="20"/>
          <w:szCs w:val="20"/>
          <w:color w:val="auto"/>
        </w:rPr>
      </w:pPr>
      <w:r>
        <w:rPr>
          <w:rFonts w:ascii="Courier New" w:cs="Courier New" w:eastAsia="Courier New" w:hAnsi="Courier New"/>
          <w:sz w:val="15"/>
          <w:szCs w:val="15"/>
          <w:color w:val="auto"/>
        </w:rPr>
        <w:t>In 1998, the AICPA issued SOP 98-5, "Reporting on the Costs of Start-up Activities," which requires start-up costs, as defined, to be expensed as incurred. In accordance with this SOP, any previously capitalized start-up costs are required to be written-off as a cumulative effect of a change in accounting principle. The Company, upon adoption of this SOP in the first quarter of fiscal 2000, has written off the unamortized balance of such previously capitalized start-up costs as of November 28, 1999, of $535 ($364 after tax) or $.03 per diluted share as a cumulative effect of an accounting change.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D. Inventories:</w:t>
      </w:r>
    </w:p>
    <w:p>
      <w:pPr>
        <w:spacing w:after="0" w:line="175" w:lineRule="exact"/>
        <w:rPr>
          <w:sz w:val="20"/>
          <w:szCs w:val="20"/>
          <w:color w:val="auto"/>
        </w:rPr>
      </w:pPr>
    </w:p>
    <w:p>
      <w:pPr>
        <w:ind w:right="3699"/>
        <w:spacing w:after="0" w:line="237" w:lineRule="auto"/>
        <w:rPr>
          <w:sz w:val="20"/>
          <w:szCs w:val="20"/>
          <w:color w:val="auto"/>
        </w:rPr>
      </w:pPr>
      <w:r>
        <w:rPr>
          <w:rFonts w:ascii="Courier New" w:cs="Courier New" w:eastAsia="Courier New" w:hAnsi="Courier New"/>
          <w:sz w:val="15"/>
          <w:szCs w:val="15"/>
          <w:color w:val="auto"/>
        </w:rPr>
        <w:t>Inventories are carried at last-in, first-out (LIFO) cost, which is not in excess of market. Inventories at February 24, 2001 and November 25, 2000 consisted of the following:</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40" w:type="dxa"/>
            <w:vAlign w:val="bottom"/>
          </w:tcPr>
          <w:p>
            <w:pPr>
              <w:spacing w:after="0"/>
              <w:rPr>
                <w:sz w:val="14"/>
                <w:szCs w:val="14"/>
                <w:color w:val="auto"/>
              </w:rPr>
            </w:pPr>
          </w:p>
        </w:tc>
        <w:tc>
          <w:tcPr>
            <w:tcW w:w="21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February 24,</w:t>
            </w:r>
          </w:p>
        </w:tc>
        <w:tc>
          <w:tcPr>
            <w:tcW w:w="1280" w:type="dxa"/>
            <w:vAlign w:val="bottom"/>
          </w:tcPr>
          <w:p>
            <w:pPr>
              <w:ind w:left="540"/>
              <w:spacing w:after="0"/>
              <w:rPr>
                <w:sz w:val="20"/>
                <w:szCs w:val="20"/>
                <w:color w:val="auto"/>
              </w:rPr>
            </w:pPr>
            <w:r>
              <w:rPr>
                <w:rFonts w:ascii="Courier New" w:cs="Courier New" w:eastAsia="Courier New" w:hAnsi="Courier New"/>
                <w:sz w:val="15"/>
                <w:szCs w:val="15"/>
                <w:color w:val="auto"/>
                <w:w w:val="99"/>
              </w:rPr>
              <w:t>November</w:t>
            </w:r>
          </w:p>
        </w:tc>
        <w:tc>
          <w:tcPr>
            <w:tcW w:w="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25,</w:t>
            </w:r>
          </w:p>
        </w:tc>
      </w:tr>
      <w:tr>
        <w:trPr>
          <w:trHeight w:val="170"/>
        </w:trPr>
        <w:tc>
          <w:tcPr>
            <w:tcW w:w="5140" w:type="dxa"/>
            <w:vAlign w:val="bottom"/>
          </w:tcPr>
          <w:p>
            <w:pPr>
              <w:spacing w:after="0"/>
              <w:rPr>
                <w:sz w:val="14"/>
                <w:szCs w:val="14"/>
                <w:color w:val="auto"/>
              </w:rPr>
            </w:pPr>
          </w:p>
        </w:tc>
        <w:tc>
          <w:tcPr>
            <w:tcW w:w="2160" w:type="dxa"/>
            <w:vAlign w:val="bottom"/>
            <w:gridSpan w:val="2"/>
          </w:tcPr>
          <w:p>
            <w:pPr>
              <w:ind w:left="1100"/>
              <w:spacing w:after="0"/>
              <w:rPr>
                <w:sz w:val="20"/>
                <w:szCs w:val="20"/>
                <w:color w:val="auto"/>
              </w:rPr>
            </w:pPr>
            <w:r>
              <w:rPr>
                <w:rFonts w:ascii="Courier New" w:cs="Courier New" w:eastAsia="Courier New" w:hAnsi="Courier New"/>
                <w:sz w:val="15"/>
                <w:szCs w:val="15"/>
                <w:color w:val="auto"/>
              </w:rPr>
              <w:t>2001</w:t>
            </w:r>
          </w:p>
        </w:tc>
        <w:tc>
          <w:tcPr>
            <w:tcW w:w="1280" w:type="dxa"/>
            <w:vAlign w:val="bottom"/>
          </w:tcPr>
          <w:p>
            <w:pPr>
              <w:ind w:left="880"/>
              <w:spacing w:after="0"/>
              <w:rPr>
                <w:sz w:val="20"/>
                <w:szCs w:val="20"/>
                <w:color w:val="auto"/>
              </w:rPr>
            </w:pPr>
            <w:r>
              <w:rPr>
                <w:rFonts w:ascii="Courier New" w:cs="Courier New" w:eastAsia="Courier New" w:hAnsi="Courier New"/>
                <w:sz w:val="15"/>
                <w:szCs w:val="15"/>
                <w:color w:val="auto"/>
              </w:rPr>
              <w:t>2000</w:t>
            </w:r>
          </w:p>
        </w:tc>
        <w:tc>
          <w:tcPr>
            <w:tcW w:w="660" w:type="dxa"/>
            <w:vAlign w:val="bottom"/>
          </w:tcPr>
          <w:p>
            <w:pPr>
              <w:spacing w:after="0"/>
              <w:rPr>
                <w:sz w:val="14"/>
                <w:szCs w:val="14"/>
                <w:color w:val="auto"/>
              </w:rPr>
            </w:pPr>
          </w:p>
        </w:tc>
      </w:tr>
      <w:tr>
        <w:trPr>
          <w:trHeight w:val="170"/>
        </w:trPr>
        <w:tc>
          <w:tcPr>
            <w:tcW w:w="5140" w:type="dxa"/>
            <w:vAlign w:val="bottom"/>
          </w:tcPr>
          <w:p>
            <w:pPr>
              <w:spacing w:after="0"/>
              <w:rPr>
                <w:sz w:val="14"/>
                <w:szCs w:val="14"/>
                <w:color w:val="auto"/>
              </w:rPr>
            </w:pPr>
          </w:p>
        </w:tc>
        <w:tc>
          <w:tcPr>
            <w:tcW w:w="21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14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1280" w:type="dxa"/>
            <w:vAlign w:val="bottom"/>
          </w:tcPr>
          <w:p>
            <w:pPr>
              <w:ind w:left="110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46,317</w:t>
            </w:r>
          </w:p>
        </w:tc>
        <w:tc>
          <w:tcPr>
            <w:tcW w:w="1280" w:type="dxa"/>
            <w:vAlign w:val="bottom"/>
          </w:tcPr>
          <w:p>
            <w:pPr>
              <w:ind w:left="88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50,563</w:t>
            </w:r>
          </w:p>
        </w:tc>
      </w:tr>
      <w:tr>
        <w:trPr>
          <w:trHeight w:val="170"/>
        </w:trPr>
        <w:tc>
          <w:tcPr>
            <w:tcW w:w="5140" w:type="dxa"/>
            <w:vAlign w:val="bottom"/>
          </w:tcPr>
          <w:p>
            <w:pPr>
              <w:spacing w:after="0"/>
              <w:rPr>
                <w:sz w:val="20"/>
                <w:szCs w:val="20"/>
                <w:color w:val="auto"/>
              </w:rPr>
            </w:pPr>
            <w:r>
              <w:rPr>
                <w:rFonts w:ascii="Courier New" w:cs="Courier New" w:eastAsia="Courier New" w:hAnsi="Courier New"/>
                <w:sz w:val="15"/>
                <w:szCs w:val="15"/>
                <w:color w:val="auto"/>
              </w:rPr>
              <w:t>Work in process</w:t>
            </w:r>
          </w:p>
        </w:tc>
        <w:tc>
          <w:tcPr>
            <w:tcW w:w="128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6,954</w:t>
            </w:r>
          </w:p>
        </w:tc>
        <w:tc>
          <w:tcPr>
            <w:tcW w:w="128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8,708</w:t>
            </w:r>
          </w:p>
        </w:tc>
      </w:tr>
      <w:tr>
        <w:trPr>
          <w:trHeight w:val="170"/>
        </w:trPr>
        <w:tc>
          <w:tcPr>
            <w:tcW w:w="5140" w:type="dxa"/>
            <w:vAlign w:val="bottom"/>
          </w:tcPr>
          <w:p>
            <w:pPr>
              <w:spacing w:after="0"/>
              <w:rPr>
                <w:sz w:val="20"/>
                <w:szCs w:val="20"/>
                <w:color w:val="auto"/>
              </w:rPr>
            </w:pPr>
            <w:r>
              <w:rPr>
                <w:rFonts w:ascii="Courier New" w:cs="Courier New" w:eastAsia="Courier New" w:hAnsi="Courier New"/>
                <w:sz w:val="15"/>
                <w:szCs w:val="15"/>
                <w:color w:val="auto"/>
              </w:rPr>
              <w:t>Raw materials and supplies</w:t>
            </w:r>
          </w:p>
        </w:tc>
        <w:tc>
          <w:tcPr>
            <w:tcW w:w="128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19,623</w:t>
            </w:r>
          </w:p>
        </w:tc>
        <w:tc>
          <w:tcPr>
            <w:tcW w:w="128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18,368</w:t>
            </w:r>
          </w:p>
        </w:tc>
      </w:tr>
      <w:tr>
        <w:trPr>
          <w:trHeight w:val="170"/>
        </w:trPr>
        <w:tc>
          <w:tcPr>
            <w:tcW w:w="5140" w:type="dxa"/>
            <w:vAlign w:val="bottom"/>
          </w:tcPr>
          <w:p>
            <w:pPr>
              <w:spacing w:after="0"/>
              <w:rPr>
                <w:sz w:val="14"/>
                <w:szCs w:val="14"/>
                <w:color w:val="auto"/>
              </w:rPr>
            </w:pPr>
          </w:p>
        </w:tc>
        <w:tc>
          <w:tcPr>
            <w:tcW w:w="21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140" w:type="dxa"/>
            <w:vAlign w:val="bottom"/>
          </w:tcPr>
          <w:p>
            <w:pPr>
              <w:spacing w:after="0"/>
              <w:rPr>
                <w:sz w:val="20"/>
                <w:szCs w:val="20"/>
                <w:color w:val="auto"/>
              </w:rPr>
            </w:pPr>
            <w:r>
              <w:rPr>
                <w:rFonts w:ascii="Courier New" w:cs="Courier New" w:eastAsia="Courier New" w:hAnsi="Courier New"/>
                <w:sz w:val="15"/>
                <w:szCs w:val="15"/>
                <w:color w:val="auto"/>
              </w:rPr>
              <w:t>Total inventories on first-in, first-out cost method</w:t>
            </w:r>
          </w:p>
        </w:tc>
        <w:tc>
          <w:tcPr>
            <w:tcW w:w="128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72,894</w:t>
            </w:r>
          </w:p>
        </w:tc>
        <w:tc>
          <w:tcPr>
            <w:tcW w:w="128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77,639</w:t>
            </w:r>
          </w:p>
        </w:tc>
      </w:tr>
      <w:tr>
        <w:trPr>
          <w:trHeight w:val="170"/>
        </w:trPr>
        <w:tc>
          <w:tcPr>
            <w:tcW w:w="5140" w:type="dxa"/>
            <w:vAlign w:val="bottom"/>
          </w:tcPr>
          <w:p>
            <w:pPr>
              <w:spacing w:after="0"/>
              <w:rPr>
                <w:sz w:val="20"/>
                <w:szCs w:val="20"/>
                <w:color w:val="auto"/>
              </w:rPr>
            </w:pPr>
            <w:r>
              <w:rPr>
                <w:rFonts w:ascii="Courier New" w:cs="Courier New" w:eastAsia="Courier New" w:hAnsi="Courier New"/>
                <w:sz w:val="15"/>
                <w:szCs w:val="15"/>
                <w:color w:val="auto"/>
              </w:rPr>
              <w:t>LIFO adjustment</w:t>
            </w:r>
          </w:p>
        </w:tc>
        <w:tc>
          <w:tcPr>
            <w:tcW w:w="128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(27,663)</w:t>
            </w:r>
          </w:p>
        </w:tc>
        <w:tc>
          <w:tcPr>
            <w:tcW w:w="19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(27,438)</w:t>
            </w:r>
          </w:p>
        </w:tc>
      </w:tr>
      <w:tr>
        <w:trPr>
          <w:trHeight w:val="170"/>
        </w:trPr>
        <w:tc>
          <w:tcPr>
            <w:tcW w:w="5140" w:type="dxa"/>
            <w:vAlign w:val="bottom"/>
          </w:tcPr>
          <w:p>
            <w:pPr>
              <w:spacing w:after="0"/>
              <w:rPr>
                <w:sz w:val="14"/>
                <w:szCs w:val="14"/>
                <w:color w:val="auto"/>
              </w:rPr>
            </w:pPr>
          </w:p>
        </w:tc>
        <w:tc>
          <w:tcPr>
            <w:tcW w:w="21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140" w:type="dxa"/>
            <w:vAlign w:val="bottom"/>
          </w:tcPr>
          <w:p>
            <w:pPr>
              <w:spacing w:after="0"/>
              <w:rPr>
                <w:sz w:val="20"/>
                <w:szCs w:val="20"/>
                <w:color w:val="auto"/>
              </w:rPr>
            </w:pPr>
            <w:r>
              <w:rPr>
                <w:rFonts w:ascii="Courier New" w:cs="Courier New" w:eastAsia="Courier New" w:hAnsi="Courier New"/>
                <w:sz w:val="15"/>
                <w:szCs w:val="15"/>
                <w:color w:val="auto"/>
              </w:rPr>
              <w:t>Total inventories, net</w:t>
            </w:r>
          </w:p>
        </w:tc>
        <w:tc>
          <w:tcPr>
            <w:tcW w:w="1280" w:type="dxa"/>
            <w:vAlign w:val="bottom"/>
          </w:tcPr>
          <w:p>
            <w:pPr>
              <w:ind w:left="110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45,231</w:t>
            </w:r>
          </w:p>
        </w:tc>
        <w:tc>
          <w:tcPr>
            <w:tcW w:w="1280" w:type="dxa"/>
            <w:vAlign w:val="bottom"/>
          </w:tcPr>
          <w:p>
            <w:pPr>
              <w:ind w:left="88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50,201</w:t>
            </w:r>
          </w:p>
        </w:tc>
      </w:tr>
      <w:tr>
        <w:trPr>
          <w:trHeight w:val="170"/>
        </w:trPr>
        <w:tc>
          <w:tcPr>
            <w:tcW w:w="5140" w:type="dxa"/>
            <w:vAlign w:val="bottom"/>
          </w:tcPr>
          <w:p>
            <w:pPr>
              <w:spacing w:after="0"/>
              <w:rPr>
                <w:sz w:val="14"/>
                <w:szCs w:val="14"/>
                <w:color w:val="auto"/>
              </w:rPr>
            </w:pPr>
          </w:p>
        </w:tc>
        <w:tc>
          <w:tcPr>
            <w:tcW w:w="21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E. Investment in Affiliated Companies:</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Summarized combined income statement information for the Company's equity method investments for the thirteen weeks ended February 24, 2001 and February 26, 2000 are as follows: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22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2001</w:t>
            </w: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2940" w:type="dxa"/>
            <w:vAlign w:val="bottom"/>
          </w:tcPr>
          <w:p>
            <w:pPr>
              <w:spacing w:after="0"/>
              <w:rPr>
                <w:sz w:val="14"/>
                <w:szCs w:val="14"/>
                <w:color w:val="auto"/>
              </w:rPr>
            </w:pPr>
          </w:p>
        </w:tc>
        <w:tc>
          <w:tcPr>
            <w:tcW w:w="22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9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2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$ 27,550</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$ 28,496</w:t>
            </w: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2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4,596</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7,593</w:t>
            </w: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85</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2,745</w:t>
            </w:r>
          </w:p>
        </w:tc>
      </w:tr>
    </w:tbl>
    <w:p>
      <w:pPr>
        <w:spacing w:after="0" w:line="344"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LRG Furniture, LLC (LRG), an affiliated company, incurred start-up related losses in fiscal 2000 and expects improved profitability, yet has incurred additional losses in 2001. In addition, the Company has outstanding accounts and notes receivable from LRG and has leases and loan guarantees with LRG. The Company has committed to provide financial support to LRG, as needed, over the next two years.</w:t>
      </w:r>
    </w:p>
    <w:p>
      <w:pPr>
        <w:spacing w:after="0" w:line="17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5 of 13</w:t>
      </w:r>
    </w:p>
    <w:p>
      <w:pPr>
        <w:sectPr>
          <w:pgSz w:w="11900" w:h="16838" w:orient="portrait"/>
          <w:cols w:equalWidth="0" w:num="1">
            <w:col w:w="10219"/>
          </w:cols>
          <w:pgMar w:left="240" w:top="283"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339"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BASSETT FURNTURE INDUSTRIES INC. AND SUBSIDIARIES</w:t>
      </w:r>
    </w:p>
    <w:p>
      <w:pPr>
        <w:ind w:left="700"/>
        <w:spacing w:after="0"/>
        <w:rPr>
          <w:sz w:val="20"/>
          <w:szCs w:val="20"/>
          <w:color w:val="auto"/>
        </w:rPr>
      </w:pPr>
      <w:r>
        <w:rPr>
          <w:rFonts w:ascii="Courier New" w:cs="Courier New" w:eastAsia="Courier New" w:hAnsi="Courier New"/>
          <w:sz w:val="15"/>
          <w:szCs w:val="15"/>
          <w:color w:val="auto"/>
        </w:rPr>
        <w:t>NOTES TO CONDENSED CONSOLIDATED FINANCIAL STATEMENTS-UNAUDITED</w:t>
      </w:r>
    </w:p>
    <w:p>
      <w:pPr>
        <w:ind w:left="260"/>
        <w:spacing w:after="0"/>
        <w:rPr>
          <w:sz w:val="20"/>
          <w:szCs w:val="20"/>
          <w:color w:val="auto"/>
        </w:rPr>
      </w:pPr>
      <w:r>
        <w:rPr>
          <w:rFonts w:ascii="Courier New" w:cs="Courier New" w:eastAsia="Courier New" w:hAnsi="Courier New"/>
          <w:sz w:val="15"/>
          <w:szCs w:val="15"/>
          <w:color w:val="auto"/>
        </w:rPr>
        <w:t>FEBRUARY 24, 2001(Dollars in thousands except share and per share data)</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F. Comprehensive income: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thirteen weeks ended February 24, 2001, and February 26, 2000, total</w:t>
      </w:r>
    </w:p>
    <w:p>
      <w:pPr>
        <w:spacing w:after="0"/>
        <w:rPr>
          <w:sz w:val="20"/>
          <w:szCs w:val="20"/>
          <w:color w:val="auto"/>
        </w:rPr>
      </w:pPr>
      <w:r>
        <w:rPr>
          <w:rFonts w:ascii="Courier New" w:cs="Courier New" w:eastAsia="Courier New" w:hAnsi="Courier New"/>
          <w:sz w:val="15"/>
          <w:szCs w:val="15"/>
          <w:color w:val="auto"/>
        </w:rPr>
        <w:t>comprehensive income was $1,658 and $3,797, respectively. Included in total</w:t>
      </w:r>
    </w:p>
    <w:p>
      <w:pPr>
        <w:spacing w:after="0"/>
        <w:rPr>
          <w:sz w:val="20"/>
          <w:szCs w:val="20"/>
          <w:color w:val="auto"/>
        </w:rPr>
      </w:pPr>
      <w:r>
        <w:rPr>
          <w:rFonts w:ascii="Courier New" w:cs="Courier New" w:eastAsia="Courier New" w:hAnsi="Courier New"/>
          <w:sz w:val="15"/>
          <w:szCs w:val="15"/>
          <w:color w:val="auto"/>
        </w:rPr>
        <w:t>comprehensive income for the first quarter was net income of $2,252 and</w:t>
      </w:r>
    </w:p>
    <w:p>
      <w:pPr>
        <w:spacing w:after="0" w:line="238" w:lineRule="auto"/>
        <w:rPr>
          <w:sz w:val="20"/>
          <w:szCs w:val="20"/>
          <w:color w:val="auto"/>
        </w:rPr>
      </w:pPr>
      <w:r>
        <w:rPr>
          <w:rFonts w:ascii="Courier New" w:cs="Courier New" w:eastAsia="Courier New" w:hAnsi="Courier New"/>
          <w:sz w:val="15"/>
          <w:szCs w:val="15"/>
          <w:color w:val="auto"/>
        </w:rPr>
        <w:t>$4,354, respectively, and unrealized holding losses arising during the period,</w:t>
      </w:r>
    </w:p>
    <w:p>
      <w:pPr>
        <w:spacing w:after="0"/>
        <w:rPr>
          <w:sz w:val="20"/>
          <w:szCs w:val="20"/>
          <w:color w:val="auto"/>
        </w:rPr>
      </w:pPr>
      <w:r>
        <w:rPr>
          <w:rFonts w:ascii="Courier New" w:cs="Courier New" w:eastAsia="Courier New" w:hAnsi="Courier New"/>
          <w:sz w:val="15"/>
          <w:szCs w:val="15"/>
          <w:color w:val="auto"/>
        </w:rPr>
        <w:t>net of tax of $594 and $557, respectively.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G. Restructuring, Impaired Fixed Assets and Other Unusual and</w:t>
      </w:r>
    </w:p>
    <w:p>
      <w:pPr>
        <w:spacing w:after="0"/>
        <w:rPr>
          <w:sz w:val="20"/>
          <w:szCs w:val="20"/>
          <w:color w:val="auto"/>
        </w:rPr>
      </w:pPr>
      <w:r>
        <w:rPr>
          <w:rFonts w:ascii="Courier New" w:cs="Courier New" w:eastAsia="Courier New" w:hAnsi="Courier New"/>
          <w:sz w:val="15"/>
          <w:szCs w:val="15"/>
          <w:color w:val="auto"/>
        </w:rPr>
        <w:t>Nonrecurring Charges:</w:t>
      </w:r>
    </w:p>
    <w:p>
      <w:pPr>
        <w:spacing w:after="0" w:line="174"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4"/>
          <w:szCs w:val="14"/>
          <w:color w:val="auto"/>
        </w:rPr>
        <w:t>During fiscal year 2000, a decision was made to consolidate wood manufacturing operations at two of the Company's facilities in Bassett, VA. These restructuring activities continued in the first quarter of 2001 and included moving production from one facility to another. One manufacturing facility in the Wood Division will be closed in the second quarter of 2001, and all operations will be absorbed by one of the remaining facilities. All of these reorganization actions will result in the elimination of approximately 400 positions. The following summarizes first quarter restructuring:</w:t>
      </w:r>
    </w:p>
    <w:p>
      <w:pPr>
        <w:spacing w:after="0" w:line="200" w:lineRule="exact"/>
        <w:rPr>
          <w:sz w:val="20"/>
          <w:szCs w:val="20"/>
          <w:color w:val="auto"/>
        </w:rPr>
      </w:pPr>
    </w:p>
    <w:p>
      <w:pPr>
        <w:spacing w:after="0" w:line="300" w:lineRule="exact"/>
        <w:rPr>
          <w:sz w:val="20"/>
          <w:szCs w:val="20"/>
          <w:color w:val="auto"/>
        </w:rPr>
      </w:pPr>
    </w:p>
    <w:p>
      <w:pPr>
        <w:ind w:left="2980"/>
        <w:spacing w:after="0"/>
        <w:tabs>
          <w:tab w:leader="none" w:pos="7720" w:val="left"/>
        </w:tabs>
        <w:rPr>
          <w:sz w:val="20"/>
          <w:szCs w:val="20"/>
          <w:color w:val="auto"/>
        </w:rPr>
      </w:pPr>
      <w:r>
        <w:rPr>
          <w:rFonts w:ascii="Courier New" w:cs="Courier New" w:eastAsia="Courier New" w:hAnsi="Courier New"/>
          <w:sz w:val="15"/>
          <w:szCs w:val="15"/>
          <w:color w:val="auto"/>
        </w:rPr>
        <w:t>Nov. 25,</w:t>
      </w:r>
      <w:r>
        <w:rPr>
          <w:sz w:val="20"/>
          <w:szCs w:val="20"/>
          <w:color w:val="auto"/>
        </w:rPr>
        <w:tab/>
      </w:r>
      <w:r>
        <w:rPr>
          <w:rFonts w:ascii="Courier New" w:cs="Courier New" w:eastAsia="Courier New" w:hAnsi="Courier New"/>
          <w:sz w:val="14"/>
          <w:szCs w:val="14"/>
          <w:color w:val="auto"/>
        </w:rPr>
        <w:t>Feb. 24,</w:t>
      </w:r>
    </w:p>
    <w:p>
      <w:pPr>
        <w:ind w:left="3080"/>
        <w:spacing w:after="0"/>
        <w:tabs>
          <w:tab w:leader="none" w:pos="4120" w:val="left"/>
          <w:tab w:leader="none" w:pos="5340" w:val="left"/>
          <w:tab w:leader="none" w:pos="7820"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First</w:t>
      </w:r>
      <w:r>
        <w:rPr>
          <w:sz w:val="20"/>
          <w:szCs w:val="20"/>
          <w:color w:val="auto"/>
        </w:rPr>
        <w:tab/>
      </w:r>
      <w:r>
        <w:rPr>
          <w:rFonts w:ascii="Courier New" w:cs="Courier New" w:eastAsia="Courier New" w:hAnsi="Courier New"/>
          <w:sz w:val="15"/>
          <w:szCs w:val="15"/>
          <w:color w:val="auto"/>
        </w:rPr>
        <w:t>Fixed</w:t>
      </w:r>
      <w:r>
        <w:rPr>
          <w:sz w:val="20"/>
          <w:szCs w:val="20"/>
          <w:color w:val="auto"/>
        </w:rPr>
        <w:tab/>
      </w:r>
      <w:r>
        <w:rPr>
          <w:rFonts w:ascii="Courier New" w:cs="Courier New" w:eastAsia="Courier New" w:hAnsi="Courier New"/>
          <w:sz w:val="14"/>
          <w:szCs w:val="14"/>
          <w:color w:val="auto"/>
        </w:rPr>
        <w:t>2001</w:t>
      </w:r>
    </w:p>
    <w:p>
      <w:pPr>
        <w:ind w:left="2980"/>
        <w:spacing w:after="0"/>
        <w:tabs>
          <w:tab w:leader="none" w:pos="4020" w:val="left"/>
          <w:tab w:leader="none" w:pos="5340" w:val="left"/>
          <w:tab w:leader="none" w:pos="6580" w:val="left"/>
          <w:tab w:leader="none" w:pos="7720" w:val="left"/>
        </w:tabs>
        <w:rPr>
          <w:sz w:val="20"/>
          <w:szCs w:val="20"/>
          <w:color w:val="auto"/>
        </w:rPr>
      </w:pPr>
      <w:r>
        <w:rPr>
          <w:rFonts w:ascii="Courier New" w:cs="Courier New" w:eastAsia="Courier New" w:hAnsi="Courier New"/>
          <w:sz w:val="15"/>
          <w:szCs w:val="15"/>
          <w:color w:val="auto"/>
        </w:rPr>
        <w:t>reserve</w:t>
      </w:r>
      <w:r>
        <w:rPr>
          <w:sz w:val="20"/>
          <w:szCs w:val="20"/>
          <w:color w:val="auto"/>
        </w:rPr>
        <w:tab/>
      </w:r>
      <w:r>
        <w:rPr>
          <w:rFonts w:ascii="Courier New" w:cs="Courier New" w:eastAsia="Courier New" w:hAnsi="Courier New"/>
          <w:sz w:val="15"/>
          <w:szCs w:val="15"/>
          <w:color w:val="auto"/>
        </w:rPr>
        <w:t>quarter</w:t>
      </w:r>
      <w:r>
        <w:rPr>
          <w:sz w:val="20"/>
          <w:szCs w:val="20"/>
          <w:color w:val="auto"/>
        </w:rPr>
        <w:tab/>
      </w:r>
      <w:r>
        <w:rPr>
          <w:rFonts w:ascii="Courier New" w:cs="Courier New" w:eastAsia="Courier New" w:hAnsi="Courier New"/>
          <w:sz w:val="15"/>
          <w:szCs w:val="15"/>
          <w:color w:val="auto"/>
        </w:rPr>
        <w:t>asset</w:t>
      </w:r>
      <w:r>
        <w:rPr>
          <w:sz w:val="20"/>
          <w:szCs w:val="20"/>
          <w:color w:val="auto"/>
        </w:rPr>
        <w:tab/>
      </w:r>
      <w:r>
        <w:rPr>
          <w:rFonts w:ascii="Courier New" w:cs="Courier New" w:eastAsia="Courier New" w:hAnsi="Courier New"/>
          <w:sz w:val="15"/>
          <w:szCs w:val="15"/>
          <w:color w:val="auto"/>
        </w:rPr>
        <w:t>Reserves</w:t>
      </w:r>
      <w:r>
        <w:rPr>
          <w:sz w:val="20"/>
          <w:szCs w:val="20"/>
          <w:color w:val="auto"/>
        </w:rPr>
        <w:tab/>
      </w:r>
      <w:r>
        <w:rPr>
          <w:rFonts w:ascii="Courier New" w:cs="Courier New" w:eastAsia="Courier New" w:hAnsi="Courier New"/>
          <w:sz w:val="14"/>
          <w:szCs w:val="14"/>
          <w:color w:val="auto"/>
        </w:rPr>
        <w:t>reserve</w:t>
      </w:r>
    </w:p>
    <w:p>
      <w:pPr>
        <w:ind w:left="2980"/>
        <w:spacing w:after="0"/>
        <w:tabs>
          <w:tab w:leader="none" w:pos="4020" w:val="left"/>
          <w:tab w:leader="none" w:pos="5000" w:val="left"/>
          <w:tab w:leader="none" w:pos="6500" w:val="left"/>
          <w:tab w:leader="none" w:pos="7720" w:val="left"/>
        </w:tabs>
        <w:rPr>
          <w:sz w:val="20"/>
          <w:szCs w:val="20"/>
          <w:color w:val="auto"/>
        </w:rPr>
      </w:pPr>
      <w:r>
        <w:rPr>
          <w:rFonts w:ascii="Courier New" w:cs="Courier New" w:eastAsia="Courier New" w:hAnsi="Courier New"/>
          <w:sz w:val="15"/>
          <w:szCs w:val="15"/>
          <w:color w:val="auto"/>
        </w:rPr>
        <w:t>balance</w:t>
      </w:r>
      <w:r>
        <w:rPr>
          <w:sz w:val="20"/>
          <w:szCs w:val="20"/>
          <w:color w:val="auto"/>
        </w:rPr>
        <w:tab/>
      </w:r>
      <w:r>
        <w:rPr>
          <w:rFonts w:ascii="Courier New" w:cs="Courier New" w:eastAsia="Courier New" w:hAnsi="Courier New"/>
          <w:sz w:val="15"/>
          <w:szCs w:val="15"/>
          <w:color w:val="auto"/>
        </w:rPr>
        <w:t>charges</w:t>
      </w:r>
      <w:r>
        <w:rPr>
          <w:sz w:val="20"/>
          <w:szCs w:val="20"/>
          <w:color w:val="auto"/>
        </w:rPr>
        <w:tab/>
      </w:r>
      <w:r>
        <w:rPr>
          <w:rFonts w:ascii="Courier New" w:cs="Courier New" w:eastAsia="Courier New" w:hAnsi="Courier New"/>
          <w:sz w:val="15"/>
          <w:szCs w:val="15"/>
          <w:color w:val="auto"/>
        </w:rPr>
        <w:t>write- downs</w:t>
      </w:r>
      <w:r>
        <w:rPr>
          <w:sz w:val="20"/>
          <w:szCs w:val="20"/>
          <w:color w:val="auto"/>
        </w:rPr>
        <w:tab/>
      </w:r>
      <w:r>
        <w:rPr>
          <w:rFonts w:ascii="Courier New" w:cs="Courier New" w:eastAsia="Courier New" w:hAnsi="Courier New"/>
          <w:sz w:val="15"/>
          <w:szCs w:val="15"/>
          <w:color w:val="auto"/>
        </w:rPr>
        <w:t>utilized</w:t>
      </w:r>
      <w:r>
        <w:rPr>
          <w:sz w:val="20"/>
          <w:szCs w:val="20"/>
          <w:color w:val="auto"/>
        </w:rPr>
        <w:tab/>
      </w:r>
      <w:r>
        <w:rPr>
          <w:rFonts w:ascii="Courier New" w:cs="Courier New" w:eastAsia="Courier New" w:hAnsi="Courier New"/>
          <w:sz w:val="14"/>
          <w:szCs w:val="14"/>
          <w:color w:val="auto"/>
        </w:rPr>
        <w:t>balance</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 ----------- --------------- ------------- ------------</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Non-cash writedown</w:t>
      </w:r>
    </w:p>
    <w:p>
      <w:pPr>
        <w:ind w:left="340"/>
        <w:spacing w:after="0"/>
        <w:rPr>
          <w:sz w:val="20"/>
          <w:szCs w:val="20"/>
          <w:color w:val="auto"/>
        </w:rPr>
      </w:pPr>
      <w:r>
        <w:rPr>
          <w:rFonts w:ascii="Courier New" w:cs="Courier New" w:eastAsia="Courier New" w:hAnsi="Courier New"/>
          <w:sz w:val="15"/>
          <w:szCs w:val="15"/>
          <w:color w:val="auto"/>
        </w:rPr>
        <w:t>of property and</w:t>
      </w:r>
    </w:p>
    <w:p>
      <w:pPr>
        <w:ind w:left="340"/>
        <w:spacing w:after="0"/>
        <w:rPr>
          <w:sz w:val="20"/>
          <w:szCs w:val="20"/>
          <w:color w:val="auto"/>
        </w:rPr>
      </w:pPr>
      <w:r>
        <w:rPr>
          <w:rFonts w:ascii="Courier New" w:cs="Courier New" w:eastAsia="Courier New" w:hAnsi="Courier New"/>
          <w:sz w:val="15"/>
          <w:szCs w:val="15"/>
          <w:color w:val="auto"/>
        </w:rPr>
        <w:t>equipment to</w:t>
      </w:r>
    </w:p>
    <w:p>
      <w:pPr>
        <w:sectPr>
          <w:pgSz w:w="11900" w:h="16838" w:orient="portrait"/>
          <w:cols w:equalWidth="0" w:num="1">
            <w:col w:w="10219"/>
          </w:cols>
          <w:pgMar w:left="240" w:top="283" w:right="1440" w:bottom="904" w:gutter="0" w:footer="0" w:header="0"/>
        </w:sectPr>
      </w:pPr>
    </w:p>
    <w:p>
      <w:pPr>
        <w:spacing w:after="0" w:line="4"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net realizable value</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$ 1,600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1,600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191" w:lineRule="exact"/>
        <w:rPr>
          <w:sz w:val="20"/>
          <w:szCs w:val="20"/>
          <w:color w:val="auto"/>
        </w:rPr>
      </w:pPr>
    </w:p>
    <w:p>
      <w:pPr>
        <w:sectPr>
          <w:pgSz w:w="11900" w:h="16838" w:orient="portrait"/>
          <w:cols w:equalWidth="0" w:num="10">
            <w:col w:w="2440" w:space="720"/>
            <w:col w:w="100" w:space="340"/>
            <w:col w:w="100" w:space="440"/>
            <w:col w:w="620" w:space="520"/>
            <w:col w:w="80" w:space="360"/>
            <w:col w:w="440" w:space="620"/>
            <w:col w:w="80" w:space="440"/>
            <w:col w:w="100" w:space="520"/>
            <w:col w:w="100" w:space="440"/>
            <w:col w:w="1759"/>
          </w:cols>
          <w:pgMar w:left="240" w:top="283" w:right="1440" w:bottom="904"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Severance and related</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employee benefit</w:t>
      </w:r>
    </w:p>
    <w:p>
      <w:pPr>
        <w:ind w:left="340"/>
        <w:spacing w:after="0"/>
        <w:rPr>
          <w:sz w:val="20"/>
          <w:szCs w:val="20"/>
          <w:color w:val="auto"/>
        </w:rPr>
      </w:pPr>
      <w:r>
        <w:rPr>
          <w:rFonts w:ascii="Courier New" w:cs="Courier New" w:eastAsia="Courier New" w:hAnsi="Courier New"/>
          <w:sz w:val="15"/>
          <w:szCs w:val="15"/>
          <w:color w:val="auto"/>
        </w:rPr>
        <w:t>costs</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ind w:left="600"/>
        <w:spacing w:after="0"/>
        <w:tabs>
          <w:tab w:leader="none" w:pos="1640" w:val="left"/>
          <w:tab w:leader="none" w:pos="3240" w:val="left"/>
          <w:tab w:leader="none" w:pos="4300" w:val="left"/>
          <w:tab w:leader="none" w:pos="5440" w:val="left"/>
        </w:tabs>
        <w:rPr>
          <w:sz w:val="20"/>
          <w:szCs w:val="20"/>
          <w:color w:val="auto"/>
        </w:rPr>
      </w:pPr>
      <w:r>
        <w:rPr>
          <w:rFonts w:ascii="Courier New" w:cs="Courier New" w:eastAsia="Courier New" w:hAnsi="Courier New"/>
          <w:sz w:val="15"/>
          <w:szCs w:val="15"/>
          <w:color w:val="auto"/>
        </w:rPr>
        <w:t>492</w:t>
      </w:r>
      <w:r>
        <w:rPr>
          <w:sz w:val="20"/>
          <w:szCs w:val="20"/>
          <w:color w:val="auto"/>
        </w:rPr>
        <w:tab/>
      </w:r>
      <w:r>
        <w:rPr>
          <w:rFonts w:ascii="Courier New" w:cs="Courier New" w:eastAsia="Courier New" w:hAnsi="Courier New"/>
          <w:sz w:val="15"/>
          <w:szCs w:val="15"/>
          <w:color w:val="auto"/>
        </w:rPr>
        <w:t>247</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502</w:t>
      </w:r>
      <w:r>
        <w:rPr>
          <w:sz w:val="20"/>
          <w:szCs w:val="20"/>
          <w:color w:val="auto"/>
        </w:rPr>
        <w:tab/>
      </w:r>
      <w:r>
        <w:rPr>
          <w:rFonts w:ascii="Courier New" w:cs="Courier New" w:eastAsia="Courier New" w:hAnsi="Courier New"/>
          <w:sz w:val="14"/>
          <w:szCs w:val="14"/>
          <w:color w:val="auto"/>
        </w:rPr>
        <w:t>237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5" w:lineRule="exact"/>
        <w:rPr>
          <w:sz w:val="20"/>
          <w:szCs w:val="20"/>
          <w:color w:val="auto"/>
        </w:rPr>
      </w:pPr>
    </w:p>
    <w:p>
      <w:pPr>
        <w:ind w:left="340"/>
        <w:spacing w:after="0"/>
        <w:tabs>
          <w:tab w:leader="none" w:pos="580" w:val="left"/>
          <w:tab w:leader="none" w:pos="1300" w:val="left"/>
          <w:tab w:leader="none" w:pos="2440" w:val="left"/>
          <w:tab w:leader="none" w:pos="2880" w:val="left"/>
          <w:tab w:leader="none" w:pos="3940" w:val="left"/>
          <w:tab w:leader="none" w:pos="4300" w:val="left"/>
          <w:tab w:leader="none" w:pos="5080" w:val="left"/>
          <w:tab w:leader="none" w:pos="5440" w:val="left"/>
        </w:tabs>
        <w:rPr>
          <w:sz w:val="20"/>
          <w:szCs w:val="20"/>
          <w:color w:val="auto"/>
        </w:rPr>
      </w:pPr>
      <w:r>
        <w:rPr>
          <w:rFonts w:ascii="Courier New" w:cs="Courier New" w:eastAsia="Courier New" w:hAnsi="Courier New"/>
          <w:sz w:val="15"/>
          <w:szCs w:val="15"/>
          <w:color w:val="auto"/>
        </w:rPr>
        <w:t>$</w:t>
        <w:tab/>
        <w:t>492</w:t>
      </w:r>
      <w:r>
        <w:rPr>
          <w:sz w:val="20"/>
          <w:szCs w:val="20"/>
          <w:color w:val="auto"/>
        </w:rPr>
        <w:tab/>
      </w:r>
      <w:r>
        <w:rPr>
          <w:rFonts w:ascii="Courier New" w:cs="Courier New" w:eastAsia="Courier New" w:hAnsi="Courier New"/>
          <w:sz w:val="15"/>
          <w:szCs w:val="15"/>
          <w:color w:val="auto"/>
        </w:rPr>
        <w:t>$ 1,847</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1,600</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502</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237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200" w:lineRule="exact"/>
        <w:rPr>
          <w:sz w:val="20"/>
          <w:szCs w:val="20"/>
          <w:color w:val="auto"/>
        </w:rPr>
      </w:pPr>
    </w:p>
    <w:p>
      <w:pPr>
        <w:sectPr>
          <w:pgSz w:w="11900" w:h="16838" w:orient="portrait"/>
          <w:cols w:equalWidth="0" w:num="2">
            <w:col w:w="2100" w:space="720"/>
            <w:col w:w="7399"/>
          </w:cols>
          <w:pgMar w:left="240" w:top="283" w:right="1440" w:bottom="904" w:gutter="0" w:footer="0" w:header="0"/>
          <w:type w:val="continuous"/>
        </w:sectPr>
      </w:pPr>
    </w:p>
    <w:p>
      <w:pPr>
        <w:spacing w:after="0" w:line="150"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The writedown was entirely related to closing one facility in Bassett, Virginia. Production and many of the employees from this facility will be transferred to another manufacturing facility in Bassett, Virginia. The Company expects to have additional charges in the second quarter of 2001, as a result of these first quarter consolidations, of approximately $700. These charges will include severance and other employee benefit costs.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H. Contingencies:</w:t>
      </w:r>
    </w:p>
    <w:p>
      <w:pPr>
        <w:spacing w:after="0" w:line="17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Legislation has phased out interest deductions on certain policy loans related to Company owned life insurance (COLI) as of January 1, 1999. The Company has recorded cumulative reductions to income tax expense of approximately $8,000 as the result of COLI interest deductions through 1998. The Internal Revenue Service, on a national level, has pursued an adverse position regarding the deductibility of COLI policy loan interest for years prior to January 1, 1999. The IRS has received favorable rulings on the non-deductibility of COLI loan interest. Management understands that these rulings and the adverse position taken by the IRS will be subjected to extensive challenges in court. In the event that the IRS prevails, the outcome could result in potential income tax and interest payments which could be material to the Company's future results of operations.</w:t>
      </w:r>
    </w:p>
    <w:p>
      <w:pPr>
        <w:spacing w:after="0" w:line="182"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The Company is also involved in various other legal and environmental matters which arise in the normal course of business. Although the final outcome of these matters cannot be determined, based on the facts presently known, it is management's opinion that the final resolution of these matters will not have a material adverse effect on the Company's financial position or future results of operations.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I. Financial Instruments:</w:t>
      </w:r>
    </w:p>
    <w:p>
      <w:pPr>
        <w:spacing w:after="0" w:line="175"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In 1999, the company entered into an equity collar arrangement in order to reduce its exposure to fluctuations in its investment portfolio. In the first quarter of 2000, the Company terminated this particular financial instrument and recognized a gain of $1,366, which is included in other income in the accompany consolidated statements of income, and entered into a new financial instrument which more clearly correlates to its equity portfolio. Subsequent to the end of the first quarter 2001, the Company terminated this equity collar arrangement, at a cost of approximately $150.</w:t>
      </w:r>
    </w:p>
    <w:p>
      <w:pPr>
        <w:spacing w:after="0" w:line="172"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6 of 13</w:t>
      </w:r>
    </w:p>
    <w:p>
      <w:pPr>
        <w:sectPr>
          <w:pgSz w:w="11900" w:h="16838" w:orient="portrait"/>
          <w:cols w:equalWidth="0" w:num="1">
            <w:col w:w="10219"/>
          </w:cols>
          <w:pgMar w:left="240" w:top="283" w:right="1440" w:bottom="904" w:gutter="0" w:footer="0" w:header="0"/>
          <w:type w:val="continuous"/>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344" w:lineRule="exact"/>
        <w:rPr>
          <w:sz w:val="20"/>
          <w:szCs w:val="20"/>
          <w:color w:val="auto"/>
        </w:rPr>
      </w:pPr>
    </w:p>
    <w:p>
      <w:pPr>
        <w:jc w:val="center"/>
        <w:ind w:right="4660"/>
        <w:spacing w:after="0" w:line="237" w:lineRule="auto"/>
        <w:rPr>
          <w:sz w:val="20"/>
          <w:szCs w:val="20"/>
          <w:color w:val="auto"/>
        </w:rPr>
      </w:pPr>
      <w:r>
        <w:rPr>
          <w:rFonts w:ascii="Courier New" w:cs="Courier New" w:eastAsia="Courier New" w:hAnsi="Courier New"/>
          <w:sz w:val="15"/>
          <w:szCs w:val="15"/>
          <w:color w:val="auto"/>
        </w:rPr>
        <w:t>PART I-FINANCIAL INFORMATION-CONTINUED BASSETT FURNITURE INDUSTRIES INC. AND SUBSIDIARIES FEBRUARY 24, 2001 (Dollars in thousands except share and per share data)</w:t>
      </w:r>
    </w:p>
    <w:p>
      <w:pPr>
        <w:spacing w:after="0" w:line="175" w:lineRule="exact"/>
        <w:rPr>
          <w:sz w:val="20"/>
          <w:szCs w:val="20"/>
          <w:color w:val="auto"/>
        </w:rPr>
      </w:pPr>
    </w:p>
    <w:p>
      <w:pPr>
        <w:ind w:right="4920"/>
        <w:spacing w:after="0" w:line="260" w:lineRule="auto"/>
        <w:rPr>
          <w:sz w:val="20"/>
          <w:szCs w:val="20"/>
          <w:color w:val="auto"/>
        </w:rPr>
      </w:pPr>
      <w:r>
        <w:rPr>
          <w:rFonts w:ascii="Courier New" w:cs="Courier New" w:eastAsia="Courier New" w:hAnsi="Courier New"/>
          <w:sz w:val="14"/>
          <w:szCs w:val="14"/>
          <w:color w:val="auto"/>
        </w:rPr>
        <w:t>The Company had adopted the provisions of SFAS No. 133, "Accounting for Certain Derivative Instruments and Certain Hedging Activities," in 2001 and has determined that the impact of adopting this statement is immaterial.</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J. Earnings per share:</w:t>
      </w:r>
    </w:p>
    <w:p>
      <w:pPr>
        <w:spacing w:after="0" w:line="175" w:lineRule="exact"/>
        <w:rPr>
          <w:sz w:val="20"/>
          <w:szCs w:val="20"/>
          <w:color w:val="auto"/>
        </w:rPr>
      </w:pPr>
    </w:p>
    <w:p>
      <w:pPr>
        <w:ind w:right="4660"/>
        <w:spacing w:after="0" w:line="235" w:lineRule="auto"/>
        <w:rPr>
          <w:sz w:val="20"/>
          <w:szCs w:val="20"/>
          <w:color w:val="auto"/>
        </w:rPr>
      </w:pPr>
      <w:r>
        <w:rPr>
          <w:rFonts w:ascii="Courier New" w:cs="Courier New" w:eastAsia="Courier New" w:hAnsi="Courier New"/>
          <w:sz w:val="15"/>
          <w:szCs w:val="15"/>
          <w:color w:val="auto"/>
        </w:rPr>
        <w:t>The following reconciles basic and diluted earnings per share after cumulative effect of accounting change:</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Weighted</w:t>
            </w:r>
          </w:p>
        </w:tc>
        <w:tc>
          <w:tcPr>
            <w:tcW w:w="520" w:type="dxa"/>
            <w:vAlign w:val="bottom"/>
          </w:tcPr>
          <w:p>
            <w:pPr>
              <w:spacing w:after="0"/>
              <w:rPr>
                <w:sz w:val="14"/>
                <w:szCs w:val="14"/>
                <w:color w:val="auto"/>
              </w:rPr>
            </w:pPr>
          </w:p>
        </w:tc>
        <w:tc>
          <w:tcPr>
            <w:tcW w:w="176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w w:val="96"/>
              </w:rPr>
              <w:t>Earnings per</w:t>
            </w: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4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Net Income</w:t>
            </w:r>
          </w:p>
        </w:tc>
        <w:tc>
          <w:tcPr>
            <w:tcW w:w="202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Average Shares</w:t>
            </w:r>
          </w:p>
        </w:tc>
        <w:tc>
          <w:tcPr>
            <w:tcW w:w="760" w:type="dxa"/>
            <w:vAlign w:val="bottom"/>
          </w:tcPr>
          <w:p>
            <w:pPr>
              <w:jc w:val="center"/>
              <w:ind w:left="127"/>
              <w:spacing w:after="0"/>
              <w:rPr>
                <w:sz w:val="20"/>
                <w:szCs w:val="20"/>
                <w:color w:val="auto"/>
              </w:rPr>
            </w:pPr>
            <w:r>
              <w:rPr>
                <w:rFonts w:ascii="Courier New" w:cs="Courier New" w:eastAsia="Courier New" w:hAnsi="Courier New"/>
                <w:sz w:val="15"/>
                <w:szCs w:val="15"/>
                <w:color w:val="auto"/>
                <w:w w:val="97"/>
              </w:rPr>
              <w:t>share</w:t>
            </w: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4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80" w:type="dxa"/>
            <w:vAlign w:val="bottom"/>
            <w:gridSpan w:val="8"/>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For the thirteen weeks ended February 24, 2001</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Net income available to common stockholders</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2,252</w:t>
            </w:r>
          </w:p>
        </w:tc>
        <w:tc>
          <w:tcPr>
            <w:tcW w:w="5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11,709,648</w:t>
            </w:r>
          </w:p>
        </w:tc>
        <w:tc>
          <w:tcPr>
            <w:tcW w:w="520" w:type="dxa"/>
            <w:vAlign w:val="bottom"/>
          </w:tcPr>
          <w:p>
            <w:pPr>
              <w:spacing w:after="0"/>
              <w:rPr>
                <w:sz w:val="14"/>
                <w:szCs w:val="14"/>
                <w:color w:val="auto"/>
              </w:rPr>
            </w:pPr>
          </w:p>
        </w:tc>
        <w:tc>
          <w:tcPr>
            <w:tcW w:w="760" w:type="dxa"/>
            <w:vAlign w:val="bottom"/>
          </w:tcPr>
          <w:p>
            <w:pPr>
              <w:jc w:val="center"/>
              <w:ind w:lef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9"/>
              </w:rPr>
              <w:t>0.19</w:t>
            </w: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Add effect of dilutive securities:</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339"/>
        </w:trPr>
        <w:tc>
          <w:tcPr>
            <w:tcW w:w="4220" w:type="dxa"/>
            <w:vAlign w:val="bottom"/>
          </w:tcPr>
          <w:p>
            <w:pPr>
              <w:ind w:left="340"/>
              <w:spacing w:after="0"/>
              <w:rPr>
                <w:sz w:val="20"/>
                <w:szCs w:val="20"/>
                <w:color w:val="auto"/>
              </w:rPr>
            </w:pPr>
            <w:r>
              <w:rPr>
                <w:rFonts w:ascii="Courier New" w:cs="Courier New" w:eastAsia="Courier New" w:hAnsi="Courier New"/>
                <w:sz w:val="15"/>
                <w:szCs w:val="15"/>
                <w:color w:val="auto"/>
              </w:rPr>
              <w:t>Options and restricted stock</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3,593</w:t>
            </w: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0"/>
        </w:trPr>
        <w:tc>
          <w:tcPr>
            <w:tcW w:w="4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80" w:type="dxa"/>
            <w:vAlign w:val="bottom"/>
            <w:gridSpan w:val="8"/>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2,252</w:t>
            </w:r>
          </w:p>
        </w:tc>
        <w:tc>
          <w:tcPr>
            <w:tcW w:w="5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11,713,241</w:t>
            </w:r>
          </w:p>
        </w:tc>
        <w:tc>
          <w:tcPr>
            <w:tcW w:w="520" w:type="dxa"/>
            <w:vAlign w:val="bottom"/>
          </w:tcPr>
          <w:p>
            <w:pPr>
              <w:spacing w:after="0"/>
              <w:rPr>
                <w:sz w:val="14"/>
                <w:szCs w:val="14"/>
                <w:color w:val="auto"/>
              </w:rPr>
            </w:pPr>
          </w:p>
        </w:tc>
        <w:tc>
          <w:tcPr>
            <w:tcW w:w="760" w:type="dxa"/>
            <w:vAlign w:val="bottom"/>
          </w:tcPr>
          <w:p>
            <w:pPr>
              <w:jc w:val="center"/>
              <w:ind w:lef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9"/>
              </w:rPr>
              <w:t>0.19</w:t>
            </w: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4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80" w:type="dxa"/>
            <w:vAlign w:val="bottom"/>
            <w:gridSpan w:val="8"/>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For the thirteen weeks ended February 26, 2000</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Net income available to common stockholders</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4,354</w:t>
            </w:r>
          </w:p>
        </w:tc>
        <w:tc>
          <w:tcPr>
            <w:tcW w:w="5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11,971,965</w:t>
            </w:r>
          </w:p>
        </w:tc>
        <w:tc>
          <w:tcPr>
            <w:tcW w:w="520" w:type="dxa"/>
            <w:vAlign w:val="bottom"/>
          </w:tcPr>
          <w:p>
            <w:pPr>
              <w:spacing w:after="0"/>
              <w:rPr>
                <w:sz w:val="14"/>
                <w:szCs w:val="14"/>
                <w:color w:val="auto"/>
              </w:rPr>
            </w:pPr>
          </w:p>
        </w:tc>
        <w:tc>
          <w:tcPr>
            <w:tcW w:w="760" w:type="dxa"/>
            <w:vAlign w:val="bottom"/>
          </w:tcPr>
          <w:p>
            <w:pPr>
              <w:jc w:val="center"/>
              <w:ind w:lef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9"/>
              </w:rPr>
              <w:t>0.36</w:t>
            </w: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Add effect of dilutive securities:</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339"/>
        </w:trPr>
        <w:tc>
          <w:tcPr>
            <w:tcW w:w="4220" w:type="dxa"/>
            <w:vAlign w:val="bottom"/>
          </w:tcPr>
          <w:p>
            <w:pPr>
              <w:ind w:left="340"/>
              <w:spacing w:after="0"/>
              <w:rPr>
                <w:sz w:val="20"/>
                <w:szCs w:val="20"/>
                <w:color w:val="auto"/>
              </w:rPr>
            </w:pPr>
            <w:r>
              <w:rPr>
                <w:rFonts w:ascii="Courier New" w:cs="Courier New" w:eastAsia="Courier New" w:hAnsi="Courier New"/>
                <w:sz w:val="15"/>
                <w:szCs w:val="15"/>
                <w:color w:val="auto"/>
              </w:rPr>
              <w:t>Options and restricted stock</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818</w:t>
            </w: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0"/>
        </w:trPr>
        <w:tc>
          <w:tcPr>
            <w:tcW w:w="4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80" w:type="dxa"/>
            <w:vAlign w:val="bottom"/>
            <w:gridSpan w:val="8"/>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4,354</w:t>
            </w:r>
          </w:p>
        </w:tc>
        <w:tc>
          <w:tcPr>
            <w:tcW w:w="5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11,972,783</w:t>
            </w:r>
          </w:p>
        </w:tc>
        <w:tc>
          <w:tcPr>
            <w:tcW w:w="520" w:type="dxa"/>
            <w:vAlign w:val="bottom"/>
          </w:tcPr>
          <w:p>
            <w:pPr>
              <w:spacing w:after="0"/>
              <w:rPr>
                <w:sz w:val="14"/>
                <w:szCs w:val="14"/>
                <w:color w:val="auto"/>
              </w:rPr>
            </w:pPr>
          </w:p>
        </w:tc>
        <w:tc>
          <w:tcPr>
            <w:tcW w:w="760" w:type="dxa"/>
            <w:vAlign w:val="bottom"/>
          </w:tcPr>
          <w:p>
            <w:pPr>
              <w:jc w:val="center"/>
              <w:ind w:lef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9"/>
              </w:rPr>
              <w:t>0.36</w:t>
            </w: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4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80" w:type="dxa"/>
            <w:vAlign w:val="bottom"/>
            <w:gridSpan w:val="8"/>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509"/>
        </w:trPr>
        <w:tc>
          <w:tcPr>
            <w:tcW w:w="6340" w:type="dxa"/>
            <w:vAlign w:val="bottom"/>
            <w:gridSpan w:val="5"/>
          </w:tcPr>
          <w:p>
            <w:pPr>
              <w:spacing w:after="0"/>
              <w:rPr>
                <w:sz w:val="20"/>
                <w:szCs w:val="20"/>
                <w:color w:val="auto"/>
              </w:rPr>
            </w:pPr>
            <w:r>
              <w:rPr>
                <w:rFonts w:ascii="Courier New" w:cs="Courier New" w:eastAsia="Courier New" w:hAnsi="Courier New"/>
                <w:sz w:val="15"/>
                <w:szCs w:val="15"/>
                <w:color w:val="auto"/>
              </w:rPr>
              <w:t>Options to purchase 1.7 and 1.4 million shares of common stock were</w:t>
            </w: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0"/>
        </w:trPr>
        <w:tc>
          <w:tcPr>
            <w:tcW w:w="6860" w:type="dxa"/>
            <w:vAlign w:val="bottom"/>
            <w:gridSpan w:val="6"/>
          </w:tcPr>
          <w:p>
            <w:pPr>
              <w:spacing w:after="0"/>
              <w:rPr>
                <w:sz w:val="20"/>
                <w:szCs w:val="20"/>
                <w:color w:val="auto"/>
              </w:rPr>
            </w:pPr>
            <w:r>
              <w:rPr>
                <w:rFonts w:ascii="Courier New" w:cs="Courier New" w:eastAsia="Courier New" w:hAnsi="Courier New"/>
                <w:sz w:val="15"/>
                <w:szCs w:val="15"/>
                <w:color w:val="auto"/>
              </w:rPr>
              <w:t>outstanding during the first quarters of 2001 and 2000, respectively that</w:t>
            </w: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4440" w:type="dxa"/>
            <w:vAlign w:val="bottom"/>
            <w:gridSpan w:val="2"/>
          </w:tcPr>
          <w:p>
            <w:pPr>
              <w:spacing w:after="0"/>
              <w:rPr>
                <w:sz w:val="20"/>
                <w:szCs w:val="20"/>
                <w:color w:val="auto"/>
              </w:rPr>
            </w:pPr>
            <w:r>
              <w:rPr>
                <w:rFonts w:ascii="Courier New" w:cs="Courier New" w:eastAsia="Courier New" w:hAnsi="Courier New"/>
                <w:sz w:val="15"/>
                <w:szCs w:val="15"/>
                <w:color w:val="auto"/>
              </w:rPr>
              <w:t>could potentially dilute basic EPS in the future.</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Note K. Segment Information:</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0"/>
        </w:trPr>
        <w:tc>
          <w:tcPr>
            <w:tcW w:w="6860" w:type="dxa"/>
            <w:vAlign w:val="bottom"/>
            <w:gridSpan w:val="6"/>
          </w:tcPr>
          <w:p>
            <w:pPr>
              <w:spacing w:after="0"/>
              <w:rPr>
                <w:sz w:val="20"/>
                <w:szCs w:val="20"/>
                <w:color w:val="auto"/>
              </w:rPr>
            </w:pPr>
            <w:r>
              <w:rPr>
                <w:rFonts w:ascii="Courier New" w:cs="Courier New" w:eastAsia="Courier New" w:hAnsi="Courier New"/>
                <w:sz w:val="15"/>
                <w:szCs w:val="15"/>
                <w:color w:val="auto"/>
                <w:w w:val="99"/>
              </w:rPr>
              <w:t>Segment information for the periods ended February 24, 2001 and February 26,</w:t>
            </w: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2000 was as follows:</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For the period ended February 24, 2001</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678"/>
        </w:trPr>
        <w:tc>
          <w:tcPr>
            <w:tcW w:w="4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Wood</w:t>
            </w:r>
          </w:p>
        </w:tc>
        <w:tc>
          <w:tcPr>
            <w:tcW w:w="160" w:type="dxa"/>
            <w:vAlign w:val="bottom"/>
          </w:tcPr>
          <w:p>
            <w:pPr>
              <w:spacing w:after="0"/>
              <w:rPr>
                <w:sz w:val="24"/>
                <w:szCs w:val="24"/>
                <w:color w:val="auto"/>
              </w:rPr>
            </w:pP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Imports</w:t>
            </w:r>
          </w:p>
        </w:tc>
        <w:tc>
          <w:tcPr>
            <w:tcW w:w="1500" w:type="dxa"/>
            <w:vAlign w:val="bottom"/>
            <w:gridSpan w:val="2"/>
          </w:tcPr>
          <w:p>
            <w:pPr>
              <w:ind w:left="620"/>
              <w:spacing w:after="0"/>
              <w:rPr>
                <w:sz w:val="20"/>
                <w:szCs w:val="20"/>
                <w:color w:val="auto"/>
              </w:rPr>
            </w:pPr>
            <w:r>
              <w:rPr>
                <w:rFonts w:ascii="Courier New" w:cs="Courier New" w:eastAsia="Courier New" w:hAnsi="Courier New"/>
                <w:sz w:val="15"/>
                <w:szCs w:val="15"/>
                <w:color w:val="auto"/>
                <w:w w:val="95"/>
              </w:rPr>
              <w:t>Upholstery</w:t>
            </w:r>
          </w:p>
        </w:tc>
        <w:tc>
          <w:tcPr>
            <w:tcW w:w="760" w:type="dxa"/>
            <w:vAlign w:val="bottom"/>
          </w:tcPr>
          <w:p>
            <w:pPr>
              <w:spacing w:after="0"/>
              <w:rPr>
                <w:sz w:val="24"/>
                <w:szCs w:val="24"/>
                <w:color w:val="auto"/>
              </w:rPr>
            </w:pPr>
          </w:p>
        </w:tc>
        <w:tc>
          <w:tcPr>
            <w:tcW w:w="1000" w:type="dxa"/>
            <w:vAlign w:val="bottom"/>
          </w:tcPr>
          <w:p>
            <w:pPr>
              <w:ind w:left="120"/>
              <w:spacing w:after="0"/>
              <w:rPr>
                <w:sz w:val="20"/>
                <w:szCs w:val="20"/>
                <w:color w:val="auto"/>
              </w:rPr>
            </w:pPr>
            <w:r>
              <w:rPr>
                <w:rFonts w:ascii="Courier New" w:cs="Courier New" w:eastAsia="Courier New" w:hAnsi="Courier New"/>
                <w:sz w:val="15"/>
                <w:szCs w:val="15"/>
                <w:color w:val="auto"/>
              </w:rPr>
              <w:t>Other</w:t>
            </w:r>
          </w:p>
        </w:tc>
        <w:tc>
          <w:tcPr>
            <w:tcW w:w="14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Consolidated</w:t>
            </w:r>
          </w:p>
        </w:tc>
      </w:tr>
      <w:tr>
        <w:trPr>
          <w:trHeight w:val="170"/>
        </w:trPr>
        <w:tc>
          <w:tcPr>
            <w:tcW w:w="11520" w:type="dxa"/>
            <w:vAlign w:val="bottom"/>
            <w:gridSpan w:val="1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48,575</w:t>
            </w:r>
          </w:p>
        </w:tc>
        <w:tc>
          <w:tcPr>
            <w:tcW w:w="160" w:type="dxa"/>
            <w:vAlign w:val="bottom"/>
          </w:tcPr>
          <w:p>
            <w:pPr>
              <w:spacing w:after="0"/>
              <w:rPr>
                <w:sz w:val="24"/>
                <w:szCs w:val="2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8,646</w:t>
            </w:r>
          </w:p>
        </w:tc>
        <w:tc>
          <w:tcPr>
            <w:tcW w:w="98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22,242</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300"/>
              <w:spacing w:after="0"/>
              <w:rPr>
                <w:sz w:val="20"/>
                <w:szCs w:val="20"/>
                <w:color w:val="auto"/>
              </w:rPr>
            </w:pPr>
            <w:r>
              <w:rPr>
                <w:rFonts w:ascii="Courier New" w:cs="Courier New" w:eastAsia="Courier New" w:hAnsi="Courier New"/>
                <w:sz w:val="15"/>
                <w:szCs w:val="15"/>
                <w:color w:val="auto"/>
              </w:rPr>
              <w:t>3,090</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82,553</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2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5,731</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1,958</w:t>
            </w:r>
          </w:p>
        </w:tc>
        <w:tc>
          <w:tcPr>
            <w:tcW w:w="9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2,160</w:t>
            </w:r>
          </w:p>
        </w:tc>
        <w:tc>
          <w:tcPr>
            <w:tcW w:w="760" w:type="dxa"/>
            <w:vAlign w:val="bottom"/>
          </w:tcPr>
          <w:p>
            <w:pPr>
              <w:spacing w:after="0"/>
              <w:rPr>
                <w:sz w:val="14"/>
                <w:szCs w:val="14"/>
                <w:color w:val="auto"/>
              </w:rPr>
            </w:pPr>
          </w:p>
        </w:tc>
        <w:tc>
          <w:tcPr>
            <w:tcW w:w="1000" w:type="dxa"/>
            <w:vAlign w:val="bottom"/>
          </w:tcPr>
          <w:p>
            <w:pPr>
              <w:ind w:left="120"/>
              <w:spacing w:after="0"/>
              <w:rPr>
                <w:sz w:val="20"/>
                <w:szCs w:val="20"/>
                <w:color w:val="auto"/>
              </w:rPr>
            </w:pPr>
            <w:r>
              <w:rPr>
                <w:rFonts w:ascii="Courier New" w:cs="Courier New" w:eastAsia="Courier New" w:hAnsi="Courier New"/>
                <w:sz w:val="15"/>
                <w:szCs w:val="15"/>
                <w:color w:val="auto"/>
              </w:rPr>
              <w:t>(7,310)</w:t>
            </w:r>
          </w:p>
        </w:tc>
        <w:tc>
          <w:tcPr>
            <w:tcW w:w="720" w:type="dxa"/>
            <w:vAlign w:val="bottom"/>
          </w:tcPr>
          <w:p>
            <w:pPr>
              <w:spacing w:after="0"/>
              <w:rPr>
                <w:sz w:val="14"/>
                <w:szCs w:val="14"/>
                <w:color w:val="auto"/>
              </w:rPr>
            </w:pPr>
          </w:p>
        </w:tc>
        <w:tc>
          <w:tcPr>
            <w:tcW w:w="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2,539</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2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1,091</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277</w:t>
            </w:r>
          </w:p>
        </w:tc>
        <w:tc>
          <w:tcPr>
            <w:tcW w:w="760" w:type="dxa"/>
            <w:vAlign w:val="bottom"/>
          </w:tcPr>
          <w:p>
            <w:pPr>
              <w:spacing w:after="0"/>
              <w:rPr>
                <w:sz w:val="14"/>
                <w:szCs w:val="14"/>
                <w:color w:val="auto"/>
              </w:rPr>
            </w:pPr>
          </w:p>
        </w:tc>
        <w:tc>
          <w:tcPr>
            <w:tcW w:w="1000" w:type="dxa"/>
            <w:vAlign w:val="bottom"/>
          </w:tcPr>
          <w:p>
            <w:pPr>
              <w:ind w:left="300"/>
              <w:spacing w:after="0"/>
              <w:rPr>
                <w:sz w:val="20"/>
                <w:szCs w:val="20"/>
                <w:color w:val="auto"/>
              </w:rPr>
            </w:pPr>
            <w:r>
              <w:rPr>
                <w:rFonts w:ascii="Courier New" w:cs="Courier New" w:eastAsia="Courier New" w:hAnsi="Courier New"/>
                <w:sz w:val="15"/>
                <w:szCs w:val="15"/>
                <w:color w:val="auto"/>
              </w:rPr>
              <w:t>1,418</w:t>
            </w:r>
          </w:p>
        </w:tc>
        <w:tc>
          <w:tcPr>
            <w:tcW w:w="720" w:type="dxa"/>
            <w:vAlign w:val="bottom"/>
          </w:tcPr>
          <w:p>
            <w:pPr>
              <w:spacing w:after="0"/>
              <w:rPr>
                <w:sz w:val="14"/>
                <w:szCs w:val="14"/>
                <w:color w:val="auto"/>
              </w:rPr>
            </w:pPr>
          </w:p>
        </w:tc>
        <w:tc>
          <w:tcPr>
            <w:tcW w:w="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2,786</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2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552</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112</w:t>
            </w:r>
          </w:p>
        </w:tc>
        <w:tc>
          <w:tcPr>
            <w:tcW w:w="760" w:type="dxa"/>
            <w:vAlign w:val="bottom"/>
          </w:tcPr>
          <w:p>
            <w:pPr>
              <w:spacing w:after="0"/>
              <w:rPr>
                <w:sz w:val="14"/>
                <w:szCs w:val="14"/>
                <w:color w:val="auto"/>
              </w:rPr>
            </w:pPr>
          </w:p>
        </w:tc>
        <w:tc>
          <w:tcPr>
            <w:tcW w:w="1000" w:type="dxa"/>
            <w:vAlign w:val="bottom"/>
          </w:tcPr>
          <w:p>
            <w:pPr>
              <w:ind w:left="300"/>
              <w:spacing w:after="0"/>
              <w:rPr>
                <w:sz w:val="20"/>
                <w:szCs w:val="20"/>
                <w:color w:val="auto"/>
              </w:rPr>
            </w:pPr>
            <w:r>
              <w:rPr>
                <w:rFonts w:ascii="Courier New" w:cs="Courier New" w:eastAsia="Courier New" w:hAnsi="Courier New"/>
                <w:sz w:val="15"/>
                <w:szCs w:val="15"/>
                <w:color w:val="auto"/>
              </w:rPr>
              <w:t>4,680</w:t>
            </w:r>
          </w:p>
        </w:tc>
        <w:tc>
          <w:tcPr>
            <w:tcW w:w="720" w:type="dxa"/>
            <w:vAlign w:val="bottom"/>
          </w:tcPr>
          <w:p>
            <w:pPr>
              <w:spacing w:after="0"/>
              <w:rPr>
                <w:sz w:val="14"/>
                <w:szCs w:val="14"/>
                <w:color w:val="auto"/>
              </w:rPr>
            </w:pPr>
          </w:p>
        </w:tc>
        <w:tc>
          <w:tcPr>
            <w:tcW w:w="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5,344</w:t>
            </w:r>
          </w:p>
        </w:tc>
      </w:tr>
      <w:tr>
        <w:trPr>
          <w:trHeight w:val="509"/>
        </w:trPr>
        <w:tc>
          <w:tcPr>
            <w:tcW w:w="4220" w:type="dxa"/>
            <w:vAlign w:val="bottom"/>
          </w:tcPr>
          <w:p>
            <w:pPr>
              <w:spacing w:after="0"/>
              <w:rPr>
                <w:sz w:val="20"/>
                <w:szCs w:val="20"/>
                <w:color w:val="auto"/>
              </w:rPr>
            </w:pPr>
            <w:r>
              <w:rPr>
                <w:rFonts w:ascii="Courier New" w:cs="Courier New" w:eastAsia="Courier New" w:hAnsi="Courier New"/>
                <w:sz w:val="15"/>
                <w:szCs w:val="15"/>
                <w:color w:val="auto"/>
              </w:rPr>
              <w:t>For the period ended February 26, 2000</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678"/>
        </w:trPr>
        <w:tc>
          <w:tcPr>
            <w:tcW w:w="4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Wood</w:t>
            </w:r>
          </w:p>
        </w:tc>
        <w:tc>
          <w:tcPr>
            <w:tcW w:w="160" w:type="dxa"/>
            <w:vAlign w:val="bottom"/>
          </w:tcPr>
          <w:p>
            <w:pPr>
              <w:spacing w:after="0"/>
              <w:rPr>
                <w:sz w:val="24"/>
                <w:szCs w:val="24"/>
                <w:color w:val="auto"/>
              </w:rPr>
            </w:pP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Imports</w:t>
            </w:r>
          </w:p>
        </w:tc>
        <w:tc>
          <w:tcPr>
            <w:tcW w:w="1500" w:type="dxa"/>
            <w:vAlign w:val="bottom"/>
            <w:gridSpan w:val="2"/>
          </w:tcPr>
          <w:p>
            <w:pPr>
              <w:ind w:left="620"/>
              <w:spacing w:after="0"/>
              <w:rPr>
                <w:sz w:val="20"/>
                <w:szCs w:val="20"/>
                <w:color w:val="auto"/>
              </w:rPr>
            </w:pPr>
            <w:r>
              <w:rPr>
                <w:rFonts w:ascii="Courier New" w:cs="Courier New" w:eastAsia="Courier New" w:hAnsi="Courier New"/>
                <w:sz w:val="15"/>
                <w:szCs w:val="15"/>
                <w:color w:val="auto"/>
                <w:w w:val="95"/>
              </w:rPr>
              <w:t>Upholstery</w:t>
            </w:r>
          </w:p>
        </w:tc>
        <w:tc>
          <w:tcPr>
            <w:tcW w:w="760" w:type="dxa"/>
            <w:vAlign w:val="bottom"/>
          </w:tcPr>
          <w:p>
            <w:pPr>
              <w:spacing w:after="0"/>
              <w:rPr>
                <w:sz w:val="24"/>
                <w:szCs w:val="24"/>
                <w:color w:val="auto"/>
              </w:rPr>
            </w:pPr>
          </w:p>
        </w:tc>
        <w:tc>
          <w:tcPr>
            <w:tcW w:w="1000" w:type="dxa"/>
            <w:vAlign w:val="bottom"/>
          </w:tcPr>
          <w:p>
            <w:pPr>
              <w:ind w:left="120"/>
              <w:spacing w:after="0"/>
              <w:rPr>
                <w:sz w:val="20"/>
                <w:szCs w:val="20"/>
                <w:color w:val="auto"/>
              </w:rPr>
            </w:pPr>
            <w:r>
              <w:rPr>
                <w:rFonts w:ascii="Courier New" w:cs="Courier New" w:eastAsia="Courier New" w:hAnsi="Courier New"/>
                <w:sz w:val="15"/>
                <w:szCs w:val="15"/>
                <w:color w:val="auto"/>
              </w:rPr>
              <w:t>Other</w:t>
            </w:r>
          </w:p>
        </w:tc>
        <w:tc>
          <w:tcPr>
            <w:tcW w:w="14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Consolidated</w:t>
            </w:r>
          </w:p>
        </w:tc>
      </w:tr>
      <w:tr>
        <w:trPr>
          <w:trHeight w:val="170"/>
        </w:trPr>
        <w:tc>
          <w:tcPr>
            <w:tcW w:w="11520" w:type="dxa"/>
            <w:vAlign w:val="bottom"/>
            <w:gridSpan w:val="1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59,864</w:t>
            </w:r>
          </w:p>
        </w:tc>
        <w:tc>
          <w:tcPr>
            <w:tcW w:w="160" w:type="dxa"/>
            <w:vAlign w:val="bottom"/>
          </w:tcPr>
          <w:p>
            <w:pPr>
              <w:spacing w:after="0"/>
              <w:rPr>
                <w:sz w:val="24"/>
                <w:szCs w:val="2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7,615</w:t>
            </w:r>
          </w:p>
        </w:tc>
        <w:tc>
          <w:tcPr>
            <w:tcW w:w="98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24,440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300"/>
              <w:spacing w:after="0"/>
              <w:rPr>
                <w:sz w:val="20"/>
                <w:szCs w:val="20"/>
                <w:color w:val="auto"/>
              </w:rPr>
            </w:pPr>
            <w:r>
              <w:rPr>
                <w:rFonts w:ascii="Courier New" w:cs="Courier New" w:eastAsia="Courier New" w:hAnsi="Courier New"/>
                <w:sz w:val="15"/>
                <w:szCs w:val="15"/>
                <w:color w:val="auto"/>
              </w:rPr>
              <w:t>3,062</w:t>
            </w: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94,981</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2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8,675</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1,998</w:t>
            </w:r>
          </w:p>
        </w:tc>
        <w:tc>
          <w:tcPr>
            <w:tcW w:w="9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1,914</w:t>
            </w:r>
          </w:p>
        </w:tc>
        <w:tc>
          <w:tcPr>
            <w:tcW w:w="760" w:type="dxa"/>
            <w:vAlign w:val="bottom"/>
          </w:tcPr>
          <w:p>
            <w:pPr>
              <w:spacing w:after="0"/>
              <w:rPr>
                <w:sz w:val="14"/>
                <w:szCs w:val="14"/>
                <w:color w:val="auto"/>
              </w:rPr>
            </w:pP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(9,307)</w:t>
            </w:r>
          </w:p>
        </w:tc>
        <w:tc>
          <w:tcPr>
            <w:tcW w:w="720" w:type="dxa"/>
            <w:vAlign w:val="bottom"/>
          </w:tcPr>
          <w:p>
            <w:pPr>
              <w:spacing w:after="0"/>
              <w:rPr>
                <w:sz w:val="14"/>
                <w:szCs w:val="14"/>
                <w:color w:val="auto"/>
              </w:rPr>
            </w:pPr>
          </w:p>
        </w:tc>
        <w:tc>
          <w:tcPr>
            <w:tcW w:w="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3,280</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2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1,268</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237</w:t>
            </w:r>
          </w:p>
        </w:tc>
        <w:tc>
          <w:tcPr>
            <w:tcW w:w="760" w:type="dxa"/>
            <w:vAlign w:val="bottom"/>
          </w:tcPr>
          <w:p>
            <w:pPr>
              <w:spacing w:after="0"/>
              <w:rPr>
                <w:sz w:val="14"/>
                <w:szCs w:val="14"/>
                <w:color w:val="auto"/>
              </w:rPr>
            </w:pPr>
          </w:p>
        </w:tc>
        <w:tc>
          <w:tcPr>
            <w:tcW w:w="1000" w:type="dxa"/>
            <w:vAlign w:val="bottom"/>
          </w:tcPr>
          <w:p>
            <w:pPr>
              <w:ind w:left="300"/>
              <w:spacing w:after="0"/>
              <w:rPr>
                <w:sz w:val="20"/>
                <w:szCs w:val="20"/>
                <w:color w:val="auto"/>
              </w:rPr>
            </w:pPr>
            <w:r>
              <w:rPr>
                <w:rFonts w:ascii="Courier New" w:cs="Courier New" w:eastAsia="Courier New" w:hAnsi="Courier New"/>
                <w:sz w:val="15"/>
                <w:szCs w:val="15"/>
                <w:color w:val="auto"/>
              </w:rPr>
              <w:t>1,172</w:t>
            </w:r>
          </w:p>
        </w:tc>
        <w:tc>
          <w:tcPr>
            <w:tcW w:w="720" w:type="dxa"/>
            <w:vAlign w:val="bottom"/>
          </w:tcPr>
          <w:p>
            <w:pPr>
              <w:spacing w:after="0"/>
              <w:rPr>
                <w:sz w:val="14"/>
                <w:szCs w:val="14"/>
                <w:color w:val="auto"/>
              </w:rPr>
            </w:pPr>
          </w:p>
        </w:tc>
        <w:tc>
          <w:tcPr>
            <w:tcW w:w="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2,677</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2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1,692</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1,176</w:t>
            </w:r>
          </w:p>
        </w:tc>
        <w:tc>
          <w:tcPr>
            <w:tcW w:w="760" w:type="dxa"/>
            <w:vAlign w:val="bottom"/>
          </w:tcPr>
          <w:p>
            <w:pPr>
              <w:spacing w:after="0"/>
              <w:rPr>
                <w:sz w:val="14"/>
                <w:szCs w:val="14"/>
                <w:color w:val="auto"/>
              </w:rPr>
            </w:pPr>
          </w:p>
        </w:tc>
        <w:tc>
          <w:tcPr>
            <w:tcW w:w="1000" w:type="dxa"/>
            <w:vAlign w:val="bottom"/>
          </w:tcPr>
          <w:p>
            <w:pPr>
              <w:ind w:left="300"/>
              <w:spacing w:after="0"/>
              <w:rPr>
                <w:sz w:val="20"/>
                <w:szCs w:val="20"/>
                <w:color w:val="auto"/>
              </w:rPr>
            </w:pPr>
            <w:r>
              <w:rPr>
                <w:rFonts w:ascii="Courier New" w:cs="Courier New" w:eastAsia="Courier New" w:hAnsi="Courier New"/>
                <w:sz w:val="15"/>
                <w:szCs w:val="15"/>
                <w:color w:val="auto"/>
              </w:rPr>
              <w:t>5,111</w:t>
            </w:r>
          </w:p>
        </w:tc>
        <w:tc>
          <w:tcPr>
            <w:tcW w:w="720" w:type="dxa"/>
            <w:vAlign w:val="bottom"/>
          </w:tcPr>
          <w:p>
            <w:pPr>
              <w:spacing w:after="0"/>
              <w:rPr>
                <w:sz w:val="14"/>
                <w:szCs w:val="14"/>
                <w:color w:val="auto"/>
              </w:rPr>
            </w:pPr>
          </w:p>
        </w:tc>
        <w:tc>
          <w:tcPr>
            <w:tcW w:w="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7,979</w:t>
            </w:r>
          </w:p>
        </w:tc>
      </w:tr>
    </w:tbl>
    <w:p>
      <w:pPr>
        <w:spacing w:after="0" w:line="344" w:lineRule="exact"/>
        <w:rPr>
          <w:sz w:val="20"/>
          <w:szCs w:val="20"/>
          <w:color w:val="auto"/>
        </w:rPr>
      </w:pPr>
    </w:p>
    <w:p>
      <w:pPr>
        <w:ind w:right="4920"/>
        <w:spacing w:after="0" w:line="257" w:lineRule="auto"/>
        <w:rPr>
          <w:sz w:val="20"/>
          <w:szCs w:val="20"/>
          <w:color w:val="auto"/>
        </w:rPr>
      </w:pPr>
      <w:r>
        <w:rPr>
          <w:rFonts w:ascii="Courier New" w:cs="Courier New" w:eastAsia="Courier New" w:hAnsi="Courier New"/>
          <w:sz w:val="14"/>
          <w:szCs w:val="14"/>
          <w:color w:val="auto"/>
        </w:rPr>
        <w:t>The Company's other businesses consist of a contemporary furniture business (Weiman), showroom, real estate, gain on sale of property and equipment, restructuring and corporate operations, all included to reconcile segment information to the Condensed Consolidated Financial Statements. Corporate operations include overhead spending for accounting, marketing, information technologies, selling and general expenses. Operating income by business segment is defined as sales less direct operating costs and expenses.</w:t>
      </w:r>
    </w:p>
    <w:p>
      <w:pPr>
        <w:spacing w:after="0" w:line="167" w:lineRule="exact"/>
        <w:rPr>
          <w:sz w:val="20"/>
          <w:szCs w:val="20"/>
          <w:color w:val="auto"/>
        </w:rPr>
      </w:pPr>
    </w:p>
    <w:p>
      <w:pPr>
        <w:jc w:val="both"/>
        <w:ind w:right="4660"/>
        <w:spacing w:after="0" w:line="237" w:lineRule="auto"/>
        <w:rPr>
          <w:sz w:val="20"/>
          <w:szCs w:val="20"/>
          <w:color w:val="auto"/>
        </w:rPr>
      </w:pPr>
      <w:r>
        <w:rPr>
          <w:rFonts w:ascii="Courier New" w:cs="Courier New" w:eastAsia="Courier New" w:hAnsi="Courier New"/>
          <w:sz w:val="15"/>
          <w:szCs w:val="15"/>
          <w:color w:val="auto"/>
        </w:rPr>
        <w:t>Beginning in the first quarter of 2001, the results of the Import Division are listed separately in the segment information. For prior reporting, the results of the Import Division were included in the Wood Division.</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7 of 13</w:t>
      </w:r>
    </w:p>
    <w:p>
      <w:pPr>
        <w:sectPr>
          <w:pgSz w:w="11900" w:h="16838" w:orient="portrait"/>
          <w:cols w:equalWidth="0" w:num="1">
            <w:col w:w="11520"/>
          </w:cols>
          <w:pgMar w:left="240" w:top="283" w:right="139" w:bottom="735"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339"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PART I-FINANCIAL INFORMATION-CONTINUED</w:t>
      </w:r>
    </w:p>
    <w:p>
      <w:pPr>
        <w:jc w:val="center"/>
        <w:ind w:right="3359"/>
        <w:spacing w:after="0"/>
        <w:rPr>
          <w:sz w:val="20"/>
          <w:szCs w:val="20"/>
          <w:color w:val="auto"/>
        </w:rPr>
      </w:pPr>
      <w:r>
        <w:rPr>
          <w:rFonts w:ascii="Courier New" w:cs="Courier New" w:eastAsia="Courier New" w:hAnsi="Courier New"/>
          <w:sz w:val="15"/>
          <w:szCs w:val="15"/>
          <w:color w:val="auto"/>
        </w:rPr>
        <w:t>BASSETT FURNITURE INDUSTRIES INC. AND SUBSIDIARIES</w:t>
      </w:r>
    </w:p>
    <w:p>
      <w:pPr>
        <w:jc w:val="center"/>
        <w:ind w:right="3359"/>
        <w:spacing w:after="0"/>
        <w:rPr>
          <w:sz w:val="20"/>
          <w:szCs w:val="20"/>
          <w:color w:val="auto"/>
        </w:rPr>
      </w:pPr>
      <w:r>
        <w:rPr>
          <w:rFonts w:ascii="Courier New" w:cs="Courier New" w:eastAsia="Courier New" w:hAnsi="Courier New"/>
          <w:sz w:val="15"/>
          <w:szCs w:val="15"/>
          <w:color w:val="auto"/>
        </w:rPr>
        <w:t>February 24,2001</w:t>
      </w:r>
    </w:p>
    <w:p>
      <w:pPr>
        <w:jc w:val="center"/>
        <w:ind w:right="3359"/>
        <w:spacing w:after="0" w:line="238" w:lineRule="auto"/>
        <w:rPr>
          <w:sz w:val="20"/>
          <w:szCs w:val="20"/>
          <w:color w:val="auto"/>
        </w:rPr>
      </w:pPr>
      <w:r>
        <w:rPr>
          <w:rFonts w:ascii="Courier New" w:cs="Courier New" w:eastAsia="Courier New" w:hAnsi="Courier New"/>
          <w:sz w:val="15"/>
          <w:szCs w:val="15"/>
          <w:color w:val="auto"/>
        </w:rPr>
        <w:t>(Dollars in thousands except share and per share data)</w:t>
      </w:r>
    </w:p>
    <w:p>
      <w:pPr>
        <w:spacing w:after="0" w:line="175"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 - First quarter 2001 compared with first quarter 2000</w:t>
      </w:r>
    </w:p>
    <w:p>
      <w:pPr>
        <w:spacing w:after="0" w:line="17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In the first quarter of 2001 the Company reported $82,553 in net sales, a decline of 13.1% from the $94,981 reported for the first quarter of 2000. The decline in sales is primarily the result of a continued soft retail sector and the loss of a major customer to bankruptcy in late 2000. In response to these current business conditions, the Company is focused on four key issues which include expanding the Bassett Furniture Direct (BFD) and @Home with Bassett (@Home) programs, providing better service levels, reducing working capital and improving operating margins.</w:t>
      </w:r>
    </w:p>
    <w:p>
      <w:pPr>
        <w:spacing w:after="0" w:line="178"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Sales to the BFD and @Home channels increased by 8.6% in the first quarter of 2001 compared to the first quarter of 2000. During the first quarter 2001, three BFD stores were opened, bringing the total BFD's open at the end of the quarter to 59. Also in the first quarter, seven @Home's were opened or converted from existing galleries, bringing the total @Home's to 173 by the end of the quarter.</w:t>
      </w:r>
    </w:p>
    <w:p>
      <w:pPr>
        <w:spacing w:after="0" w:line="176"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Gross margin; selling, general and administrative (S,G&amp;A) expenses; and operating income as a percentage of net sales were as follows for the quarters ended February 24, 2001 and February 26, 2000:</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2001</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422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Gross margin</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17.6%</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19.6%</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Gain on sale of property and equipment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-3.7%</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0.0%</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Restructuring and impaired fixed asset charges</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2.2%</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0.0%</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S,G&amp;A</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16.0%</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16.1%</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3.1%</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w:t>
            </w:r>
          </w:p>
        </w:tc>
      </w:tr>
    </w:tbl>
    <w:p>
      <w:pPr>
        <w:spacing w:after="0" w:line="344"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The decrease in gross margin for the first quarter 2001 compared to the prior year was primarily a result of reduced production levels and the related labor inefficiencies and under absorbed fixed costs associated with these levels. In response, the Company continues to aggressively reduce costs across the company, and restructure manufacturing capacities through consolidations in all divisions. The consolidation of the J.D. Bassett plant in the Wood Division and the closing of the Claremont plant in the Upholstery Division were completed during the first quarter of 2001.</w:t>
      </w:r>
    </w:p>
    <w:p>
      <w:pPr>
        <w:spacing w:after="0" w:line="178" w:lineRule="exact"/>
        <w:rPr>
          <w:sz w:val="20"/>
          <w:szCs w:val="20"/>
          <w:color w:val="auto"/>
        </w:rPr>
      </w:pPr>
    </w:p>
    <w:p>
      <w:pPr>
        <w:jc w:val="both"/>
        <w:ind w:right="3359"/>
        <w:spacing w:after="0" w:line="237" w:lineRule="auto"/>
        <w:rPr>
          <w:sz w:val="20"/>
          <w:szCs w:val="20"/>
          <w:color w:val="auto"/>
        </w:rPr>
      </w:pPr>
      <w:r>
        <w:rPr>
          <w:rFonts w:ascii="Courier New" w:cs="Courier New" w:eastAsia="Courier New" w:hAnsi="Courier New"/>
          <w:sz w:val="15"/>
          <w:szCs w:val="15"/>
          <w:color w:val="auto"/>
        </w:rPr>
        <w:t>Included in operating income, the Company recognized a one-time gain of $3,028 on the sale of its former showroom in Thomasville, North Carolina, during the first quarter of 2001.</w:t>
      </w:r>
    </w:p>
    <w:p>
      <w:pPr>
        <w:spacing w:after="0" w:line="17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In late 2000, the Company made a decision to consolidate production in the Wood Division. As a result of this decision, the Company incurred $247 in related restructuring expenses during the first quarter of 2001 in addition to those charged in fiscal year 2000. Also during the first quarter of 2001, additional restructuring activities, which include further consolidation within the Wood Division, resulted in a charge of $1,600 related to the writedown of property and equipment. This writedown was entirely related to closing one facility in Bassett, Virginia. Production and many of the employees from this facility will be transferred to another manufacturing facility in Bassett, Virginia. The Company expects to incur additional charges in the second quarter of 2001 as a result of these first quarter consolidations, of approximately $700. These charges will include severance and other employee benefit costs.</w:t>
      </w:r>
    </w:p>
    <w:p>
      <w:pPr>
        <w:spacing w:after="0" w:line="183"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S,G&amp;A expenses remained relatively flat for the first quarter of 2001 at 16.0% compared to 16.1% for the first quarter of 2000. However, the Company's total SG&amp;A spending decreased from $15,293 in the first quarter 2000 to $13,201 for the first quarter of 2001. The Company continues to closely monitor discretionary spending and adjust to current sales demands with spending reductions in corporate overhead and marketing. Management is committed to reducing costs and has targeted S,G&amp;A spending to approximate 15% of net sales over the next three years.</w:t>
      </w:r>
    </w:p>
    <w:p>
      <w:pPr>
        <w:spacing w:after="0" w:line="172"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8 of 13</w:t>
      </w:r>
    </w:p>
    <w:p>
      <w:pPr>
        <w:sectPr>
          <w:pgSz w:w="11900" w:h="16838" w:orient="portrait"/>
          <w:cols w:equalWidth="0" w:num="1">
            <w:col w:w="10219"/>
          </w:cols>
          <w:pgMar w:left="240" w:top="283"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339"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PART I-FINANCIAL INFORMATION-CONTINUED</w:t>
      </w:r>
    </w:p>
    <w:p>
      <w:pPr>
        <w:jc w:val="center"/>
        <w:ind w:right="3359"/>
        <w:spacing w:after="0"/>
        <w:rPr>
          <w:sz w:val="20"/>
          <w:szCs w:val="20"/>
          <w:color w:val="auto"/>
        </w:rPr>
      </w:pPr>
      <w:r>
        <w:rPr>
          <w:rFonts w:ascii="Courier New" w:cs="Courier New" w:eastAsia="Courier New" w:hAnsi="Courier New"/>
          <w:sz w:val="15"/>
          <w:szCs w:val="15"/>
          <w:color w:val="auto"/>
        </w:rPr>
        <w:t>BASSETT FURNITURE INDUSTRIES INC. AND SUBSIDIARIES</w:t>
      </w:r>
    </w:p>
    <w:p>
      <w:pPr>
        <w:jc w:val="center"/>
        <w:ind w:right="3359"/>
        <w:spacing w:after="0"/>
        <w:rPr>
          <w:sz w:val="20"/>
          <w:szCs w:val="20"/>
          <w:color w:val="auto"/>
        </w:rPr>
      </w:pPr>
      <w:r>
        <w:rPr>
          <w:rFonts w:ascii="Courier New" w:cs="Courier New" w:eastAsia="Courier New" w:hAnsi="Courier New"/>
          <w:sz w:val="15"/>
          <w:szCs w:val="15"/>
          <w:color w:val="auto"/>
        </w:rPr>
        <w:t>FEBRUARY 24,2001</w:t>
      </w:r>
    </w:p>
    <w:p>
      <w:pPr>
        <w:jc w:val="center"/>
        <w:ind w:right="3359"/>
        <w:spacing w:after="0" w:line="238" w:lineRule="auto"/>
        <w:rPr>
          <w:sz w:val="20"/>
          <w:szCs w:val="20"/>
          <w:color w:val="auto"/>
        </w:rPr>
      </w:pPr>
      <w:r>
        <w:rPr>
          <w:rFonts w:ascii="Courier New" w:cs="Courier New" w:eastAsia="Courier New" w:hAnsi="Courier New"/>
          <w:sz w:val="15"/>
          <w:szCs w:val="15"/>
          <w:color w:val="auto"/>
        </w:rPr>
        <w:t>(Dollars in thousands except share and per share data)</w:t>
      </w:r>
    </w:p>
    <w:p>
      <w:pPr>
        <w:spacing w:after="0" w:line="175"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(continued)</w:t>
      </w:r>
    </w:p>
    <w:p>
      <w:pPr>
        <w:spacing w:after="0" w:line="176"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Other income declined significantly in the first quarter of 2001, $678 compared to $3,658 for the first quarter 2000. This decrease was attributable to three key components: a large gain on a financial instrument which was recorded in the first quarter of 2000, and from the Company's investment in a limited partnership and from affiliated investments in the first quarter of 2001. The reduced affiliated earnings in 2001 was primarily the result of an affiliates' recognition of an extraordinary loss related to the early extinguishment of debt during the quarter. Included in other income are the Company's regular investment earnings, earnings from its equity in undistributed income of affiliated companies, and interest expense. Other income is expected to continue to be an integral component of the Company's future earnings.</w:t>
      </w:r>
    </w:p>
    <w:p>
      <w:pPr>
        <w:spacing w:after="0" w:line="166"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The effective tax rate was 30% in the first quarter of 2001 compared to 32% in the first quarter of 2000. The effective tax rates are lower than the statutory federal income tax rate due to exclusions for tax exempt income.</w:t>
      </w:r>
    </w:p>
    <w:p>
      <w:pPr>
        <w:spacing w:after="0" w:line="175" w:lineRule="exact"/>
        <w:rPr>
          <w:sz w:val="20"/>
          <w:szCs w:val="20"/>
          <w:color w:val="auto"/>
        </w:rPr>
      </w:pPr>
    </w:p>
    <w:p>
      <w:pPr>
        <w:ind w:right="3699"/>
        <w:spacing w:after="0" w:line="237" w:lineRule="auto"/>
        <w:rPr>
          <w:sz w:val="20"/>
          <w:szCs w:val="20"/>
          <w:color w:val="auto"/>
        </w:rPr>
      </w:pPr>
      <w:r>
        <w:rPr>
          <w:rFonts w:ascii="Courier New" w:cs="Courier New" w:eastAsia="Courier New" w:hAnsi="Courier New"/>
          <w:sz w:val="15"/>
          <w:szCs w:val="15"/>
          <w:color w:val="auto"/>
        </w:rPr>
        <w:t>For the quarter ended February 24, 2001, net income was $2,252 or $.19 per diluted share, compared to $4,354 or $.36 per diluted share for the first quarter ended February 26, 2000.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Segment Information</w:t>
      </w:r>
    </w:p>
    <w:p>
      <w:pPr>
        <w:spacing w:after="0" w:line="175" w:lineRule="exact"/>
        <w:rPr>
          <w:sz w:val="20"/>
          <w:szCs w:val="20"/>
          <w:color w:val="auto"/>
        </w:rPr>
      </w:pPr>
    </w:p>
    <w:p>
      <w:pPr>
        <w:ind w:right="3879"/>
        <w:spacing w:after="0" w:line="235" w:lineRule="auto"/>
        <w:rPr>
          <w:sz w:val="20"/>
          <w:szCs w:val="20"/>
          <w:color w:val="auto"/>
        </w:rPr>
      </w:pPr>
      <w:r>
        <w:rPr>
          <w:rFonts w:ascii="Courier New" w:cs="Courier New" w:eastAsia="Courier New" w:hAnsi="Courier New"/>
          <w:sz w:val="15"/>
          <w:szCs w:val="15"/>
          <w:color w:val="auto"/>
        </w:rPr>
        <w:t>The following is a discussion of operating results for each of Bassett's business segments.</w:t>
      </w:r>
    </w:p>
    <w:p>
      <w:pPr>
        <w:sectPr>
          <w:pgSz w:w="11900" w:h="16838" w:orient="portrait"/>
          <w:cols w:equalWidth="0" w:num="1">
            <w:col w:w="10219"/>
          </w:cols>
          <w:pgMar w:left="240" w:top="28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Wood Division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Quarter Ended</w:t>
      </w:r>
    </w:p>
    <w:p>
      <w:pPr>
        <w:ind w:left="360"/>
        <w:spacing w:after="0"/>
        <w:rPr>
          <w:sz w:val="20"/>
          <w:szCs w:val="20"/>
          <w:color w:val="auto"/>
        </w:rPr>
      </w:pPr>
      <w:r>
        <w:rPr>
          <w:rFonts w:ascii="Courier New" w:cs="Courier New" w:eastAsia="Courier New" w:hAnsi="Courier New"/>
          <w:sz w:val="15"/>
          <w:szCs w:val="15"/>
          <w:color w:val="auto"/>
        </w:rPr>
        <w:t>February 24, 2001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Quarter Ended</w:t>
      </w:r>
    </w:p>
    <w:p>
      <w:pPr>
        <w:ind w:left="180"/>
        <w:spacing w:after="0"/>
        <w:rPr>
          <w:sz w:val="20"/>
          <w:szCs w:val="20"/>
          <w:color w:val="auto"/>
        </w:rPr>
      </w:pPr>
      <w:r>
        <w:rPr>
          <w:rFonts w:ascii="Courier New" w:cs="Courier New" w:eastAsia="Courier New" w:hAnsi="Courier New"/>
          <w:sz w:val="15"/>
          <w:szCs w:val="15"/>
          <w:color w:val="auto"/>
        </w:rPr>
        <w:t>February 26, 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3">
            <w:col w:w="3140" w:space="720"/>
            <w:col w:w="2380" w:space="360"/>
            <w:col w:w="3619"/>
          </w:cols>
          <w:pgMar w:left="240" w:top="28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Net sales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Contribution to profit and overhead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48,575</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5,731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ind w:right="1759"/>
        <w:spacing w:after="0"/>
        <w:rPr>
          <w:sz w:val="20"/>
          <w:szCs w:val="20"/>
          <w:color w:val="auto"/>
        </w:rPr>
      </w:pPr>
      <w:r>
        <w:rPr>
          <w:rFonts w:ascii="Courier New" w:cs="Courier New" w:eastAsia="Courier New" w:hAnsi="Courier New"/>
          <w:sz w:val="15"/>
          <w:szCs w:val="15"/>
          <w:color w:val="auto"/>
        </w:rPr>
        <w:t>59,864</w:t>
      </w:r>
    </w:p>
    <w:p>
      <w:pPr>
        <w:jc w:val="right"/>
        <w:ind w:right="1759"/>
        <w:spacing w:after="0"/>
        <w:rPr>
          <w:sz w:val="20"/>
          <w:szCs w:val="20"/>
          <w:color w:val="auto"/>
        </w:rPr>
      </w:pPr>
      <w:r>
        <w:rPr>
          <w:rFonts w:ascii="Courier New" w:cs="Courier New" w:eastAsia="Courier New" w:hAnsi="Courier New"/>
          <w:sz w:val="15"/>
          <w:szCs w:val="15"/>
          <w:color w:val="auto"/>
        </w:rPr>
        <w:t>8,675</w:t>
      </w:r>
    </w:p>
    <w:p>
      <w:pPr>
        <w:spacing w:after="0" w:line="200" w:lineRule="exact"/>
        <w:rPr>
          <w:sz w:val="20"/>
          <w:szCs w:val="20"/>
          <w:color w:val="auto"/>
        </w:rPr>
      </w:pPr>
    </w:p>
    <w:p>
      <w:pPr>
        <w:sectPr>
          <w:pgSz w:w="11900" w:h="16838" w:orient="portrait"/>
          <w:cols w:equalWidth="0" w:num="5">
            <w:col w:w="3240" w:space="720"/>
            <w:col w:w="960" w:space="720"/>
            <w:col w:w="520" w:space="520"/>
            <w:col w:w="520" w:space="720"/>
            <w:col w:w="2299"/>
          </w:cols>
          <w:pgMar w:left="240" w:top="283" w:right="1440" w:bottom="1440" w:gutter="0" w:footer="0" w:header="0"/>
          <w:type w:val="continuous"/>
        </w:sectPr>
      </w:pPr>
    </w:p>
    <w:p>
      <w:pPr>
        <w:spacing w:after="0" w:line="144" w:lineRule="exact"/>
        <w:rPr>
          <w:sz w:val="20"/>
          <w:szCs w:val="20"/>
          <w:color w:val="auto"/>
        </w:rPr>
      </w:pPr>
    </w:p>
    <w:p>
      <w:pPr>
        <w:ind w:right="3439"/>
        <w:spacing w:after="0" w:line="257" w:lineRule="auto"/>
        <w:rPr>
          <w:sz w:val="20"/>
          <w:szCs w:val="20"/>
          <w:color w:val="auto"/>
        </w:rPr>
      </w:pPr>
      <w:r>
        <w:rPr>
          <w:rFonts w:ascii="Courier New" w:cs="Courier New" w:eastAsia="Courier New" w:hAnsi="Courier New"/>
          <w:sz w:val="14"/>
          <w:szCs w:val="14"/>
          <w:color w:val="auto"/>
        </w:rPr>
        <w:t>Wood Division net sales decreased 18.9% in the first quarter 2001 compared to the first quarter 2000 results, due to overall market conditions and the soft retail furniture environment. Sales and production levels remain at near breakeven levels for the first quarter of 2001. In an effort to improve sales and margins in this segment, the Company is introducing new products, opening more BFD and @Home stores, repositioning the division through cost reduction initiatives, as well as improving product styling, quality and service.</w:t>
      </w:r>
    </w:p>
    <w:p>
      <w:pPr>
        <w:spacing w:after="0" w:line="167"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Contribution to profit and overhead is defined by the Company as gross profit less direct divisional operating expenses, but excluding any allocation of corporate overhead expenses, interest expense, or income taxes. Wood Division contribution to profit and overhead dropped from 14.5% of net sales in the first quarter of 2000 to 11.8% of net sales in the first quarter of 2001, primarily as a result of lower sales and production levels and sales of discontinued inventories at lower margins. In order to improve performance, the Company has decided to further consolidate production of two manufacturing facilities in the Wood Division. These changes will decrease the overall cost structure of the division through improved labor efficiencies and the elimination of certain fixed costs. These changes will better position the manufacturing capacity of the division with the current demands of its customers and provide for future profitability improvement.</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14"/>
                <w:szCs w:val="14"/>
                <w:color w:val="auto"/>
              </w:rPr>
            </w:pPr>
          </w:p>
        </w:tc>
        <w:tc>
          <w:tcPr>
            <w:tcW w:w="1820" w:type="dxa"/>
            <w:vAlign w:val="bottom"/>
          </w:tcPr>
          <w:p>
            <w:pPr>
              <w:ind w:left="660"/>
              <w:spacing w:after="0"/>
              <w:rPr>
                <w:sz w:val="20"/>
                <w:szCs w:val="20"/>
                <w:color w:val="auto"/>
              </w:rPr>
            </w:pPr>
            <w:r>
              <w:rPr>
                <w:rFonts w:ascii="Courier New" w:cs="Courier New" w:eastAsia="Courier New" w:hAnsi="Courier New"/>
                <w:sz w:val="15"/>
                <w:szCs w:val="15"/>
                <w:color w:val="auto"/>
                <w:w w:val="97"/>
              </w:rPr>
              <w:t>Quarter Ended</w:t>
            </w:r>
          </w:p>
        </w:tc>
        <w:tc>
          <w:tcPr>
            <w:tcW w:w="920" w:type="dxa"/>
            <w:vAlign w:val="bottom"/>
          </w:tcPr>
          <w:p>
            <w:pPr>
              <w:spacing w:after="0"/>
              <w:rPr>
                <w:sz w:val="14"/>
                <w:szCs w:val="14"/>
                <w:color w:val="auto"/>
              </w:rPr>
            </w:pPr>
          </w:p>
        </w:tc>
        <w:tc>
          <w:tcPr>
            <w:tcW w:w="1980" w:type="dxa"/>
            <w:vAlign w:val="bottom"/>
          </w:tcPr>
          <w:p>
            <w:pPr>
              <w:ind w:left="840"/>
              <w:spacing w:after="0"/>
              <w:rPr>
                <w:sz w:val="20"/>
                <w:szCs w:val="20"/>
                <w:color w:val="auto"/>
              </w:rPr>
            </w:pPr>
            <w:r>
              <w:rPr>
                <w:rFonts w:ascii="Courier New" w:cs="Courier New" w:eastAsia="Courier New" w:hAnsi="Courier New"/>
                <w:sz w:val="15"/>
                <w:szCs w:val="15"/>
                <w:color w:val="auto"/>
                <w:w w:val="95"/>
              </w:rPr>
              <w:t>Quarter Ended</w:t>
            </w:r>
          </w:p>
        </w:tc>
        <w:tc>
          <w:tcPr>
            <w:tcW w:w="520" w:type="dxa"/>
            <w:vAlign w:val="bottom"/>
          </w:tcPr>
          <w:p>
            <w:pPr>
              <w:spacing w:after="0"/>
              <w:rPr>
                <w:sz w:val="14"/>
                <w:szCs w:val="14"/>
                <w:color w:val="auto"/>
              </w:rPr>
            </w:pP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Import Divison</w:t>
            </w:r>
          </w:p>
        </w:tc>
        <w:tc>
          <w:tcPr>
            <w:tcW w:w="2740" w:type="dxa"/>
            <w:vAlign w:val="bottom"/>
            <w:gridSpan w:val="2"/>
          </w:tcPr>
          <w:p>
            <w:pPr>
              <w:jc w:val="right"/>
              <w:ind w:right="687"/>
              <w:spacing w:after="0"/>
              <w:rPr>
                <w:sz w:val="20"/>
                <w:szCs w:val="20"/>
                <w:color w:val="auto"/>
              </w:rPr>
            </w:pPr>
            <w:r>
              <w:rPr>
                <w:rFonts w:ascii="Courier New" w:cs="Courier New" w:eastAsia="Courier New" w:hAnsi="Courier New"/>
                <w:sz w:val="15"/>
                <w:szCs w:val="15"/>
                <w:color w:val="auto"/>
              </w:rPr>
              <w:t>February 24, 2001</w:t>
            </w:r>
          </w:p>
        </w:tc>
        <w:tc>
          <w:tcPr>
            <w:tcW w:w="25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February 26, 2000</w:t>
            </w:r>
          </w:p>
        </w:tc>
      </w:tr>
      <w:tr>
        <w:trPr>
          <w:trHeight w:val="170"/>
        </w:trPr>
        <w:tc>
          <w:tcPr>
            <w:tcW w:w="3380" w:type="dxa"/>
            <w:vAlign w:val="bottom"/>
          </w:tcPr>
          <w:p>
            <w:pPr>
              <w:spacing w:after="0"/>
              <w:rPr>
                <w:sz w:val="14"/>
                <w:szCs w:val="14"/>
                <w:color w:val="auto"/>
              </w:rPr>
            </w:pPr>
          </w:p>
        </w:tc>
        <w:tc>
          <w:tcPr>
            <w:tcW w:w="2740" w:type="dxa"/>
            <w:vAlign w:val="bottom"/>
            <w:gridSpan w:val="2"/>
          </w:tcPr>
          <w:p>
            <w:pPr>
              <w:jc w:val="center"/>
              <w:ind w:right="7"/>
              <w:spacing w:after="0"/>
              <w:rPr>
                <w:sz w:val="20"/>
                <w:szCs w:val="20"/>
                <w:color w:val="auto"/>
              </w:rPr>
            </w:pPr>
            <w:r>
              <w:rPr>
                <w:rFonts w:ascii="Courier New" w:cs="Courier New" w:eastAsia="Courier New" w:hAnsi="Courier New"/>
                <w:sz w:val="15"/>
                <w:szCs w:val="15"/>
                <w:color w:val="auto"/>
                <w:w w:val="97"/>
              </w:rPr>
              <w:t>-----------------------</w:t>
            </w:r>
          </w:p>
        </w:tc>
        <w:tc>
          <w:tcPr>
            <w:tcW w:w="2500" w:type="dxa"/>
            <w:vAlign w:val="bottom"/>
            <w:gridSpan w:val="2"/>
          </w:tcPr>
          <w:p>
            <w:pPr>
              <w:jc w:val="center"/>
              <w:ind w:left="407"/>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33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820" w:type="dxa"/>
            <w:vAlign w:val="bottom"/>
          </w:tcPr>
          <w:p>
            <w:pPr>
              <w:jc w:val="center"/>
              <w:ind w:left="7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3"/>
              </w:rPr>
              <w:t>8,646</w:t>
            </w:r>
          </w:p>
        </w:tc>
        <w:tc>
          <w:tcPr>
            <w:tcW w:w="1980" w:type="dxa"/>
            <w:vAlign w:val="bottom"/>
          </w:tcPr>
          <w:p>
            <w:pPr>
              <w:jc w:val="center"/>
              <w:ind w:left="947"/>
              <w:spacing w:after="0"/>
              <w:rPr>
                <w:sz w:val="20"/>
                <w:szCs w:val="20"/>
                <w:color w:val="auto"/>
              </w:rPr>
            </w:pPr>
            <w:r>
              <w:rPr>
                <w:rFonts w:ascii="Courier New" w:cs="Courier New" w:eastAsia="Courier New" w:hAnsi="Courier New"/>
                <w:sz w:val="15"/>
                <w:szCs w:val="15"/>
                <w:color w:val="auto"/>
                <w:w w:val="88"/>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7,615</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Contribution to profit and overhead</w:t>
            </w:r>
          </w:p>
        </w:tc>
        <w:tc>
          <w:tcPr>
            <w:tcW w:w="1820" w:type="dxa"/>
            <w:vAlign w:val="bottom"/>
          </w:tcPr>
          <w:p>
            <w:pPr>
              <w:jc w:val="center"/>
              <w:ind w:left="7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3"/>
              </w:rPr>
              <w:t>1,958</w:t>
            </w:r>
          </w:p>
        </w:tc>
        <w:tc>
          <w:tcPr>
            <w:tcW w:w="1980" w:type="dxa"/>
            <w:vAlign w:val="bottom"/>
          </w:tcPr>
          <w:p>
            <w:pPr>
              <w:jc w:val="center"/>
              <w:ind w:left="947"/>
              <w:spacing w:after="0"/>
              <w:rPr>
                <w:sz w:val="20"/>
                <w:szCs w:val="20"/>
                <w:color w:val="auto"/>
              </w:rPr>
            </w:pPr>
            <w:r>
              <w:rPr>
                <w:rFonts w:ascii="Courier New" w:cs="Courier New" w:eastAsia="Courier New" w:hAnsi="Courier New"/>
                <w:sz w:val="15"/>
                <w:szCs w:val="15"/>
                <w:color w:val="auto"/>
                <w:w w:val="88"/>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1,998</w:t>
            </w:r>
          </w:p>
        </w:tc>
      </w:tr>
    </w:tbl>
    <w:p>
      <w:pPr>
        <w:spacing w:after="0" w:line="344" w:lineRule="exact"/>
        <w:rPr>
          <w:sz w:val="20"/>
          <w:szCs w:val="20"/>
          <w:color w:val="auto"/>
        </w:rPr>
      </w:pPr>
    </w:p>
    <w:p>
      <w:pPr>
        <w:jc w:val="both"/>
        <w:ind w:right="3359"/>
        <w:spacing w:after="0" w:line="237" w:lineRule="auto"/>
        <w:rPr>
          <w:sz w:val="20"/>
          <w:szCs w:val="20"/>
          <w:color w:val="auto"/>
        </w:rPr>
      </w:pPr>
      <w:r>
        <w:rPr>
          <w:rFonts w:ascii="Courier New" w:cs="Courier New" w:eastAsia="Courier New" w:hAnsi="Courier New"/>
          <w:sz w:val="15"/>
          <w:szCs w:val="15"/>
          <w:color w:val="auto"/>
        </w:rPr>
        <w:t>Beginning in the first quarter of 2001, the results of the Import Division are listed separately in the segment information. For prior reporting, the results of the Import Division were included in the Wood Division.</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9 of 13</w:t>
      </w:r>
    </w:p>
    <w:p>
      <w:pPr>
        <w:sectPr>
          <w:pgSz w:w="11900" w:h="16838" w:orient="portrait"/>
          <w:cols w:equalWidth="0" w:num="1">
            <w:col w:w="10219"/>
          </w:cols>
          <w:pgMar w:left="240" w:top="283" w:right="1440" w:bottom="1440" w:gutter="0" w:footer="0" w:header="0"/>
          <w:type w:val="continuous"/>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339"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PART I-FINANCIAL INFORMATION-CONTINUED</w:t>
      </w:r>
    </w:p>
    <w:p>
      <w:pPr>
        <w:jc w:val="center"/>
        <w:ind w:right="3359"/>
        <w:spacing w:after="0"/>
        <w:rPr>
          <w:sz w:val="20"/>
          <w:szCs w:val="20"/>
          <w:color w:val="auto"/>
        </w:rPr>
      </w:pPr>
      <w:r>
        <w:rPr>
          <w:rFonts w:ascii="Courier New" w:cs="Courier New" w:eastAsia="Courier New" w:hAnsi="Courier New"/>
          <w:sz w:val="15"/>
          <w:szCs w:val="15"/>
          <w:color w:val="auto"/>
        </w:rPr>
        <w:t>BASSETT FURNITURE INDUSTRIES INC. AND SUBSIDIARIES</w:t>
      </w:r>
    </w:p>
    <w:p>
      <w:pPr>
        <w:jc w:val="center"/>
        <w:ind w:right="3359"/>
        <w:spacing w:after="0"/>
        <w:rPr>
          <w:sz w:val="20"/>
          <w:szCs w:val="20"/>
          <w:color w:val="auto"/>
        </w:rPr>
      </w:pPr>
      <w:r>
        <w:rPr>
          <w:rFonts w:ascii="Courier New" w:cs="Courier New" w:eastAsia="Courier New" w:hAnsi="Courier New"/>
          <w:sz w:val="15"/>
          <w:szCs w:val="15"/>
          <w:color w:val="auto"/>
        </w:rPr>
        <w:t>FEBRUARY 24,2001</w:t>
      </w:r>
    </w:p>
    <w:p>
      <w:pPr>
        <w:jc w:val="center"/>
        <w:ind w:right="3359"/>
        <w:spacing w:after="0" w:line="238" w:lineRule="auto"/>
        <w:rPr>
          <w:sz w:val="20"/>
          <w:szCs w:val="20"/>
          <w:color w:val="auto"/>
        </w:rPr>
      </w:pPr>
      <w:r>
        <w:rPr>
          <w:rFonts w:ascii="Courier New" w:cs="Courier New" w:eastAsia="Courier New" w:hAnsi="Courier New"/>
          <w:sz w:val="15"/>
          <w:szCs w:val="15"/>
          <w:color w:val="auto"/>
        </w:rPr>
        <w:t>(Dollars in thousands except share and per share data)</w:t>
      </w:r>
    </w:p>
    <w:p>
      <w:pPr>
        <w:spacing w:after="0" w:line="175"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(continued)</w:t>
      </w:r>
    </w:p>
    <w:p>
      <w:pPr>
        <w:spacing w:after="0" w:line="176"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Net sales for the Import Division increased 13.5% in the first quarter of 2001 compared to the first quarter of 2000. The Company expects the sales of this segment to continue to increase, which should, in turn, increase the Company's overall margin position. The products of the Import Division will continue to supplement the product offerings of the other divisions, as well as include complete suites of bedroom and dining room furniture.</w:t>
      </w:r>
    </w:p>
    <w:p>
      <w:pPr>
        <w:spacing w:after="0" w:line="176"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Import Division contribution to profit and overhead decreased from 26.2% of net sales in the first quarter of 2000 to 22.6% of net sales in 2001. The decrease was a result of an increase in freight, handling and related overhead costs for the division. The expected sales growth of this segment requires the Company to focus more attention on forecasting and purchasing practices, inventory management, logistics and quality.</w:t>
      </w:r>
    </w:p>
    <w:p>
      <w:pPr>
        <w:sectPr>
          <w:pgSz w:w="11900" w:h="16838" w:orient="portrait"/>
          <w:cols w:equalWidth="0" w:num="1">
            <w:col w:w="10219"/>
          </w:cols>
          <w:pgMar w:left="240" w:top="28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Upholstery Division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Quarter Ended</w:t>
      </w:r>
    </w:p>
    <w:p>
      <w:pPr>
        <w:ind w:left="160"/>
        <w:spacing w:after="0"/>
        <w:rPr>
          <w:sz w:val="20"/>
          <w:szCs w:val="20"/>
          <w:color w:val="auto"/>
        </w:rPr>
      </w:pPr>
      <w:r>
        <w:rPr>
          <w:rFonts w:ascii="Courier New" w:cs="Courier New" w:eastAsia="Courier New" w:hAnsi="Courier New"/>
          <w:sz w:val="15"/>
          <w:szCs w:val="15"/>
          <w:color w:val="auto"/>
        </w:rPr>
        <w:t>February 24, 2001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Quarter Ended</w:t>
      </w:r>
    </w:p>
    <w:p>
      <w:pPr>
        <w:ind w:left="180"/>
        <w:spacing w:after="0"/>
        <w:rPr>
          <w:sz w:val="20"/>
          <w:szCs w:val="20"/>
          <w:color w:val="auto"/>
        </w:rPr>
      </w:pPr>
      <w:r>
        <w:rPr>
          <w:rFonts w:ascii="Courier New" w:cs="Courier New" w:eastAsia="Courier New" w:hAnsi="Courier New"/>
          <w:sz w:val="15"/>
          <w:szCs w:val="15"/>
          <w:color w:val="auto"/>
        </w:rPr>
        <w:t>February 26, 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3">
            <w:col w:w="2980" w:space="720"/>
            <w:col w:w="2180" w:space="720"/>
            <w:col w:w="3619"/>
          </w:cols>
          <w:pgMar w:left="240" w:top="28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Net sales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Contribution to profit and overhead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ind w:right="420"/>
        <w:spacing w:after="0"/>
        <w:rPr>
          <w:sz w:val="20"/>
          <w:szCs w:val="20"/>
          <w:color w:val="auto"/>
        </w:rPr>
      </w:pPr>
      <w:r>
        <w:rPr>
          <w:rFonts w:ascii="Courier New" w:cs="Courier New" w:eastAsia="Courier New" w:hAnsi="Courier New"/>
          <w:sz w:val="15"/>
          <w:szCs w:val="15"/>
          <w:color w:val="auto"/>
        </w:rPr>
        <w:t>22,242</w:t>
      </w:r>
    </w:p>
    <w:p>
      <w:pPr>
        <w:jc w:val="right"/>
        <w:ind w:right="420"/>
        <w:spacing w:after="0"/>
        <w:rPr>
          <w:sz w:val="20"/>
          <w:szCs w:val="20"/>
          <w:color w:val="auto"/>
        </w:rPr>
      </w:pPr>
      <w:r>
        <w:rPr>
          <w:rFonts w:ascii="Courier New" w:cs="Courier New" w:eastAsia="Courier New" w:hAnsi="Courier New"/>
          <w:sz w:val="15"/>
          <w:szCs w:val="15"/>
          <w:color w:val="auto"/>
        </w:rPr>
        <w:t>2,160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jc w:val="right"/>
        <w:ind w:right="1679"/>
        <w:spacing w:after="0"/>
        <w:rPr>
          <w:sz w:val="20"/>
          <w:szCs w:val="20"/>
          <w:color w:val="auto"/>
        </w:rPr>
      </w:pPr>
      <w:r>
        <w:rPr>
          <w:rFonts w:ascii="Courier New" w:cs="Courier New" w:eastAsia="Courier New" w:hAnsi="Courier New"/>
          <w:sz w:val="14"/>
          <w:szCs w:val="14"/>
          <w:color w:val="auto"/>
        </w:rPr>
        <w:t>24,440</w:t>
      </w:r>
    </w:p>
    <w:p>
      <w:pPr>
        <w:spacing w:after="0" w:line="5" w:lineRule="exact"/>
        <w:rPr>
          <w:sz w:val="20"/>
          <w:szCs w:val="20"/>
          <w:color w:val="auto"/>
        </w:rPr>
      </w:pPr>
    </w:p>
    <w:p>
      <w:pPr>
        <w:jc w:val="right"/>
        <w:ind w:right="1679"/>
        <w:spacing w:after="0"/>
        <w:rPr>
          <w:sz w:val="20"/>
          <w:szCs w:val="20"/>
          <w:color w:val="auto"/>
        </w:rPr>
      </w:pPr>
      <w:r>
        <w:rPr>
          <w:rFonts w:ascii="Courier New" w:cs="Courier New" w:eastAsia="Courier New" w:hAnsi="Courier New"/>
          <w:sz w:val="15"/>
          <w:szCs w:val="15"/>
          <w:color w:val="auto"/>
        </w:rPr>
        <w:t>1,914</w:t>
      </w:r>
    </w:p>
    <w:p>
      <w:pPr>
        <w:spacing w:after="0" w:line="200" w:lineRule="exact"/>
        <w:rPr>
          <w:sz w:val="20"/>
          <w:szCs w:val="20"/>
          <w:color w:val="auto"/>
        </w:rPr>
      </w:pPr>
    </w:p>
    <w:p>
      <w:pPr>
        <w:sectPr>
          <w:pgSz w:w="11900" w:h="16838" w:orient="portrait"/>
          <w:cols w:equalWidth="0" w:num="5">
            <w:col w:w="3140" w:space="720"/>
            <w:col w:w="520" w:space="720"/>
            <w:col w:w="960" w:space="720"/>
            <w:col w:w="520" w:space="720"/>
            <w:col w:w="2199"/>
          </w:cols>
          <w:pgMar w:left="240" w:top="283" w:right="1440" w:bottom="1440" w:gutter="0" w:footer="0" w:header="0"/>
          <w:type w:val="continuous"/>
        </w:sectPr>
      </w:pPr>
    </w:p>
    <w:p>
      <w:pPr>
        <w:spacing w:after="0" w:line="144"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Net sales for the Upholstery Division have declined by 9.0% for the first quarter 2001 compared to the first quarter 2000, primarily due to the loss of a major customer to bankruptcy in late 2000. Management also decided to exit certain distribution channels, which were incompatible with the Bassett brand image and the Company's current primary channels of distribution. The Company is focusing upholstery distribution on its BFD stores, its @ Home with Bassett galleries, and several of its major customers.</w:t>
      </w:r>
    </w:p>
    <w:p>
      <w:pPr>
        <w:spacing w:after="0" w:line="177"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Contribution to profit and overhead increased from 7.8% of net sales for the first quarter of 2000 to 9.7% of net sales for the first quarter of 2001. Increases were due to the consolidation of several manufacturing facilities over the last two years, continuation of efforts to control labor and overhead spending, the decision to exit certain distribution channels, introduction of new products and the implementation of several operational initiatives. These include cellular manufacturing and investments in new cutting and sewing equipment. The Company plans additional profit improvements for the Upholstery Division through sales growth of new products at higher margins and the related absorption efficiencies resulting from increased sales and production levels.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5"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4"/>
          <w:szCs w:val="14"/>
          <w:color w:val="auto"/>
        </w:rPr>
        <w:t>Cash provided by operating activities was $6,863 for the first quarter ended February 24, 2001, compared to cash used in operating activities of $2,704 for the quarter ended February 26, 2000. The improvement in 2001 was attributable to the Company's initiatives to lower working capital levels, especially its inventories and receivables. Some of these initiatives include better planning and forecasting, improved purchasing practices, discounting of slow-moving inventories, and more effective collection efforts.</w:t>
      </w:r>
    </w:p>
    <w:p>
      <w:pPr>
        <w:spacing w:after="0" w:line="167" w:lineRule="exact"/>
        <w:rPr>
          <w:sz w:val="20"/>
          <w:szCs w:val="20"/>
          <w:color w:val="auto"/>
        </w:rPr>
      </w:pPr>
    </w:p>
    <w:p>
      <w:pPr>
        <w:ind w:right="3539"/>
        <w:spacing w:after="0" w:line="238" w:lineRule="auto"/>
        <w:rPr>
          <w:sz w:val="20"/>
          <w:szCs w:val="20"/>
          <w:color w:val="auto"/>
        </w:rPr>
      </w:pPr>
      <w:r>
        <w:rPr>
          <w:rFonts w:ascii="Courier New" w:cs="Courier New" w:eastAsia="Courier New" w:hAnsi="Courier New"/>
          <w:sz w:val="15"/>
          <w:szCs w:val="15"/>
          <w:color w:val="auto"/>
        </w:rPr>
        <w:t>The Company invested $5,344 in property and equipment in the first quarter 2001 for retail real estate, the build out of its new leased showroom, and computer related equipment for information systems. During the first quarter of 2001, the Company realized proceeds of $3,828 on the sale of its former showroom in Thomasville, North Carolina. The Company also received a special dividend from an affiliated company of $25,059, which was primarily utilized to reduce the Company's overall debt position.</w:t>
      </w:r>
    </w:p>
    <w:p>
      <w:pPr>
        <w:spacing w:after="0" w:line="177"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During 2000, the Company entered into a three-year $70,000 revolving credit facility with a new lender and three other participants. During the first quarter of 2001, the Company repaid $26,000 of this facility, principally by applying the special dividend from an affiliate, bringing the balance at the end of the quarter to $19,000. The Company does not expect to substantially increase its level of borrowings in fiscal year 2001.</w:t>
      </w:r>
    </w:p>
    <w:p>
      <w:pPr>
        <w:spacing w:after="0" w:line="32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10 of 13</w:t>
      </w:r>
    </w:p>
    <w:p>
      <w:pPr>
        <w:sectPr>
          <w:pgSz w:w="11900" w:h="16838" w:orient="portrait"/>
          <w:cols w:equalWidth="0" w:num="1">
            <w:col w:w="10219"/>
          </w:cols>
          <w:pgMar w:left="240" w:top="283" w:right="1440" w:bottom="1440" w:gutter="0" w:footer="0" w:header="0"/>
          <w:type w:val="continuous"/>
        </w:sectPr>
      </w:pPr>
    </w:p>
    <w:bookmarkStart w:id="10" w:name="page11"/>
    <w:bookmarkEnd w:id="10"/>
    <w:p>
      <w:pPr>
        <w:ind w:left="270"/>
        <w:spacing w:after="0"/>
        <w:rPr>
          <w:sz w:val="20"/>
          <w:szCs w:val="20"/>
          <w:color w:val="auto"/>
        </w:rPr>
      </w:pPr>
      <w:r>
        <w:rPr>
          <w:rFonts w:ascii="Courier New" w:cs="Courier New" w:eastAsia="Courier New" w:hAnsi="Courier New"/>
          <w:sz w:val="15"/>
          <w:szCs w:val="15"/>
          <w:color w:val="auto"/>
        </w:rPr>
        <w:t>11</w:t>
      </w:r>
    </w:p>
    <w:p>
      <w:pPr>
        <w:spacing w:after="0" w:line="339" w:lineRule="exact"/>
        <w:rPr>
          <w:sz w:val="20"/>
          <w:szCs w:val="20"/>
          <w:color w:val="auto"/>
        </w:rPr>
      </w:pPr>
    </w:p>
    <w:p>
      <w:pPr>
        <w:jc w:val="center"/>
        <w:ind w:right="3350"/>
        <w:spacing w:after="0"/>
        <w:rPr>
          <w:sz w:val="20"/>
          <w:szCs w:val="20"/>
          <w:color w:val="auto"/>
        </w:rPr>
      </w:pPr>
      <w:r>
        <w:rPr>
          <w:rFonts w:ascii="Courier New" w:cs="Courier New" w:eastAsia="Courier New" w:hAnsi="Courier New"/>
          <w:sz w:val="15"/>
          <w:szCs w:val="15"/>
          <w:color w:val="auto"/>
        </w:rPr>
        <w:t>PART I-FINANCIAL INFORMATION-CONTINUED</w:t>
      </w:r>
    </w:p>
    <w:p>
      <w:pPr>
        <w:jc w:val="center"/>
        <w:ind w:right="3350"/>
        <w:spacing w:after="0"/>
        <w:rPr>
          <w:sz w:val="20"/>
          <w:szCs w:val="20"/>
          <w:color w:val="auto"/>
        </w:rPr>
      </w:pPr>
      <w:r>
        <w:rPr>
          <w:rFonts w:ascii="Courier New" w:cs="Courier New" w:eastAsia="Courier New" w:hAnsi="Courier New"/>
          <w:sz w:val="15"/>
          <w:szCs w:val="15"/>
          <w:color w:val="auto"/>
        </w:rPr>
        <w:t>BASSETT FURNITURE INDUSTRIES INC. AND SUBSIDIARIES</w:t>
      </w:r>
    </w:p>
    <w:p>
      <w:pPr>
        <w:jc w:val="center"/>
        <w:ind w:right="3350"/>
        <w:spacing w:after="0"/>
        <w:rPr>
          <w:sz w:val="20"/>
          <w:szCs w:val="20"/>
          <w:color w:val="auto"/>
        </w:rPr>
      </w:pPr>
      <w:r>
        <w:rPr>
          <w:rFonts w:ascii="Courier New" w:cs="Courier New" w:eastAsia="Courier New" w:hAnsi="Courier New"/>
          <w:sz w:val="15"/>
          <w:szCs w:val="15"/>
          <w:color w:val="auto"/>
        </w:rPr>
        <w:t>FEBRUARY 24,2001</w:t>
      </w:r>
    </w:p>
    <w:p>
      <w:pPr>
        <w:jc w:val="center"/>
        <w:ind w:right="3350"/>
        <w:spacing w:after="0" w:line="238" w:lineRule="auto"/>
        <w:rPr>
          <w:sz w:val="20"/>
          <w:szCs w:val="20"/>
          <w:color w:val="auto"/>
        </w:rPr>
      </w:pPr>
      <w:r>
        <w:rPr>
          <w:rFonts w:ascii="Courier New" w:cs="Courier New" w:eastAsia="Courier New" w:hAnsi="Courier New"/>
          <w:sz w:val="15"/>
          <w:szCs w:val="15"/>
          <w:color w:val="auto"/>
        </w:rPr>
        <w:t>(Dollars in thousands except share and per share data)</w:t>
      </w:r>
    </w:p>
    <w:p>
      <w:pPr>
        <w:spacing w:after="0" w:line="175" w:lineRule="exact"/>
        <w:rPr>
          <w:sz w:val="20"/>
          <w:szCs w:val="20"/>
          <w:color w:val="auto"/>
        </w:rPr>
      </w:pPr>
    </w:p>
    <w:p>
      <w:pPr>
        <w:ind w:left="10" w:right="3699"/>
        <w:spacing w:after="0" w:line="235"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(continued)</w:t>
      </w:r>
    </w:p>
    <w:p>
      <w:pPr>
        <w:spacing w:after="0" w:line="176" w:lineRule="exact"/>
        <w:rPr>
          <w:sz w:val="20"/>
          <w:szCs w:val="20"/>
          <w:color w:val="auto"/>
        </w:rPr>
      </w:pPr>
    </w:p>
    <w:p>
      <w:pPr>
        <w:ind w:left="10" w:right="3359"/>
        <w:spacing w:after="0" w:line="237" w:lineRule="auto"/>
        <w:rPr>
          <w:sz w:val="20"/>
          <w:szCs w:val="20"/>
          <w:color w:val="auto"/>
        </w:rPr>
      </w:pPr>
      <w:r>
        <w:rPr>
          <w:rFonts w:ascii="Courier New" w:cs="Courier New" w:eastAsia="Courier New" w:hAnsi="Courier New"/>
          <w:sz w:val="15"/>
          <w:szCs w:val="15"/>
          <w:color w:val="auto"/>
        </w:rPr>
        <w:t>The Company purchased and retired 37,500 shares of its Common Stock for $384 during the first quarter of 2001. These purchases were part of the Company's stock repurchase program, approved in fiscal 1998, which allows the Company to repurchase up to $40,000 in Company stock. Also the Company paid a dividend during the first quarter of 2001 of $2,346.</w:t>
      </w:r>
    </w:p>
    <w:p>
      <w:pPr>
        <w:spacing w:after="0" w:line="178" w:lineRule="exact"/>
        <w:rPr>
          <w:sz w:val="20"/>
          <w:szCs w:val="20"/>
          <w:color w:val="auto"/>
        </w:rPr>
      </w:pPr>
    </w:p>
    <w:p>
      <w:pPr>
        <w:ind w:left="10" w:right="3359"/>
        <w:spacing w:after="0" w:line="238" w:lineRule="auto"/>
        <w:rPr>
          <w:sz w:val="20"/>
          <w:szCs w:val="20"/>
          <w:color w:val="auto"/>
        </w:rPr>
      </w:pPr>
      <w:r>
        <w:rPr>
          <w:rFonts w:ascii="Courier New" w:cs="Courier New" w:eastAsia="Courier New" w:hAnsi="Courier New"/>
          <w:sz w:val="15"/>
          <w:szCs w:val="15"/>
          <w:color w:val="auto"/>
        </w:rPr>
        <w:t>The current ratio as of February 24, 2001, and November 25, 2000, respectively, was 3.47 to 1 and 3.27 to 1. Working capital at February 24, 2001, was $91,997 compared to $94,982 at November 25, 2000. The Company's consolidated financial statements are prepared on the basis of historical cost and are not intended to show the impact of inflation or changing prices. Neither inflation nor changing prices have had a material effect on the Company's consolidated financial position and results of operations in prior years.</w:t>
      </w:r>
    </w:p>
    <w:p>
      <w:pPr>
        <w:spacing w:after="0" w:line="172"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Market Risk:</w:t>
      </w:r>
    </w:p>
    <w:p>
      <w:pPr>
        <w:spacing w:after="0" w:line="175" w:lineRule="exact"/>
        <w:rPr>
          <w:sz w:val="20"/>
          <w:szCs w:val="20"/>
          <w:color w:val="auto"/>
        </w:rPr>
      </w:pPr>
    </w:p>
    <w:p>
      <w:pPr>
        <w:ind w:left="10" w:right="3539"/>
        <w:spacing w:after="0" w:line="258" w:lineRule="auto"/>
        <w:rPr>
          <w:sz w:val="20"/>
          <w:szCs w:val="20"/>
          <w:color w:val="auto"/>
        </w:rPr>
      </w:pPr>
      <w:r>
        <w:rPr>
          <w:rFonts w:ascii="Courier New" w:cs="Courier New" w:eastAsia="Courier New" w:hAnsi="Courier New"/>
          <w:sz w:val="14"/>
          <w:szCs w:val="14"/>
          <w:color w:val="auto"/>
        </w:rPr>
        <w:t>The Company is exposed to market risk for changes in market prices of its various types of investments. The Company's investments include equity securities, a financial instrument entered into in order to hedge its equity securities, and an investment partnership included in its investments in affiliated companies. The Company does not use these securities for trading purposes and is not party to any leveraged derivatives.</w:t>
      </w:r>
    </w:p>
    <w:p>
      <w:pPr>
        <w:spacing w:after="0" w:line="164" w:lineRule="exact"/>
        <w:rPr>
          <w:sz w:val="20"/>
          <w:szCs w:val="20"/>
          <w:color w:val="auto"/>
        </w:rPr>
      </w:pPr>
    </w:p>
    <w:p>
      <w:pPr>
        <w:ind w:left="10" w:right="3179"/>
        <w:spacing w:after="0" w:line="257" w:lineRule="auto"/>
        <w:rPr>
          <w:sz w:val="20"/>
          <w:szCs w:val="20"/>
          <w:color w:val="auto"/>
        </w:rPr>
      </w:pPr>
      <w:r>
        <w:rPr>
          <w:rFonts w:ascii="Courier New" w:cs="Courier New" w:eastAsia="Courier New" w:hAnsi="Courier New"/>
          <w:sz w:val="14"/>
          <w:szCs w:val="14"/>
          <w:color w:val="auto"/>
        </w:rPr>
        <w:t>The Company's equity securities portfolio, which totaled $14,115 at February 24, 2001, is diversified among over twenty different medium to large capitalization interests. The Company entered into an equity collar in 1999 to reduce its exposure to fluctuations in the market value of these securities. In the first quarter of 2000, management decided to liquidate this financial instrument and enter into a new financial instrument that more clearly correlates to its equity portfolio. The new financial instrument had a notional value of approximately $10,100 and expired quarterly in varying amounts. This financial instrument was terminated in March of 2001 at a cost of $150. Although there are no maturity dates for the Company's equity investments, management has plans to liquidate its current equity portfolio on a scheduled basis over the next four years.</w:t>
      </w:r>
    </w:p>
    <w:p>
      <w:pPr>
        <w:spacing w:after="0" w:line="166" w:lineRule="exact"/>
        <w:rPr>
          <w:sz w:val="20"/>
          <w:szCs w:val="20"/>
          <w:color w:val="auto"/>
        </w:rPr>
      </w:pPr>
    </w:p>
    <w:p>
      <w:pPr>
        <w:ind w:left="10" w:right="3619"/>
        <w:spacing w:after="0" w:line="238" w:lineRule="auto"/>
        <w:rPr>
          <w:sz w:val="20"/>
          <w:szCs w:val="20"/>
          <w:color w:val="auto"/>
        </w:rPr>
      </w:pPr>
      <w:r>
        <w:rPr>
          <w:rFonts w:ascii="Courier New" w:cs="Courier New" w:eastAsia="Courier New" w:hAnsi="Courier New"/>
          <w:sz w:val="15"/>
          <w:szCs w:val="15"/>
          <w:color w:val="auto"/>
        </w:rPr>
        <w:t>The Company's investment in a limited partnership, which totaled $59,069 at February 24, 2001, invests in various other private limited partnerships, which contain contractual commitments with elements of market risk. These contractual commitments, which include fixed-income securities and derivatives, may involve future settlements, which give rise to both market and credit risk. The investment partnership's exposure to market risk is determined by a number of factors, including the size, composition, and diversification of positions held, volatility of interest, market currency rates, and liquidity.</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Safe-harbor, forward-looking statements:</w:t>
      </w:r>
    </w:p>
    <w:p>
      <w:pPr>
        <w:spacing w:after="0" w:line="175" w:lineRule="exact"/>
        <w:rPr>
          <w:sz w:val="20"/>
          <w:szCs w:val="20"/>
          <w:color w:val="auto"/>
        </w:rPr>
      </w:pPr>
    </w:p>
    <w:p>
      <w:pPr>
        <w:ind w:left="10" w:right="3359"/>
        <w:spacing w:after="0" w:line="238" w:lineRule="auto"/>
        <w:rPr>
          <w:sz w:val="20"/>
          <w:szCs w:val="20"/>
          <w:color w:val="auto"/>
        </w:rPr>
      </w:pPr>
      <w:r>
        <w:rPr>
          <w:rFonts w:ascii="Courier New" w:cs="Courier New" w:eastAsia="Courier New" w:hAnsi="Courier New"/>
          <w:sz w:val="15"/>
          <w:szCs w:val="15"/>
          <w:color w:val="auto"/>
        </w:rPr>
        <w:t>This discussion contains certain forward-looking statements within the meaning of the Private Securities Litigation Reform Act of 1995 with respect to the financial condition, results of operations and business of Bassett Furniture Industries, Incorporated and subsidiaries. These forward-looking statements involve certain risks and uncertainties. No assurance can be given that any such matters will be realized. Important factors that could cause actual results to differ materially from those contemplated by such forward-looking statements include:</w:t>
      </w:r>
    </w:p>
    <w:p>
      <w:pPr>
        <w:spacing w:after="0" w:line="172" w:lineRule="exact"/>
        <w:rPr>
          <w:sz w:val="20"/>
          <w:szCs w:val="20"/>
          <w:color w:val="auto"/>
        </w:rPr>
      </w:pPr>
    </w:p>
    <w:p>
      <w:pPr>
        <w:ind w:left="170" w:hanging="170"/>
        <w:spacing w:after="0"/>
        <w:tabs>
          <w:tab w:leader="none" w:pos="17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competitive conditions in the home furnishings industry</w:t>
      </w:r>
    </w:p>
    <w:p>
      <w:pPr>
        <w:spacing w:after="0" w:line="169"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general economic conditions that are less favorable than expected</w:t>
      </w:r>
    </w:p>
    <w:p>
      <w:pPr>
        <w:spacing w:after="0" w:line="169"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overall consumer demand for home furnishings</w:t>
      </w:r>
    </w:p>
    <w:p>
      <w:pPr>
        <w:spacing w:after="0" w:line="169"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timing and number of new BFD openings and closings</w:t>
      </w:r>
    </w:p>
    <w:p>
      <w:pPr>
        <w:spacing w:after="0" w:line="169"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not fully realizing cost reductions through restructurings</w:t>
      </w:r>
    </w:p>
    <w:p>
      <w:pPr>
        <w:spacing w:after="0" w:line="169"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cost and availability of raw materials and labor</w:t>
      </w:r>
    </w:p>
    <w:p>
      <w:pPr>
        <w:spacing w:after="0" w:line="169"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effectiveness of marketing and advertising campaigns</w:t>
      </w:r>
    </w:p>
    <w:p>
      <w:pPr>
        <w:spacing w:after="0" w:line="174" w:lineRule="exact"/>
        <w:rPr>
          <w:rFonts w:ascii="Courier New" w:cs="Courier New" w:eastAsia="Courier New" w:hAnsi="Courier New"/>
          <w:sz w:val="15"/>
          <w:szCs w:val="15"/>
          <w:color w:val="auto"/>
        </w:rPr>
      </w:pPr>
    </w:p>
    <w:p>
      <w:pPr>
        <w:ind w:left="790" w:right="3359" w:hanging="790"/>
        <w:spacing w:after="0" w:line="235" w:lineRule="auto"/>
        <w:tabs>
          <w:tab w:leader="none" w:pos="173"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-future tax legislation, or regulatory or judicial positions related to COLI</w:t>
      </w:r>
    </w:p>
    <w:p>
      <w:pPr>
        <w:spacing w:after="0" w:line="170" w:lineRule="exact"/>
        <w:rPr>
          <w:sz w:val="20"/>
          <w:szCs w:val="20"/>
          <w:color w:val="auto"/>
        </w:rPr>
      </w:pPr>
    </w:p>
    <w:p>
      <w:pPr>
        <w:ind w:left="3090"/>
        <w:spacing w:after="0"/>
        <w:rPr>
          <w:sz w:val="20"/>
          <w:szCs w:val="20"/>
          <w:color w:val="auto"/>
        </w:rPr>
      </w:pPr>
      <w:r>
        <w:rPr>
          <w:rFonts w:ascii="Courier New" w:cs="Courier New" w:eastAsia="Courier New" w:hAnsi="Courier New"/>
          <w:sz w:val="15"/>
          <w:szCs w:val="15"/>
          <w:color w:val="auto"/>
        </w:rPr>
        <w:t>11 of 13</w:t>
      </w:r>
    </w:p>
    <w:p>
      <w:pPr>
        <w:sectPr>
          <w:pgSz w:w="11900" w:h="16838" w:orient="portrait"/>
          <w:cols w:equalWidth="0" w:num="1">
            <w:col w:w="10229"/>
          </w:cols>
          <w:pgMar w:left="230" w:top="283" w:right="1440" w:bottom="1440" w:gutter="0" w:footer="0" w:header="0"/>
        </w:sectPr>
      </w:pPr>
    </w:p>
    <w:bookmarkStart w:id="11" w:name="page12"/>
    <w:bookmarkEnd w:id="11"/>
    <w:p>
      <w:pPr>
        <w:ind w:left="270"/>
        <w:spacing w:after="0"/>
        <w:rPr>
          <w:sz w:val="20"/>
          <w:szCs w:val="20"/>
          <w:color w:val="auto"/>
        </w:rPr>
      </w:pPr>
      <w:r>
        <w:rPr>
          <w:rFonts w:ascii="Courier New" w:cs="Courier New" w:eastAsia="Courier New" w:hAnsi="Courier New"/>
          <w:sz w:val="15"/>
          <w:szCs w:val="15"/>
          <w:color w:val="auto"/>
        </w:rPr>
        <w:t>12</w:t>
      </w:r>
    </w:p>
    <w:p>
      <w:pPr>
        <w:spacing w:after="0" w:line="339" w:lineRule="exact"/>
        <w:rPr>
          <w:sz w:val="20"/>
          <w:szCs w:val="20"/>
          <w:color w:val="auto"/>
        </w:rPr>
      </w:pPr>
    </w:p>
    <w:p>
      <w:pPr>
        <w:jc w:val="center"/>
        <w:ind w:right="3430"/>
        <w:spacing w:after="0"/>
        <w:rPr>
          <w:sz w:val="20"/>
          <w:szCs w:val="20"/>
          <w:color w:val="auto"/>
        </w:rPr>
      </w:pPr>
      <w:r>
        <w:rPr>
          <w:rFonts w:ascii="Courier New" w:cs="Courier New" w:eastAsia="Courier New" w:hAnsi="Courier New"/>
          <w:sz w:val="15"/>
          <w:szCs w:val="15"/>
          <w:color w:val="auto"/>
        </w:rPr>
        <w:t>PART II - OTHER INFORMATION</w:t>
      </w:r>
    </w:p>
    <w:p>
      <w:pPr>
        <w:jc w:val="center"/>
        <w:ind w:right="3350"/>
        <w:spacing w:after="0"/>
        <w:rPr>
          <w:sz w:val="20"/>
          <w:szCs w:val="20"/>
          <w:color w:val="auto"/>
        </w:rPr>
      </w:pPr>
      <w:r>
        <w:rPr>
          <w:rFonts w:ascii="Courier New" w:cs="Courier New" w:eastAsia="Courier New" w:hAnsi="Courier New"/>
          <w:sz w:val="15"/>
          <w:szCs w:val="15"/>
          <w:color w:val="auto"/>
        </w:rPr>
        <w:t>BASSETT FURNITURE INDUSTRIES INC. AND SUBSIDIARIES</w:t>
      </w:r>
    </w:p>
    <w:p>
      <w:pPr>
        <w:jc w:val="center"/>
        <w:ind w:right="3430"/>
        <w:spacing w:after="0"/>
        <w:rPr>
          <w:sz w:val="20"/>
          <w:szCs w:val="20"/>
          <w:color w:val="auto"/>
        </w:rPr>
      </w:pPr>
      <w:r>
        <w:rPr>
          <w:rFonts w:ascii="Courier New" w:cs="Courier New" w:eastAsia="Courier New" w:hAnsi="Courier New"/>
          <w:sz w:val="15"/>
          <w:szCs w:val="15"/>
          <w:color w:val="auto"/>
        </w:rPr>
        <w:t>FEBRUARY 24, 2001</w:t>
      </w:r>
    </w:p>
    <w:p>
      <w:pPr>
        <w:spacing w:after="0" w:line="338" w:lineRule="exact"/>
        <w:rPr>
          <w:sz w:val="20"/>
          <w:szCs w:val="20"/>
          <w:color w:val="auto"/>
        </w:rPr>
      </w:pPr>
    </w:p>
    <w:p>
      <w:pPr>
        <w:ind w:left="10"/>
        <w:spacing w:after="0"/>
        <w:tabs>
          <w:tab w:leader="none" w:pos="769"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5" w:lineRule="exact"/>
        <w:rPr>
          <w:sz w:val="20"/>
          <w:szCs w:val="20"/>
          <w:color w:val="auto"/>
        </w:rPr>
      </w:pPr>
    </w:p>
    <w:p>
      <w:pPr>
        <w:ind w:left="10" w:right="3439"/>
        <w:spacing w:after="0" w:line="237" w:lineRule="auto"/>
        <w:rPr>
          <w:sz w:val="20"/>
          <w:szCs w:val="20"/>
          <w:color w:val="auto"/>
        </w:rPr>
      </w:pPr>
      <w:r>
        <w:rPr>
          <w:rFonts w:ascii="Courier New" w:cs="Courier New" w:eastAsia="Courier New" w:hAnsi="Courier New"/>
          <w:sz w:val="15"/>
          <w:szCs w:val="15"/>
          <w:color w:val="auto"/>
        </w:rPr>
        <w:t>The stockholders were asked to vote on two proposals at the Annual Meeting of Stockholders held on March 27, 2001; (1) election of nine directors, (2) ratification of selection of Arthur Andersen LLP as independent public accountants.</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The results of the votes by the stockholders were as follows:</w:t>
      </w:r>
    </w:p>
    <w:p>
      <w:pPr>
        <w:spacing w:after="0" w:line="169" w:lineRule="exact"/>
        <w:rPr>
          <w:sz w:val="20"/>
          <w:szCs w:val="20"/>
          <w:color w:val="auto"/>
        </w:rPr>
      </w:pPr>
    </w:p>
    <w:p>
      <w:pPr>
        <w:ind w:left="10"/>
        <w:spacing w:after="0"/>
        <w:tabs>
          <w:tab w:leader="none" w:pos="769" w:val="left"/>
        </w:tabs>
        <w:rPr>
          <w:sz w:val="20"/>
          <w:szCs w:val="20"/>
          <w:color w:val="auto"/>
        </w:rPr>
      </w:pPr>
      <w:r>
        <w:rPr>
          <w:rFonts w:ascii="Courier New" w:cs="Courier New" w:eastAsia="Courier New" w:hAnsi="Courier New"/>
          <w:sz w:val="15"/>
          <w:szCs w:val="15"/>
          <w:color w:val="auto"/>
        </w:rPr>
        <w:t>(1)</w:t>
      </w:r>
      <w:r>
        <w:rPr>
          <w:sz w:val="20"/>
          <w:szCs w:val="20"/>
          <w:color w:val="auto"/>
        </w:rPr>
        <w:tab/>
      </w:r>
      <w:r>
        <w:rPr>
          <w:rFonts w:ascii="Courier New" w:cs="Courier New" w:eastAsia="Courier New" w:hAnsi="Courier New"/>
          <w:sz w:val="15"/>
          <w:szCs w:val="15"/>
          <w:color w:val="auto"/>
        </w:rPr>
        <w:t>Election of Directors:</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20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Voted For</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Withheld</w:t>
            </w:r>
          </w:p>
        </w:tc>
      </w:tr>
      <w:tr>
        <w:trPr>
          <w:trHeight w:val="170"/>
        </w:trPr>
        <w:tc>
          <w:tcPr>
            <w:tcW w:w="2380" w:type="dxa"/>
            <w:vAlign w:val="bottom"/>
          </w:tcPr>
          <w:p>
            <w:pPr>
              <w:spacing w:after="0"/>
              <w:rPr>
                <w:sz w:val="14"/>
                <w:szCs w:val="14"/>
                <w:color w:val="auto"/>
              </w:rPr>
            </w:pPr>
          </w:p>
        </w:tc>
        <w:tc>
          <w:tcPr>
            <w:tcW w:w="2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380" w:type="dxa"/>
            <w:vAlign w:val="bottom"/>
          </w:tcPr>
          <w:p>
            <w:pPr>
              <w:spacing w:after="0"/>
              <w:rPr>
                <w:sz w:val="20"/>
                <w:szCs w:val="20"/>
                <w:color w:val="auto"/>
              </w:rPr>
            </w:pPr>
            <w:r>
              <w:rPr>
                <w:rFonts w:ascii="Courier New" w:cs="Courier New" w:eastAsia="Courier New" w:hAnsi="Courier New"/>
                <w:sz w:val="15"/>
                <w:szCs w:val="15"/>
                <w:color w:val="auto"/>
              </w:rPr>
              <w:t>Paul Fulton</w:t>
            </w:r>
          </w:p>
        </w:tc>
        <w:tc>
          <w:tcPr>
            <w:tcW w:w="2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10,207,920</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330,557</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Amy W. Brinkley</w:t>
            </w:r>
          </w:p>
        </w:tc>
        <w:tc>
          <w:tcPr>
            <w:tcW w:w="2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10,308,058</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230,439</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Peter W. Brown M.D.</w:t>
            </w:r>
          </w:p>
        </w:tc>
        <w:tc>
          <w:tcPr>
            <w:tcW w:w="2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10,297,398</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241,099</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Willie D. Davis</w:t>
            </w:r>
          </w:p>
        </w:tc>
        <w:tc>
          <w:tcPr>
            <w:tcW w:w="2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10,280,858</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257,639</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Alan T. Dickson</w:t>
            </w:r>
          </w:p>
        </w:tc>
        <w:tc>
          <w:tcPr>
            <w:tcW w:w="2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10,287,400</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251,097</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Howard H. Haworth</w:t>
            </w:r>
          </w:p>
        </w:tc>
        <w:tc>
          <w:tcPr>
            <w:tcW w:w="2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10,287,258</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251,239</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Michael E. Murphy</w:t>
            </w:r>
          </w:p>
        </w:tc>
        <w:tc>
          <w:tcPr>
            <w:tcW w:w="2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10,280,554</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257,943</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Robert H. Spilman Jr.</w:t>
            </w:r>
          </w:p>
        </w:tc>
        <w:tc>
          <w:tcPr>
            <w:tcW w:w="2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10,288,617</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249,880</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David A. Stonecipher</w:t>
            </w:r>
          </w:p>
        </w:tc>
        <w:tc>
          <w:tcPr>
            <w:tcW w:w="2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10,287,899</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250,598</w:t>
            </w:r>
          </w:p>
        </w:tc>
      </w:tr>
    </w:tbl>
    <w:p>
      <w:pPr>
        <w:spacing w:after="0" w:line="344" w:lineRule="exact"/>
        <w:rPr>
          <w:sz w:val="20"/>
          <w:szCs w:val="20"/>
          <w:color w:val="auto"/>
        </w:rPr>
      </w:pPr>
    </w:p>
    <w:p>
      <w:pPr>
        <w:ind w:left="790" w:right="3259" w:hanging="790"/>
        <w:spacing w:after="0" w:line="237" w:lineRule="auto"/>
        <w:tabs>
          <w:tab w:leader="none" w:pos="79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Ratification of Arthur Andersen LLP as independent public accountants: Voted for - 10,449,054; against - 79,932; abstained and broker non votes - 9,511</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6.</w:t>
      </w:r>
    </w:p>
    <w:p>
      <w:pPr>
        <w:spacing w:after="0" w:line="169" w:lineRule="exact"/>
        <w:rPr>
          <w:sz w:val="20"/>
          <w:szCs w:val="20"/>
          <w:color w:val="auto"/>
        </w:rPr>
      </w:pPr>
    </w:p>
    <w:p>
      <w:pPr>
        <w:ind w:left="10"/>
        <w:spacing w:after="0"/>
        <w:tabs>
          <w:tab w:leader="none" w:pos="329" w:val="left"/>
          <w:tab w:leader="none" w:pos="1309" w:val="left"/>
        </w:tabs>
        <w:rPr>
          <w:sz w:val="20"/>
          <w:szCs w:val="20"/>
          <w:color w:val="auto"/>
        </w:rPr>
      </w:pPr>
      <w:r>
        <w:rPr>
          <w:rFonts w:ascii="Courier New" w:cs="Courier New" w:eastAsia="Courier New" w:hAnsi="Courier New"/>
          <w:sz w:val="15"/>
          <w:szCs w:val="15"/>
          <w:color w:val="auto"/>
        </w:rPr>
        <w:t>a.</w:t>
        <w:tab/>
        <w:t>Exhibits:</w:t>
      </w:r>
      <w:r>
        <w:rPr>
          <w:sz w:val="20"/>
          <w:szCs w:val="20"/>
          <w:color w:val="auto"/>
        </w:rPr>
        <w:tab/>
      </w:r>
      <w:r>
        <w:rPr>
          <w:rFonts w:ascii="Courier New" w:cs="Courier New" w:eastAsia="Courier New" w:hAnsi="Courier New"/>
          <w:sz w:val="14"/>
          <w:szCs w:val="14"/>
          <w:color w:val="auto"/>
        </w:rPr>
        <w:t>None</w:t>
      </w:r>
    </w:p>
    <w:p>
      <w:pPr>
        <w:spacing w:after="0" w:line="169" w:lineRule="exact"/>
        <w:rPr>
          <w:sz w:val="20"/>
          <w:szCs w:val="20"/>
          <w:color w:val="auto"/>
        </w:rPr>
      </w:pPr>
    </w:p>
    <w:p>
      <w:pPr>
        <w:ind w:left="350" w:hanging="350"/>
        <w:spacing w:after="0"/>
        <w:tabs>
          <w:tab w:leader="none" w:pos="35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ind w:left="10"/>
        <w:spacing w:after="0"/>
        <w:rPr>
          <w:sz w:val="20"/>
          <w:szCs w:val="20"/>
          <w:color w:val="auto"/>
        </w:rPr>
      </w:pPr>
      <w:r>
        <w:rPr>
          <w:rFonts w:ascii="Courier New" w:cs="Courier New" w:eastAsia="Courier New" w:hAnsi="Courier New"/>
          <w:sz w:val="15"/>
          <w:szCs w:val="15"/>
          <w:color w:val="auto"/>
        </w:rPr>
        <w:t>No Form 8-K reports were filed during the quarter</w:t>
      </w:r>
    </w:p>
    <w:p>
      <w:pPr>
        <w:spacing w:after="0" w:line="169" w:lineRule="exact"/>
        <w:rPr>
          <w:sz w:val="20"/>
          <w:szCs w:val="20"/>
          <w:color w:val="auto"/>
        </w:rPr>
      </w:pPr>
    </w:p>
    <w:p>
      <w:pPr>
        <w:ind w:left="3090"/>
        <w:spacing w:after="0"/>
        <w:rPr>
          <w:sz w:val="20"/>
          <w:szCs w:val="20"/>
          <w:color w:val="auto"/>
        </w:rPr>
      </w:pPr>
      <w:r>
        <w:rPr>
          <w:rFonts w:ascii="Courier New" w:cs="Courier New" w:eastAsia="Courier New" w:hAnsi="Courier New"/>
          <w:sz w:val="15"/>
          <w:szCs w:val="15"/>
          <w:color w:val="auto"/>
        </w:rPr>
        <w:t>12 of 13</w:t>
      </w:r>
    </w:p>
    <w:p>
      <w:pPr>
        <w:sectPr>
          <w:pgSz w:w="11900" w:h="16838" w:orient="portrait"/>
          <w:cols w:equalWidth="0" w:num="1">
            <w:col w:w="10229"/>
          </w:cols>
          <w:pgMar w:left="230" w:top="283" w:right="1440" w:bottom="1440" w:gutter="0" w:footer="0" w:header="0"/>
        </w:sectPr>
      </w:pPr>
    </w:p>
    <w:bookmarkStart w:id="12" w:name="page13"/>
    <w:bookmarkEnd w:id="12"/>
    <w:p>
      <w:pPr>
        <w:ind w:left="270"/>
        <w:spacing w:after="0"/>
        <w:rPr>
          <w:sz w:val="20"/>
          <w:szCs w:val="20"/>
          <w:color w:val="auto"/>
        </w:rPr>
      </w:pPr>
      <w:r>
        <w:rPr>
          <w:rFonts w:ascii="Courier New" w:cs="Courier New" w:eastAsia="Courier New" w:hAnsi="Courier New"/>
          <w:sz w:val="15"/>
          <w:szCs w:val="15"/>
          <w:color w:val="auto"/>
        </w:rPr>
        <w:t>13</w:t>
      </w:r>
    </w:p>
    <w:p>
      <w:pPr>
        <w:spacing w:after="0" w:line="339" w:lineRule="exact"/>
        <w:rPr>
          <w:sz w:val="20"/>
          <w:szCs w:val="20"/>
          <w:color w:val="auto"/>
        </w:rPr>
      </w:pPr>
    </w:p>
    <w:p>
      <w:pPr>
        <w:ind w:left="2990"/>
        <w:spacing w:after="0"/>
        <w:rPr>
          <w:sz w:val="20"/>
          <w:szCs w:val="20"/>
          <w:color w:val="auto"/>
        </w:rPr>
      </w:pPr>
      <w:r>
        <w:rPr>
          <w:rFonts w:ascii="Courier New" w:cs="Courier New" w:eastAsia="Courier New" w:hAnsi="Courier New"/>
          <w:sz w:val="15"/>
          <w:szCs w:val="15"/>
          <w:color w:val="auto"/>
        </w:rPr>
        <w:t>SIGNATURES</w:t>
      </w:r>
    </w:p>
    <w:p>
      <w:pPr>
        <w:spacing w:after="0" w:line="344" w:lineRule="exact"/>
        <w:rPr>
          <w:sz w:val="20"/>
          <w:szCs w:val="20"/>
          <w:color w:val="auto"/>
        </w:rPr>
      </w:pPr>
    </w:p>
    <w:p>
      <w:pPr>
        <w:jc w:val="both"/>
        <w:ind w:left="10" w:right="3879"/>
        <w:spacing w:after="0" w:line="237"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0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BASSETT FURNITURE INDUSTRIES, INCORPORATED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BARRY C. SAFRIT</w:t>
      </w:r>
    </w:p>
    <w:p>
      <w:pPr>
        <w:ind w:left="170" w:hanging="170"/>
        <w:spacing w:after="0"/>
        <w:tabs>
          <w:tab w:leader="none" w:pos="17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Barry C. Safrit, Vice President, Chief Financial Officer</w:t>
      </w:r>
    </w:p>
    <w:p>
      <w:pPr>
        <w:spacing w:after="0" w:line="33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April 10, 2001</w:t>
      </w:r>
    </w:p>
    <w:p>
      <w:pPr>
        <w:spacing w:after="0" w:line="339" w:lineRule="exact"/>
        <w:rPr>
          <w:sz w:val="20"/>
          <w:szCs w:val="20"/>
          <w:color w:val="auto"/>
        </w:rPr>
      </w:pPr>
    </w:p>
    <w:p>
      <w:pPr>
        <w:ind w:left="3090"/>
        <w:spacing w:after="0"/>
        <w:rPr>
          <w:sz w:val="20"/>
          <w:szCs w:val="20"/>
          <w:color w:val="auto"/>
        </w:rPr>
      </w:pPr>
      <w:r>
        <w:rPr>
          <w:rFonts w:ascii="Courier New" w:cs="Courier New" w:eastAsia="Courier New" w:hAnsi="Courier New"/>
          <w:sz w:val="15"/>
          <w:szCs w:val="15"/>
          <w:color w:val="auto"/>
        </w:rPr>
        <w:t>13 of 13</w:t>
      </w:r>
    </w:p>
    <w:sectPr>
      <w:pgSz w:w="11900" w:h="16838" w:orient="portrait"/>
      <w:cols w:equalWidth="0" w:num="1">
        <w:col w:w="10229"/>
      </w:cols>
      <w:pgMar w:left="230" w:top="28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2"/>
    </w:lvl>
  </w:abstractNum>
  <w:abstractNum w:abstractNumId="4">
    <w:nsid w:val="3D1B58BA"/>
    <w:multiLevelType w:val="hybridMultilevel"/>
    <w:lvl w:ilvl="0">
      <w:lvlJc w:val="left"/>
      <w:lvlText w:val="%1."/>
      <w:numFmt w:val="lowerLetter"/>
      <w:start w:val="2"/>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2019-12-12T08:43:56Z</dcterms:created>
  <dcterms:modified xsi:type="dcterms:W3CDTF">2019-12-12T08:43:56Z</dcterms:modified>
</cp:coreProperties>
</file>