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217805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142240</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392"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161290</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4"/>
          <w:szCs w:val="24"/>
          <w:color w:val="auto"/>
        </w:rPr>
      </w:pPr>
    </w:p>
    <w:p>
      <w:pPr>
        <w:spacing w:after="0" w:line="272"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SECTION 13 OR 15(d) OF THE</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SECURITIES EXCHANGE ACT OF 1934</w:t>
      </w:r>
    </w:p>
    <w:p>
      <w:pPr>
        <w:spacing w:after="0" w:line="20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Date of Report (Date of earliest event reported) June 28,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154940</wp:posOffset>
            </wp:positionV>
            <wp:extent cx="1449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BASSETT FURNITURE INDUSTRIES, INCORPORATED</w:t>
      </w:r>
    </w:p>
    <w:p>
      <w:pPr>
        <w:spacing w:after="0" w:line="4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142240</wp:posOffset>
            </wp:positionV>
            <wp:extent cx="1449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ectPr>
          <w:pgSz w:w="11900" w:h="16838" w:orient="portrait"/>
          <w:cols w:equalWidth="0" w:num="1">
            <w:col w:w="11300"/>
          </w:cols>
          <w:pgMar w:left="240" w:top="585" w:right="359" w:bottom="1440" w:gutter="0" w:footer="0" w:header="0"/>
        </w:sectPr>
      </w:pPr>
    </w:p>
    <w:p>
      <w:pPr>
        <w:spacing w:after="0" w:line="200" w:lineRule="exact"/>
        <w:rPr>
          <w:sz w:val="24"/>
          <w:szCs w:val="24"/>
          <w:color w:val="auto"/>
        </w:rPr>
      </w:pPr>
    </w:p>
    <w:p>
      <w:pPr>
        <w:spacing w:after="0" w:line="262" w:lineRule="exact"/>
        <w:rPr>
          <w:sz w:val="24"/>
          <w:szCs w:val="24"/>
          <w:color w:val="auto"/>
        </w:rPr>
      </w:pPr>
    </w:p>
    <w:p>
      <w:pPr>
        <w:ind w:left="1460"/>
        <w:spacing w:after="0"/>
        <w:rPr>
          <w:sz w:val="20"/>
          <w:szCs w:val="20"/>
          <w:color w:val="auto"/>
        </w:rPr>
      </w:pPr>
      <w:r>
        <w:rPr>
          <w:rFonts w:ascii="Arial" w:cs="Arial" w:eastAsia="Arial" w:hAnsi="Arial"/>
          <w:sz w:val="18"/>
          <w:szCs w:val="18"/>
          <w:b w:val="1"/>
          <w:bCs w:val="1"/>
          <w:color w:val="auto"/>
        </w:rPr>
        <w:t>VIRGINIA</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42" w:lineRule="exact"/>
        <w:rPr>
          <w:sz w:val="24"/>
          <w:szCs w:val="24"/>
          <w:color w:val="auto"/>
        </w:rPr>
      </w:pPr>
    </w:p>
    <w:p>
      <w:pPr>
        <w:jc w:val="center"/>
        <w:ind w:right="2460"/>
        <w:spacing w:after="0"/>
        <w:rPr>
          <w:sz w:val="20"/>
          <w:szCs w:val="20"/>
          <w:color w:val="auto"/>
        </w:rPr>
      </w:pPr>
      <w:r>
        <w:rPr>
          <w:rFonts w:ascii="Arial" w:cs="Arial" w:eastAsia="Arial" w:hAnsi="Arial"/>
          <w:sz w:val="16"/>
          <w:szCs w:val="16"/>
          <w:b w:val="1"/>
          <w:bCs w:val="1"/>
          <w:color w:val="auto"/>
        </w:rPr>
        <w:t>0-209</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42"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54-0135270</w:t>
      </w:r>
    </w:p>
    <w:p>
      <w:pPr>
        <w:spacing w:after="0" w:line="49" w:lineRule="exact"/>
        <w:rPr>
          <w:sz w:val="24"/>
          <w:szCs w:val="24"/>
          <w:color w:val="auto"/>
        </w:rPr>
      </w:pPr>
    </w:p>
    <w:p>
      <w:pPr>
        <w:sectPr>
          <w:pgSz w:w="11900" w:h="16838" w:orient="portrait"/>
          <w:cols w:equalWidth="0" w:num="3">
            <w:col w:w="4840" w:space="720"/>
            <w:col w:w="2880" w:space="720"/>
            <w:col w:w="2140"/>
          </w:cols>
          <w:pgMar w:left="240" w:top="585" w:right="359" w:bottom="1440" w:gutter="0" w:footer="0" w:header="0"/>
          <w:type w:val="continuous"/>
        </w:sectPr>
      </w:pPr>
    </w:p>
    <w:p>
      <w:pPr>
        <w:ind w:left="880"/>
        <w:spacing w:after="0"/>
        <w:rPr>
          <w:sz w:val="20"/>
          <w:szCs w:val="20"/>
          <w:color w:val="auto"/>
        </w:rPr>
      </w:pPr>
      <w:r>
        <w:rPr>
          <w:rFonts w:ascii="Arial" w:cs="Arial" w:eastAsia="Arial" w:hAnsi="Arial"/>
          <w:sz w:val="15"/>
          <w:szCs w:val="15"/>
          <w:b w:val="1"/>
          <w:bCs w:val="1"/>
          <w:color w:val="auto"/>
        </w:rPr>
        <w:t>(State or other jurisdiction of</w:t>
      </w:r>
    </w:p>
    <w:p>
      <w:pPr>
        <w:spacing w:after="0" w:line="24" w:lineRule="exact"/>
        <w:rPr>
          <w:sz w:val="24"/>
          <w:szCs w:val="24"/>
          <w:color w:val="auto"/>
        </w:rPr>
      </w:pPr>
    </w:p>
    <w:p>
      <w:pPr>
        <w:ind w:left="840"/>
        <w:spacing w:after="0"/>
        <w:rPr>
          <w:sz w:val="20"/>
          <w:szCs w:val="20"/>
          <w:color w:val="auto"/>
        </w:rPr>
      </w:pPr>
      <w:r>
        <w:rPr>
          <w:rFonts w:ascii="Arial" w:cs="Arial" w:eastAsia="Arial" w:hAnsi="Arial"/>
          <w:sz w:val="14"/>
          <w:szCs w:val="14"/>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b w:val="1"/>
          <w:bCs w:val="1"/>
          <w:color w:val="auto"/>
        </w:rPr>
        <w:t>(Commission File No.)</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Arial" w:cs="Arial" w:eastAsia="Arial" w:hAnsi="Arial"/>
          <w:sz w:val="15"/>
          <w:szCs w:val="15"/>
          <w:b w:val="1"/>
          <w:bCs w:val="1"/>
          <w:color w:val="auto"/>
        </w:rPr>
        <w:t>(I.R.S. Employer</w:t>
      </w:r>
    </w:p>
    <w:p>
      <w:pPr>
        <w:spacing w:after="0" w:line="24"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Identification No.)</w:t>
      </w:r>
    </w:p>
    <w:p>
      <w:pPr>
        <w:spacing w:after="0" w:line="200" w:lineRule="exact"/>
        <w:rPr>
          <w:sz w:val="24"/>
          <w:szCs w:val="24"/>
          <w:color w:val="auto"/>
        </w:rPr>
      </w:pPr>
    </w:p>
    <w:p>
      <w:pPr>
        <w:sectPr>
          <w:pgSz w:w="11900" w:h="16838" w:orient="portrait"/>
          <w:cols w:equalWidth="0" w:num="3">
            <w:col w:w="4280" w:space="720"/>
            <w:col w:w="3240" w:space="720"/>
            <w:col w:w="2340"/>
          </w:cols>
          <w:pgMar w:left="240" w:top="585" w:right="359" w:bottom="1440" w:gutter="0" w:footer="0" w:header="0"/>
          <w:type w:val="continuous"/>
        </w:sectPr>
      </w:pPr>
    </w:p>
    <w:p>
      <w:pPr>
        <w:spacing w:after="0" w:line="250" w:lineRule="exact"/>
        <w:rPr>
          <w:sz w:val="24"/>
          <w:szCs w:val="24"/>
          <w:color w:val="auto"/>
        </w:rPr>
      </w:pPr>
    </w:p>
    <w:p>
      <w:pPr>
        <w:jc w:val="center"/>
        <w:ind w:right="1900"/>
        <w:spacing w:after="0"/>
        <w:rPr>
          <w:sz w:val="20"/>
          <w:szCs w:val="20"/>
          <w:color w:val="auto"/>
        </w:rPr>
      </w:pPr>
      <w:r>
        <w:rPr>
          <w:rFonts w:ascii="Arial" w:cs="Arial" w:eastAsia="Arial" w:hAnsi="Arial"/>
          <w:sz w:val="17"/>
          <w:szCs w:val="17"/>
          <w:b w:val="1"/>
          <w:bCs w:val="1"/>
          <w:color w:val="auto"/>
        </w:rPr>
        <w:t>3525 FAIRYSTONE PARK HIGHWAY</w:t>
      </w:r>
    </w:p>
    <w:p>
      <w:pPr>
        <w:spacing w:after="0" w:line="39" w:lineRule="exact"/>
        <w:rPr>
          <w:sz w:val="24"/>
          <w:szCs w:val="24"/>
          <w:color w:val="auto"/>
        </w:rPr>
      </w:pPr>
    </w:p>
    <w:p>
      <w:pPr>
        <w:jc w:val="center"/>
        <w:ind w:right="1900"/>
        <w:spacing w:after="0"/>
        <w:rPr>
          <w:sz w:val="20"/>
          <w:szCs w:val="20"/>
          <w:color w:val="auto"/>
        </w:rPr>
      </w:pPr>
      <w:r>
        <w:rPr>
          <w:rFonts w:ascii="Arial" w:cs="Arial" w:eastAsia="Arial" w:hAnsi="Arial"/>
          <w:sz w:val="18"/>
          <w:szCs w:val="18"/>
          <w:b w:val="1"/>
          <w:bCs w:val="1"/>
          <w:color w:val="auto"/>
        </w:rPr>
        <w:t>BASSETT, VIRGINIA</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46"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24055</w:t>
      </w:r>
    </w:p>
    <w:p>
      <w:pPr>
        <w:spacing w:after="0" w:line="50" w:lineRule="exact"/>
        <w:rPr>
          <w:sz w:val="24"/>
          <w:szCs w:val="24"/>
          <w:color w:val="auto"/>
        </w:rPr>
      </w:pPr>
    </w:p>
    <w:p>
      <w:pPr>
        <w:sectPr>
          <w:pgSz w:w="11900" w:h="16838" w:orient="portrait"/>
          <w:cols w:equalWidth="0" w:num="2">
            <w:col w:w="7620" w:space="720"/>
            <w:col w:w="2960"/>
          </w:cols>
          <w:pgMar w:left="240" w:top="585" w:right="359" w:bottom="1440" w:gutter="0" w:footer="0" w:header="0"/>
          <w:type w:val="continuous"/>
        </w:sectPr>
      </w:pPr>
    </w:p>
    <w:p>
      <w:pPr>
        <w:ind w:left="1520"/>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b w:val="1"/>
          <w:bCs w:val="1"/>
          <w:color w:val="auto"/>
        </w:rPr>
        <w:t>(Zip Code)</w:t>
      </w:r>
    </w:p>
    <w:p>
      <w:pPr>
        <w:spacing w:after="0" w:line="200" w:lineRule="exact"/>
        <w:rPr>
          <w:sz w:val="24"/>
          <w:szCs w:val="24"/>
          <w:color w:val="auto"/>
        </w:rPr>
      </w:pPr>
    </w:p>
    <w:p>
      <w:pPr>
        <w:sectPr>
          <w:pgSz w:w="11900" w:h="16838" w:orient="portrait"/>
          <w:cols w:equalWidth="0" w:num="2">
            <w:col w:w="7480" w:space="720"/>
            <w:col w:w="3100"/>
          </w:cols>
          <w:pgMar w:left="240" w:top="585" w:right="359" w:bottom="1440" w:gutter="0" w:footer="0" w:header="0"/>
          <w:type w:val="continuous"/>
        </w:sectPr>
      </w:pPr>
    </w:p>
    <w:p>
      <w:pPr>
        <w:spacing w:after="0" w:line="3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Registrant’s telephone number, including area code (276) 629-6000</w:t>
      </w:r>
    </w:p>
    <w:p>
      <w:pPr>
        <w:spacing w:after="0" w:line="230" w:lineRule="exact"/>
        <w:rPr>
          <w:sz w:val="24"/>
          <w:szCs w:val="24"/>
          <w:color w:val="auto"/>
        </w:rPr>
      </w:pPr>
    </w:p>
    <w:p>
      <w:pPr>
        <w:jc w:val="center"/>
        <w:ind w:right="-119"/>
        <w:spacing w:after="0"/>
        <w:rPr>
          <w:sz w:val="20"/>
          <w:szCs w:val="20"/>
          <w:color w:val="auto"/>
        </w:rPr>
      </w:pPr>
      <w:r>
        <w:rPr>
          <w:rFonts w:ascii="Arial" w:cs="Arial" w:eastAsia="Arial" w:hAnsi="Arial"/>
          <w:sz w:val="16"/>
          <w:szCs w:val="16"/>
          <w:b w:val="1"/>
          <w:bCs w:val="1"/>
          <w:color w:val="auto"/>
        </w:rPr>
        <w:t>(Former name or former address, if changed since last report)</w:t>
      </w:r>
    </w:p>
    <w:p>
      <w:pPr>
        <w:spacing w:after="0" w:line="234"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0"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34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or Rule 12b-2 of the Securities Exchange Act of 1934.</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201930</wp:posOffset>
            </wp:positionV>
            <wp:extent cx="724662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622300</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00"/>
          </w:cols>
          <w:pgMar w:left="240" w:top="585" w:right="3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color w:val="auto"/>
        </w:rPr>
        <w:t>Item 2.02. Results of Operations and Financial Condition.</w:t>
      </w:r>
    </w:p>
    <w:p>
      <w:pPr>
        <w:spacing w:after="0" w:line="252"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On June 28, 2018 Bassett Furniture Industries issued a news release relating to, among other things, the second quarter financial results for the fiscal year ending November 24, 2018. A copy of the news release announcing this information is attached to this report as Exhibit 99.</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Item 9.01. Financial Statements and Exhibits.</w:t>
      </w:r>
    </w:p>
    <w:p>
      <w:pPr>
        <w:spacing w:after="0" w:line="200" w:lineRule="exact"/>
        <w:rPr>
          <w:sz w:val="20"/>
          <w:szCs w:val="20"/>
          <w:color w:val="auto"/>
        </w:rPr>
      </w:pPr>
    </w:p>
    <w:p>
      <w:pPr>
        <w:spacing w:after="0" w:line="241" w:lineRule="exact"/>
        <w:rPr>
          <w:sz w:val="20"/>
          <w:szCs w:val="20"/>
          <w:color w:val="auto"/>
        </w:rPr>
      </w:pPr>
    </w:p>
    <w:p>
      <w:pPr>
        <w:spacing w:after="0"/>
        <w:rPr>
          <w:rFonts w:ascii="Arial" w:cs="Arial" w:eastAsia="Arial" w:hAnsi="Arial"/>
          <w:sz w:val="18"/>
          <w:szCs w:val="18"/>
          <w:color w:val="auto"/>
        </w:rPr>
      </w:pPr>
      <w:r>
        <w:rPr>
          <w:rFonts w:ascii="Arial" w:cs="Arial" w:eastAsia="Arial" w:hAnsi="Arial"/>
          <w:sz w:val="18"/>
          <w:szCs w:val="18"/>
          <w:color w:val="auto"/>
        </w:rPr>
        <w:t xml:space="preserve">Exhibit 99 </w:t>
      </w:r>
      <w:hyperlink w:anchor="page4">
        <w:r>
          <w:rPr>
            <w:rFonts w:ascii="Arial" w:cs="Arial" w:eastAsia="Arial" w:hAnsi="Arial"/>
            <w:sz w:val="18"/>
            <w:szCs w:val="18"/>
            <w:u w:val="single" w:color="auto"/>
            <w:color w:val="0000EE"/>
          </w:rPr>
          <w:t>News release issued by Bassett Furniture Industries, Inc. on June 28, 2018.</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392430</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060"/>
          </w:cols>
          <w:pgMar w:left="240" w:top="611" w:right="599" w:bottom="1440" w:gutter="0" w:footer="0" w:header="0"/>
        </w:sectPr>
      </w:pPr>
    </w:p>
    <w:bookmarkStart w:id="2" w:name="page3"/>
    <w:bookmarkEnd w:id="2"/>
    <w:p>
      <w:pPr>
        <w:jc w:val="center"/>
        <w:ind w:right="-499"/>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520" w:type="dxa"/>
            <w:vAlign w:val="bottom"/>
          </w:tcPr>
          <w:p>
            <w:pPr>
              <w:spacing w:after="0"/>
              <w:rPr>
                <w:sz w:val="18"/>
                <w:szCs w:val="18"/>
                <w:color w:val="auto"/>
              </w:rPr>
            </w:pPr>
          </w:p>
        </w:tc>
        <w:tc>
          <w:tcPr>
            <w:tcW w:w="4340" w:type="dxa"/>
            <w:vAlign w:val="bottom"/>
            <w:gridSpan w:val="2"/>
          </w:tcPr>
          <w:p>
            <w:pPr>
              <w:spacing w:after="0"/>
              <w:rPr>
                <w:sz w:val="20"/>
                <w:szCs w:val="20"/>
                <w:color w:val="auto"/>
              </w:rPr>
            </w:pPr>
            <w:r>
              <w:rPr>
                <w:rFonts w:ascii="Arial" w:cs="Arial" w:eastAsia="Arial" w:hAnsi="Arial"/>
                <w:sz w:val="18"/>
                <w:szCs w:val="18"/>
                <w:color w:val="auto"/>
              </w:rPr>
              <w:t>BASSETT FURNITURE INDUSTRIES,</w:t>
            </w:r>
          </w:p>
        </w:tc>
      </w:tr>
      <w:tr>
        <w:trPr>
          <w:trHeight w:val="230"/>
        </w:trPr>
        <w:tc>
          <w:tcPr>
            <w:tcW w:w="6520" w:type="dxa"/>
            <w:vAlign w:val="bottom"/>
          </w:tcPr>
          <w:p>
            <w:pPr>
              <w:spacing w:after="0"/>
              <w:rPr>
                <w:sz w:val="20"/>
                <w:szCs w:val="20"/>
                <w:color w:val="auto"/>
              </w:rPr>
            </w:pPr>
          </w:p>
        </w:tc>
        <w:tc>
          <w:tcPr>
            <w:tcW w:w="4340" w:type="dxa"/>
            <w:vAlign w:val="bottom"/>
            <w:gridSpan w:val="2"/>
          </w:tcPr>
          <w:p>
            <w:pPr>
              <w:spacing w:after="0"/>
              <w:rPr>
                <w:sz w:val="20"/>
                <w:szCs w:val="20"/>
                <w:color w:val="auto"/>
              </w:rPr>
            </w:pPr>
            <w:r>
              <w:rPr>
                <w:rFonts w:ascii="Arial" w:cs="Arial" w:eastAsia="Arial" w:hAnsi="Arial"/>
                <w:sz w:val="18"/>
                <w:szCs w:val="18"/>
                <w:color w:val="auto"/>
              </w:rPr>
              <w:t>INCORPORATED</w:t>
            </w:r>
          </w:p>
        </w:tc>
      </w:tr>
      <w:tr>
        <w:trPr>
          <w:trHeight w:val="432"/>
        </w:trPr>
        <w:tc>
          <w:tcPr>
            <w:tcW w:w="6520" w:type="dxa"/>
            <w:vAlign w:val="bottom"/>
          </w:tcPr>
          <w:p>
            <w:pPr>
              <w:spacing w:after="0"/>
              <w:rPr>
                <w:sz w:val="20"/>
                <w:szCs w:val="20"/>
                <w:color w:val="auto"/>
              </w:rPr>
            </w:pPr>
            <w:r>
              <w:rPr>
                <w:rFonts w:ascii="Arial" w:cs="Arial" w:eastAsia="Arial" w:hAnsi="Arial"/>
                <w:sz w:val="18"/>
                <w:szCs w:val="18"/>
                <w:color w:val="auto"/>
              </w:rPr>
              <w:t>Date: June 28, 2018</w:t>
            </w:r>
          </w:p>
        </w:tc>
        <w:tc>
          <w:tcPr>
            <w:tcW w:w="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J. Michael Daniel</w:t>
            </w:r>
          </w:p>
        </w:tc>
      </w:tr>
      <w:tr>
        <w:trPr>
          <w:trHeight w:val="195"/>
        </w:trPr>
        <w:tc>
          <w:tcPr>
            <w:tcW w:w="6520" w:type="dxa"/>
            <w:vAlign w:val="bottom"/>
          </w:tcPr>
          <w:p>
            <w:pPr>
              <w:spacing w:after="0"/>
              <w:rPr>
                <w:sz w:val="16"/>
                <w:szCs w:val="16"/>
                <w:color w:val="auto"/>
              </w:rPr>
            </w:pPr>
          </w:p>
        </w:tc>
        <w:tc>
          <w:tcPr>
            <w:tcW w:w="4340" w:type="dxa"/>
            <w:vAlign w:val="bottom"/>
            <w:gridSpan w:val="2"/>
          </w:tcPr>
          <w:p>
            <w:pPr>
              <w:spacing w:after="0" w:line="195" w:lineRule="exact"/>
              <w:rPr>
                <w:sz w:val="20"/>
                <w:szCs w:val="20"/>
                <w:color w:val="auto"/>
              </w:rPr>
            </w:pPr>
            <w:r>
              <w:rPr>
                <w:rFonts w:ascii="Arial" w:cs="Arial" w:eastAsia="Arial" w:hAnsi="Arial"/>
                <w:sz w:val="18"/>
                <w:szCs w:val="18"/>
                <w:color w:val="auto"/>
              </w:rPr>
              <w:t>J. Michael Daniel</w:t>
            </w:r>
          </w:p>
        </w:tc>
      </w:tr>
      <w:tr>
        <w:trPr>
          <w:trHeight w:val="230"/>
        </w:trPr>
        <w:tc>
          <w:tcPr>
            <w:tcW w:w="6520" w:type="dxa"/>
            <w:vAlign w:val="bottom"/>
          </w:tcPr>
          <w:p>
            <w:pPr>
              <w:spacing w:after="0"/>
              <w:rPr>
                <w:sz w:val="20"/>
                <w:szCs w:val="20"/>
                <w:color w:val="auto"/>
              </w:rPr>
            </w:pPr>
          </w:p>
        </w:tc>
        <w:tc>
          <w:tcPr>
            <w:tcW w:w="46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ind w:left="100"/>
              <w:spacing w:after="0"/>
              <w:rPr>
                <w:sz w:val="20"/>
                <w:szCs w:val="20"/>
                <w:color w:val="auto"/>
              </w:rPr>
            </w:pPr>
            <w:r>
              <w:rPr>
                <w:rFonts w:ascii="Arial" w:cs="Arial" w:eastAsia="Arial" w:hAnsi="Arial"/>
                <w:sz w:val="18"/>
                <w:szCs w:val="18"/>
                <w:color w:val="auto"/>
              </w:rPr>
              <w:t>Senior Vice President – Chief Financial Officer</w:t>
            </w:r>
          </w:p>
        </w:tc>
      </w:tr>
    </w:tbl>
    <w:p>
      <w:pPr>
        <w:sectPr>
          <w:pgSz w:w="11900" w:h="16838" w:orient="portrait"/>
          <w:cols w:equalWidth="0" w:num="1">
            <w:col w:w="10940"/>
          </w:cols>
          <w:pgMar w:left="240" w:top="584" w:right="719" w:bottom="1440" w:gutter="0" w:footer="0" w:header="0"/>
        </w:sectPr>
      </w:pPr>
    </w:p>
    <w:bookmarkStart w:id="3" w:name="page4"/>
    <w:bookmarkEnd w:id="3"/>
    <w:p>
      <w:pPr>
        <w:spacing w:after="0"/>
        <w:rPr>
          <w:sz w:val="20"/>
          <w:szCs w:val="20"/>
          <w:color w:val="auto"/>
        </w:rPr>
      </w:pPr>
      <w:r>
        <w:rPr>
          <w:rFonts w:ascii="Arial" w:cs="Arial" w:eastAsia="Arial" w:hAnsi="Arial"/>
          <w:sz w:val="16"/>
          <w:szCs w:val="16"/>
          <w:b w:val="1"/>
          <w:bCs w:val="1"/>
          <w:color w:val="auto"/>
        </w:rPr>
        <w:t>Exhibit 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1286510" cy="4889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6510" cy="48895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color w:val="auto"/>
        </w:rPr>
        <w:t>Bassett Furniture Industries, Inc.</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P.O. Box 626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Bassett, VA 24055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 Michael Daniel</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Senior Vice President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(276) 629-6614 – Investors</w:t>
      </w:r>
    </w:p>
    <w:p>
      <w:pPr>
        <w:spacing w:after="0" w:line="200" w:lineRule="exact"/>
        <w:rPr>
          <w:sz w:val="20"/>
          <w:szCs w:val="20"/>
          <w:color w:val="auto"/>
        </w:rPr>
      </w:pPr>
    </w:p>
    <w:p>
      <w:pPr>
        <w:sectPr>
          <w:pgSz w:w="11900" w:h="16838" w:orient="portrait"/>
          <w:cols w:equalWidth="0" w:num="2">
            <w:col w:w="7560" w:space="720"/>
            <w:col w:w="3140"/>
          </w:cols>
          <w:pgMar w:left="240" w:top="337" w:right="239" w:bottom="1440" w:gutter="0" w:footer="0" w:header="0"/>
          <w:type w:val="continuous"/>
        </w:sect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6"/>
          <w:szCs w:val="16"/>
          <w:color w:val="auto"/>
        </w:rPr>
        <w:t>For Immediate Release</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Peter D. Morrison</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Vice President of Communications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(276) 629-6450 – Media</w:t>
      </w:r>
    </w:p>
    <w:p>
      <w:pPr>
        <w:spacing w:after="0" w:line="200" w:lineRule="exact"/>
        <w:rPr>
          <w:sz w:val="20"/>
          <w:szCs w:val="20"/>
          <w:color w:val="auto"/>
        </w:rPr>
      </w:pPr>
    </w:p>
    <w:p>
      <w:pPr>
        <w:sectPr>
          <w:pgSz w:w="11900" w:h="16838" w:orient="portrait"/>
          <w:cols w:equalWidth="0" w:num="2">
            <w:col w:w="7560" w:space="720"/>
            <w:col w:w="3140"/>
          </w:cols>
          <w:pgMar w:left="240" w:top="337" w:right="239" w:bottom="1440" w:gutter="0" w:footer="0" w:header="0"/>
          <w:type w:val="continuous"/>
        </w:sectPr>
      </w:pPr>
    </w:p>
    <w:p>
      <w:pPr>
        <w:spacing w:after="0" w:line="213" w:lineRule="exact"/>
        <w:rPr>
          <w:sz w:val="20"/>
          <w:szCs w:val="20"/>
          <w:color w:val="auto"/>
        </w:rPr>
      </w:pPr>
    </w:p>
    <w:p>
      <w:pPr>
        <w:spacing w:after="0"/>
        <w:rPr>
          <w:sz w:val="20"/>
          <w:szCs w:val="20"/>
          <w:color w:val="auto"/>
        </w:rPr>
      </w:pPr>
      <w:r>
        <w:rPr>
          <w:rFonts w:ascii="Arial" w:cs="Arial" w:eastAsia="Arial" w:hAnsi="Arial"/>
          <w:sz w:val="36"/>
          <w:szCs w:val="36"/>
          <w:color w:val="auto"/>
        </w:rPr>
        <w:t>Bassett Furniture News Release</w:t>
      </w:r>
    </w:p>
    <w:p>
      <w:pPr>
        <w:spacing w:after="0" w:line="3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Bassett Announces Fiscal Second Quarter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24662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32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(Bassett, Va.) – June 28, 2018 – Bassett Furniture Industries, Inc. (Nasdaq: BSET) announced today its results of operations for its fiscal quarter ended May 26, 2018.</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Fiscal 2018 Second Quarter Highlights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(Dollars in millions)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Sales</w:t>
            </w:r>
          </w:p>
        </w:tc>
        <w:tc>
          <w:tcPr>
            <w:tcW w:w="10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gridSpan w:val="4"/>
          </w:tcPr>
          <w:p>
            <w:pPr>
              <w:jc w:val="right"/>
              <w:ind w:right="490"/>
              <w:spacing w:after="0"/>
              <w:rPr>
                <w:sz w:val="20"/>
                <w:szCs w:val="20"/>
                <w:color w:val="auto"/>
              </w:rPr>
            </w:pPr>
            <w:r>
              <w:rPr>
                <w:rFonts w:ascii="Arial" w:cs="Arial" w:eastAsia="Arial" w:hAnsi="Arial"/>
                <w:sz w:val="18"/>
                <w:szCs w:val="18"/>
                <w:b w:val="1"/>
                <w:bCs w:val="1"/>
                <w:color w:val="auto"/>
              </w:rPr>
              <w:t>Operating Income</w:t>
            </w:r>
          </w:p>
        </w:tc>
        <w:tc>
          <w:tcPr>
            <w:tcW w:w="8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gridSpan w:val="3"/>
          </w:tcPr>
          <w:p>
            <w:pPr>
              <w:jc w:val="right"/>
              <w:ind w:right="40"/>
              <w:spacing w:after="0" w:line="251" w:lineRule="exact"/>
              <w:rPr>
                <w:sz w:val="20"/>
                <w:szCs w:val="20"/>
                <w:color w:val="auto"/>
              </w:rPr>
            </w:pPr>
            <w:r>
              <w:rPr>
                <w:rFonts w:ascii="Arial" w:cs="Arial" w:eastAsia="Arial" w:hAnsi="Arial"/>
                <w:sz w:val="18"/>
                <w:szCs w:val="18"/>
                <w:b w:val="1"/>
                <w:bCs w:val="1"/>
                <w:color w:val="auto"/>
              </w:rPr>
              <w:t>2</w:t>
            </w:r>
            <w:r>
              <w:rPr>
                <w:rFonts w:ascii="Arial" w:cs="Arial" w:eastAsia="Arial" w:hAnsi="Arial"/>
                <w:sz w:val="29"/>
                <w:szCs w:val="29"/>
                <w:b w:val="1"/>
                <w:bCs w:val="1"/>
                <w:color w:val="auto"/>
                <w:vertAlign w:val="superscript"/>
              </w:rPr>
              <w:t>nd</w:t>
            </w:r>
            <w:r>
              <w:rPr>
                <w:rFonts w:ascii="Arial" w:cs="Arial" w:eastAsia="Arial" w:hAnsi="Arial"/>
                <w:sz w:val="18"/>
                <w:szCs w:val="18"/>
                <w:b w:val="1"/>
                <w:bCs w:val="1"/>
                <w:color w:val="auto"/>
              </w:rPr>
              <w:t xml:space="preserve"> Qtr</w:t>
            </w:r>
          </w:p>
        </w:tc>
        <w:tc>
          <w:tcPr>
            <w:tcW w:w="68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330"/>
              <w:spacing w:after="0"/>
              <w:rPr>
                <w:sz w:val="20"/>
                <w:szCs w:val="20"/>
                <w:color w:val="auto"/>
              </w:rPr>
            </w:pPr>
            <w:r>
              <w:rPr>
                <w:rFonts w:ascii="Arial" w:cs="Arial" w:eastAsia="Arial" w:hAnsi="Arial"/>
                <w:sz w:val="18"/>
                <w:szCs w:val="18"/>
                <w:b w:val="1"/>
                <w:bCs w:val="1"/>
                <w:color w:val="auto"/>
              </w:rPr>
              <w:t>Dollar</w:t>
            </w:r>
          </w:p>
        </w:tc>
        <w:tc>
          <w:tcPr>
            <w:tcW w:w="900" w:type="dxa"/>
            <w:vAlign w:val="bottom"/>
          </w:tcPr>
          <w:p>
            <w:pPr>
              <w:jc w:val="right"/>
              <w:ind w:right="27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10"/>
              <w:spacing w:after="0" w:line="251" w:lineRule="exact"/>
              <w:rPr>
                <w:sz w:val="20"/>
                <w:szCs w:val="20"/>
                <w:color w:val="auto"/>
              </w:rPr>
            </w:pPr>
            <w:r>
              <w:rPr>
                <w:rFonts w:ascii="Arial" w:cs="Arial" w:eastAsia="Arial" w:hAnsi="Arial"/>
                <w:sz w:val="18"/>
                <w:szCs w:val="18"/>
                <w:b w:val="1"/>
                <w:bCs w:val="1"/>
                <w:color w:val="auto"/>
                <w:w w:val="91"/>
              </w:rPr>
              <w:t>2</w:t>
            </w:r>
            <w:r>
              <w:rPr>
                <w:rFonts w:ascii="Arial" w:cs="Arial" w:eastAsia="Arial" w:hAnsi="Arial"/>
                <w:sz w:val="29"/>
                <w:szCs w:val="29"/>
                <w:b w:val="1"/>
                <w:bCs w:val="1"/>
                <w:color w:val="auto"/>
                <w:w w:val="91"/>
                <w:vertAlign w:val="superscript"/>
              </w:rPr>
              <w:t>nd</w:t>
            </w:r>
            <w:r>
              <w:rPr>
                <w:rFonts w:ascii="Arial" w:cs="Arial" w:eastAsia="Arial" w:hAnsi="Arial"/>
                <w:sz w:val="18"/>
                <w:szCs w:val="18"/>
                <w:b w:val="1"/>
                <w:bCs w:val="1"/>
                <w:color w:val="auto"/>
                <w:w w:val="91"/>
              </w:rPr>
              <w:t xml:space="preserve"> Qtr</w:t>
            </w:r>
          </w:p>
        </w:tc>
        <w:tc>
          <w:tcPr>
            <w:tcW w:w="1160" w:type="dxa"/>
            <w:vAlign w:val="bottom"/>
            <w:gridSpan w:val="2"/>
          </w:tcPr>
          <w:p>
            <w:pPr>
              <w:ind w:left="240"/>
              <w:spacing w:after="0"/>
              <w:rPr>
                <w:sz w:val="20"/>
                <w:szCs w:val="20"/>
                <w:color w:val="auto"/>
              </w:rPr>
            </w:pPr>
            <w:r>
              <w:rPr>
                <w:rFonts w:ascii="Arial" w:cs="Arial" w:eastAsia="Arial" w:hAnsi="Arial"/>
                <w:sz w:val="18"/>
                <w:szCs w:val="18"/>
                <w:b w:val="1"/>
                <w:bCs w:val="1"/>
                <w:color w:val="auto"/>
              </w:rPr>
              <w:t>% of</w:t>
            </w:r>
          </w:p>
        </w:tc>
        <w:tc>
          <w:tcPr>
            <w:tcW w:w="120" w:type="dxa"/>
            <w:vAlign w:val="bottom"/>
          </w:tcPr>
          <w:p>
            <w:pPr>
              <w:spacing w:after="0"/>
              <w:rPr>
                <w:sz w:val="21"/>
                <w:szCs w:val="21"/>
                <w:color w:val="auto"/>
              </w:rPr>
            </w:pPr>
          </w:p>
        </w:tc>
        <w:tc>
          <w:tcPr>
            <w:tcW w:w="1020" w:type="dxa"/>
            <w:vAlign w:val="bottom"/>
          </w:tcPr>
          <w:p>
            <w:pPr>
              <w:jc w:val="right"/>
              <w:ind w:right="310"/>
              <w:spacing w:after="0" w:line="251" w:lineRule="exact"/>
              <w:rPr>
                <w:sz w:val="20"/>
                <w:szCs w:val="20"/>
                <w:color w:val="auto"/>
              </w:rPr>
            </w:pPr>
            <w:r>
              <w:rPr>
                <w:rFonts w:ascii="Arial" w:cs="Arial" w:eastAsia="Arial" w:hAnsi="Arial"/>
                <w:sz w:val="18"/>
                <w:szCs w:val="18"/>
                <w:b w:val="1"/>
                <w:bCs w:val="1"/>
                <w:color w:val="auto"/>
                <w:w w:val="91"/>
              </w:rPr>
              <w:t>2</w:t>
            </w:r>
            <w:r>
              <w:rPr>
                <w:rFonts w:ascii="Arial" w:cs="Arial" w:eastAsia="Arial" w:hAnsi="Arial"/>
                <w:sz w:val="29"/>
                <w:szCs w:val="29"/>
                <w:b w:val="1"/>
                <w:bCs w:val="1"/>
                <w:color w:val="auto"/>
                <w:w w:val="91"/>
                <w:vertAlign w:val="superscript"/>
              </w:rPr>
              <w:t>nd</w:t>
            </w:r>
            <w:r>
              <w:rPr>
                <w:rFonts w:ascii="Arial" w:cs="Arial" w:eastAsia="Arial" w:hAnsi="Arial"/>
                <w:sz w:val="18"/>
                <w:szCs w:val="18"/>
                <w:b w:val="1"/>
                <w:bCs w:val="1"/>
                <w:color w:val="auto"/>
                <w:w w:val="91"/>
              </w:rPr>
              <w:t xml:space="preserve"> Qtr</w:t>
            </w:r>
          </w:p>
        </w:tc>
        <w:tc>
          <w:tcPr>
            <w:tcW w:w="1040" w:type="dxa"/>
            <w:vAlign w:val="bottom"/>
            <w:gridSpan w:val="2"/>
          </w:tcPr>
          <w:p>
            <w:pPr>
              <w:ind w:left="240"/>
              <w:spacing w:after="0"/>
              <w:rPr>
                <w:sz w:val="20"/>
                <w:szCs w:val="20"/>
                <w:color w:val="auto"/>
              </w:rPr>
            </w:pPr>
            <w:r>
              <w:rPr>
                <w:rFonts w:ascii="Arial" w:cs="Arial" w:eastAsia="Arial" w:hAnsi="Arial"/>
                <w:sz w:val="18"/>
                <w:szCs w:val="18"/>
                <w:b w:val="1"/>
                <w:bCs w:val="1"/>
                <w:color w:val="auto"/>
              </w:rPr>
              <w:t>% of</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2017</w:t>
            </w: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0"/>
              </w:rPr>
              <w:t>Change</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Change</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2018</w:t>
            </w:r>
          </w:p>
        </w:tc>
        <w:tc>
          <w:tcPr>
            <w:tcW w:w="88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rPr>
              <w:t>Sales</w:t>
            </w:r>
          </w:p>
        </w:tc>
        <w:tc>
          <w:tcPr>
            <w:tcW w:w="2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2017</w:t>
            </w:r>
          </w:p>
        </w:tc>
        <w:tc>
          <w:tcPr>
            <w:tcW w:w="88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rPr>
              <w:t>Sales</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980" w:type="dxa"/>
            <w:vAlign w:val="bottom"/>
            <w:shd w:val="clear" w:color="auto" w:fill="CCEEFF"/>
          </w:tcPr>
          <w:p>
            <w:pPr>
              <w:spacing w:after="0"/>
              <w:rPr>
                <w:sz w:val="20"/>
                <w:szCs w:val="20"/>
                <w:color w:val="auto"/>
              </w:rPr>
            </w:pPr>
            <w:r>
              <w:rPr>
                <w:rFonts w:ascii="Arial" w:cs="Arial" w:eastAsia="Arial" w:hAnsi="Arial"/>
                <w:sz w:val="18"/>
                <w:szCs w:val="18"/>
                <w:color w:val="auto"/>
              </w:rPr>
              <w:t>Consolidated *</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117.0</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114.1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2.9</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w:t>
            </w: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5.7</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4.8%</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7.6</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980" w:type="dxa"/>
            <w:vAlign w:val="bottom"/>
            <w:shd w:val="clear" w:color="auto" w:fill="CCEEFF"/>
          </w:tcPr>
          <w:p>
            <w:pPr>
              <w:spacing w:after="0"/>
              <w:rPr>
                <w:sz w:val="20"/>
                <w:szCs w:val="20"/>
                <w:color w:val="auto"/>
              </w:rPr>
            </w:pPr>
            <w:r>
              <w:rPr>
                <w:rFonts w:ascii="Arial" w:cs="Arial" w:eastAsia="Arial" w:hAnsi="Arial"/>
                <w:sz w:val="18"/>
                <w:szCs w:val="18"/>
                <w:color w:val="auto"/>
              </w:rPr>
              <w:t>Wholesale</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63.8</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1.5</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w:t>
            </w: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3.0</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4.8%</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4.8</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980" w:type="dxa"/>
            <w:vAlign w:val="bottom"/>
            <w:shd w:val="clear" w:color="auto" w:fill="CCEEFF"/>
          </w:tcPr>
          <w:p>
            <w:pPr>
              <w:spacing w:after="0"/>
              <w:rPr>
                <w:sz w:val="20"/>
                <w:szCs w:val="20"/>
                <w:color w:val="auto"/>
              </w:rPr>
            </w:pPr>
            <w:r>
              <w:rPr>
                <w:rFonts w:ascii="Arial" w:cs="Arial" w:eastAsia="Arial" w:hAnsi="Arial"/>
                <w:sz w:val="18"/>
                <w:szCs w:val="18"/>
                <w:color w:val="auto"/>
              </w:rPr>
              <w:t>Total Retail</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68.7</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1.5</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w:t>
            </w: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1.6</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1.4</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980" w:type="dxa"/>
            <w:vAlign w:val="bottom"/>
            <w:shd w:val="clear" w:color="auto" w:fill="CCEEFF"/>
          </w:tcPr>
          <w:p>
            <w:pPr>
              <w:spacing w:after="0"/>
              <w:rPr>
                <w:sz w:val="20"/>
                <w:szCs w:val="20"/>
                <w:color w:val="auto"/>
              </w:rPr>
            </w:pPr>
            <w:r>
              <w:rPr>
                <w:rFonts w:ascii="Arial" w:cs="Arial" w:eastAsia="Arial" w:hAnsi="Arial"/>
                <w:sz w:val="18"/>
                <w:szCs w:val="18"/>
                <w:color w:val="auto"/>
              </w:rPr>
              <w:t>53 Comparable Stores</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60.1</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(1.1)</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w:t>
            </w: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2.7</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2.8</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980" w:type="dxa"/>
            <w:vAlign w:val="bottom"/>
            <w:shd w:val="clear" w:color="auto" w:fill="CCEEFF"/>
          </w:tcPr>
          <w:p>
            <w:pPr>
              <w:spacing w:after="0"/>
              <w:rPr>
                <w:sz w:val="20"/>
                <w:szCs w:val="20"/>
                <w:color w:val="auto"/>
              </w:rPr>
            </w:pPr>
            <w:r>
              <w:rPr>
                <w:rFonts w:ascii="Arial" w:cs="Arial" w:eastAsia="Arial" w:hAnsi="Arial"/>
                <w:sz w:val="18"/>
                <w:szCs w:val="18"/>
                <w:color w:val="auto"/>
              </w:rPr>
              <w:t>Logistical Services</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24.9</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0.3</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w:t>
            </w: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0.3</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0.8</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140" w:right="1920" w:hanging="132"/>
        <w:spacing w:after="0" w:line="277" w:lineRule="auto"/>
        <w:tabs>
          <w:tab w:leader="none" w:pos="14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consolidated results include certain intercompany eliminations. See the “Segment Information” table below for an illustration of the effects of these intercompany eliminations on our consolidated sales and operating income.</w:t>
      </w:r>
    </w:p>
    <w:p>
      <w:pPr>
        <w:spacing w:after="0" w:line="3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income for the quarter was $4.3 million or $0.40 per share as compared to net income of $5.8 million or $0.54 per diluted share for the prior year quarter. Included in net income for the prior year quarter was a $3.3 million pre-tax gain on the sale of an equity investment and a $1.1 million pre-tax loss on the write down of a store property previously operated by a licensee. Excluding the effects of these items, net income would have been $4.5 million or $0.42 per diluted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350520</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type w:val="continuous"/>
        </w:sectPr>
      </w:pPr>
    </w:p>
    <w:bookmarkStart w:id="4" w:name="page5"/>
    <w:bookmarkEnd w:id="4"/>
    <w:p>
      <w:pPr>
        <w:jc w:val="both"/>
        <w:spacing w:after="0" w:line="271" w:lineRule="auto"/>
        <w:rPr>
          <w:sz w:val="20"/>
          <w:szCs w:val="20"/>
          <w:color w:val="auto"/>
        </w:rPr>
      </w:pPr>
      <w:r>
        <w:rPr>
          <w:rFonts w:ascii="Arial" w:cs="Arial" w:eastAsia="Arial" w:hAnsi="Arial"/>
          <w:sz w:val="17"/>
          <w:szCs w:val="17"/>
          <w:color w:val="auto"/>
        </w:rPr>
        <w:t>“We continued to invest energy and capital into all facets of our vertically integrated model during the fiscal 2018 second quarter,” commented Rob Spilman, Chairman and CEO. “As we navigate the competitive traditional brick and mortar marketplace and face the challenge of pure play e-commerce, we believe more than ever that our closed loop of proprietary product, a vibrant store and digital experience, and the end of transaction service provided by our logistics arm offers the consumer a unique home furnishings experience that builds customer loyalty and repeat business. To that end, we are broadening our product assortment, re-architecting our customer service paradigm, researching a new digital marketing template, and refining the capabilities of our middle mile and final mile delivery platform; all underway as we expand our store network. As previously communicated, these endeavors may prove detrimental to our short term financial performance as witnessed this past quarter. We are committed to the proper development of all elements of our strategy as we seek to further enhance Bassett’s position in today’s fluid retail environment.”</w:t>
      </w:r>
    </w:p>
    <w:p>
      <w:pPr>
        <w:spacing w:after="0" w:line="17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“Consolidated revenue grew by 2.5% to $117.0 million compared to last year’s 7.0% sales increase,” continued Spilman. “This year, the growth was generated by the Lane Venture acquisition as sales for the rest of the company were virtually flat. Two stores were opened in the quarter – a corporately owned location in El Paso, Texas and our third licensee owned store in the San Diego market. For the remainder of the fiscal year, we plan to open 3 to 4 new corporate locations and two licensee owned stores, re-position two more corporate stores, and open our first clearance center. Enhancements to our website, including our new sectional configurator and the addition of staff to augment our digital marketing capabilities, were important initiatives in the quarter. The foundational elements of our digital strategy are ongoing but necessary for us to effectively compete today and into the future. Part of our strategy involves the fusion of digital technology and our physical store environment which will initially culminate with the opening of our new Generation 3 stores in Texas this fall.”</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Wholesale Segment</w:t>
      </w:r>
    </w:p>
    <w:p>
      <w:pPr>
        <w:spacing w:after="0" w:line="22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Net sales for the wholesale segment were $63.8 million for the second quarter of 2018 as compared to $62.3 million for the second quarter of 2017, an increase of $1.5 million or 2.4%. This increase was driven by $3.3 million in sales from Lane Venture, acquired during the first quarter of 2018, partially offset by a 1.6% decrease in furniture shipments to the open market (outside the Bassett Home Furnishings network), and a 3.8% decrease in furniture shipments to the Bassett Home Furnishings network compared to the prior year period. Wholesale shipments of accessories, a much smaller component of the Company’s wholesale revenues, increased 17% over the prior year quarter. Gross margins for the wholesale segment were 32.9% for the second quarter of 2018 as compared to 33.8% for the prior year quarter. This decrease was primarily driven by lower margins in the Bassett Custom Upholstery operations from continued higher material costs coupled with lower absorption of fixed costs from lower volumes partially offset by improved margins in the Bassett Custom Wood operations due to operational efficiencies. In June 2018, the Company implemented targeted price increases to its custom upholstery line to mitigate the effects of the cost increases. Wholesale SG&amp;A for the second quarter of 2018 was $17.9 million as compared to $16.3 million for the prior year period. SG&amp;A as a percentage of sales increased to 28.1% as compared to 26.1% for the second quarter of 2017. This increase in SG&amp;A as a percentage of sales was primarily driven by planned higher digital marketing and other brand development costs coupled with the shift in timing of certain marketing costs that occurred in the third quarter of the prior year. Operating income was $3.0 million or 4.8% of sales as compared to $4.8 million or 7.7% of sales in the prior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5" w:name="page6"/>
    <w:bookmarkEnd w:id="5"/>
    <w:p>
      <w:pPr>
        <w:jc w:val="both"/>
        <w:spacing w:after="0" w:line="270" w:lineRule="auto"/>
        <w:rPr>
          <w:sz w:val="20"/>
          <w:szCs w:val="20"/>
          <w:color w:val="auto"/>
        </w:rPr>
      </w:pPr>
      <w:r>
        <w:rPr>
          <w:rFonts w:ascii="Arial" w:cs="Arial" w:eastAsia="Arial" w:hAnsi="Arial"/>
          <w:sz w:val="17"/>
          <w:szCs w:val="17"/>
          <w:color w:val="auto"/>
        </w:rPr>
        <w:t>“Growth in Bassett Casegoods and the volume from the Lane Venture acquisition provided the revenue increase in our wholesale segment,” added Spilman. “The successful launch and retail sell through of our Bassett Modern line this spring propelled Bassett Casegoods to positive year over year sales for the first time in several quarters. Bassett Custom Wood also grew modestly in the period. A sales decline in Bassett Custom Upholstery, excluding Lane Venture, coupled with ongoing raw material inflation and the previously referenced digital marketing investments were the main culprits in our wholesale operating profit decline. A complete refresh of our signature Bassett Custom Upholstery program is scheduled for this fall. This product has been the stalwart of our assortment for many years and we have been working on the new version since mid-2017. The new program, replete with a more robust interactive web component, will begin shipping this fall in anticipation of an early 2019 introductory promotion. On the cost side, we implemented a price increase in early June to cover the material cost escalation being passed on to us by our suppliers and we expect to begin to see margin relief in July and beyond as a result. We made progress in the integration of Lane Venture and in establishing a new manufacturing platform that will offer its dealer base a level of service to which they have previously been unaccustomed.”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Retail Segment</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Net sales for the 64 Company-owned Bassett Home Furnishings stores were $68.7 million for the second quarter of 2018 as compared to $67.1 million for the second quarter of 2017, an increase of $1.6 million or 2.3%. The overall increase was due to a $2.6 million increase in non-comparable store sales partially offset by a 1.8% decrease in comparable store sales.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While the Company does not recognize sales until goods are delivered to the consumer, management tracks written sales (the retail dollar value of sales orders taken, rather than delivered) as a key store performance indicator. Written sales for comparable stores decreased by 2.6% for the second quarter of 2018 as compared to the second quarter of 2017.</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consolidated retail operating income for the second quarter of 2018 was $1.6 million as compared to $1.4 million for the second quarter of 2017, an increase of $0.2 million. The 53 comparable stores generated operating income of $2.7 million for the quarter, or 4.4% of sales, as compared to $2.8 million, or 4.5% of sales, for the prior year quarter. Gross margins for comparable stores were 52.0% for the second quarter of 2018 as compared to 50.9% for the second quarter of 2017. This increase was primarily due to improved pricing strategies and product mix. SG&amp;A expenses for comparable stores increased $0.2 million to $28.6 million or 47.6% of sales as compared to 46.3% of sales for the second quarter of 2017 due primarily to higher personnel and health care costs.</w:t>
      </w:r>
    </w:p>
    <w:p>
      <w:pPr>
        <w:spacing w:after="0" w:line="19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Non-comparable stores generated sales of $8.6 million with an operating loss of $1.0 million as compared to sales of $6.0 million and an operating loss of $1.4 million in the prior year quarter. As part of the $1.0 million loss for the second quarter of 2018, the Company incurred $0.2 million in new store pre-opening costs, a decrease of $0.3 million from the prior year. In addition, the Company incurred $0.4 million of post opening startup losses compared to $0.7 million in the second quarter of 2017. As previously stated, the Company’s retail expansion is initially costly. However, the Company believes that site selection and new store presentation will generally result in locations that operate at or above a break-even level within a reasonable period of time following store opening.</w:t>
      </w:r>
    </w:p>
    <w:p>
      <w:pPr>
        <w:spacing w:after="0" w:line="19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ended the quarter with a total of 64 corporate stores in operation compared with 62 a year ago,” said Spilman. “The additional stores opened in the past year provided our overall corporate retail sales increase as comparable store sales fell by 1.8% compared to last year’s 6.3% increase. At the mid-point of fiscal 2018, comparable store sales stand at a positive 0.7%. Historically high retail gross margins helped to generate a 19% improvement in retail operating income. Our average ticket and close ratio continue to improve and have somewhat mitigated the decline in physical store traffic that we have experienced in most of our stores this year. Our marketing efforts are centered on the changing dynamics in which consumer’s access information and the corresponding effects on store traffic. With the help of outside expertise, we are aggregating the many sources of consumer interface data that flow into Bassett and will use that information to customize market specific strategies on a case by case basis. These studies are ongoing and their fruit will be brought to bear later this year in several test markets. Another important piece of work is our testing of a new home delivery model for our Zenith Logistics division. We believe that we can ultimately operate fewer delivery centers and maintain our industry leading speed-to-home proposition for truly customized furniture more efficiently and more profitably. Given the importance of these initiatives and the pending debut of our Generation 3 prototype, we plan to slow the pace of new corporate store openings once we enter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347980</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Logistical Services Segment</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Revenue for Zenith was $24.9 million for the second quarter of 2018 as compared to $24.6 million for 2017, an increase of $0.3 million or 1.2%. This increase was primarily due to increased revenues from non-Bassett customers. Zenith’s operating expenses for the second quarter of 2018 were $24.6 million or 98.8% of revenue as compared to $23.8 million or 96.8% for the second quarter of 2017. This resulted in operating profit of $0.3 million or 1.2% of sales for the current quarter as compared to $0.8 million or 3.2% of sales for the prior year quarter. This operating profit decrease was primarily due to increased fleet insurance costs due to claims experience, higher fuel costs and inefficiencies in the final mile operation.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About Bassett Furniture Industries, Inc.</w:t>
      </w:r>
    </w:p>
    <w:p>
      <w:pPr>
        <w:spacing w:after="0" w:line="23"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Bassett Furniture Industries, Inc. (NASDAQ:BSET), is a leading manufacturer and marketer of high quality home furnishings. With 95 company- and licensee-owned stores at the time of this release, Bassett has leveraged its strong brand name in furniture into a network of corporate and licensed stores that focus on providing consumers with a friendly environment for buying furniture and accessories. The most significant growth opportunity for Bassett continues to be the Company’s dedicated retail store program. Bassett’s retail strategy includes stylish, custom-built furniture that is ready for delivery in the home within 30 days. The stores also feature the latest on-trend furniture styles, free in-home design visits, and coordinated decorating accessories. Bassett also has a traditional wholesale business with more than 700 accounts on the open market, across the United States and internationally and a logistics business specializing in home furnishings. For more information, visit the Company’s website at bassettfurniture.com. (BSET-E)</w:t>
      </w:r>
    </w:p>
    <w:p>
      <w:pPr>
        <w:spacing w:after="0" w:line="16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b w:val="1"/>
          <w:bCs w:val="1"/>
          <w:color w:val="auto"/>
        </w:rPr>
        <w:t>Certain of the statements in this release, particularly those preceded by, followed by or including the words “believes,” “plans,” “expects,” “anticipates,” “intends,” “should,” “estimates,” or similar expressions, or those relating to or anticipating financial results or changes in operations for periods beyond the end of the second fiscal quarter of 2018, constitute “forward looking statements” within the meaning of Section 27A of the Securities Act of 1933, as amended. For those statements, Bassett claims the protection of the safe harbor for forward looking statements contained in the Private Securities Litigation Reform Act of 1995. In many cases, Bassett cannot predict what factors would cause actual results to differ materially from those indicated in the forward looking statements. Expectations included in the forward-looking statements are based on preliminary information as well as certain assumptions which management believes to be reasonable at this time. The following important factors affect Bassett and could cause actual results to differ materially from those indicated in the forward looking statements: the effects of national and global economic or other conditions and future events on the retail demand for home furnishings and the ability of Bassett’s customers and consumers to obtain credit; the success of marketing, logistics, retail and other initiatives; and the economic, competitive, governmental and other factors identified in Bassett’s filings with the Securities and Exchange Commission. Any forward-looking statement that Bassett makes speaks only as of the date of such statement, and Bassett undertakes no obligation to update any forward-looking statements, whether as a result of new information, future events or otherwise. Comparisons of results for current and any prior periods are not intended to express any future trends or indication of future performance, unless expressed as such, and should only be viewed as historical data.</w:t>
      </w:r>
    </w:p>
    <w:p>
      <w:pPr>
        <w:spacing w:after="0" w:line="172" w:lineRule="exact"/>
        <w:rPr>
          <w:sz w:val="20"/>
          <w:szCs w:val="20"/>
          <w:color w:val="auto"/>
        </w:rPr>
      </w:pPr>
    </w:p>
    <w:p>
      <w:pPr>
        <w:jc w:val="center"/>
        <w:ind w:left="400"/>
        <w:spacing w:after="0"/>
        <w:rPr>
          <w:sz w:val="20"/>
          <w:szCs w:val="20"/>
          <w:color w:val="auto"/>
        </w:rPr>
      </w:pP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377825</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color w:val="auto"/>
        </w:rPr>
        <w:t>BASSETT FURNITURE INDUSTRIES,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Statements of Income -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for per share data)</w:t>
      </w:r>
    </w:p>
    <w:p>
      <w:pPr>
        <w:spacing w:after="0" w:line="200" w:lineRule="exact"/>
        <w:rPr>
          <w:sz w:val="20"/>
          <w:szCs w:val="20"/>
          <w:color w:val="auto"/>
        </w:rPr>
      </w:pP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gridSpan w:val="5"/>
          </w:tcPr>
          <w:p>
            <w:pPr>
              <w:jc w:val="right"/>
              <w:ind w:right="540"/>
              <w:spacing w:after="0"/>
              <w:rPr>
                <w:sz w:val="20"/>
                <w:szCs w:val="20"/>
                <w:color w:val="auto"/>
              </w:rPr>
            </w:pPr>
            <w:r>
              <w:rPr>
                <w:rFonts w:ascii="Arial" w:cs="Arial" w:eastAsia="Arial" w:hAnsi="Arial"/>
                <w:sz w:val="18"/>
                <w:szCs w:val="18"/>
                <w:color w:val="auto"/>
              </w:rPr>
              <w:t>Quarter Ended</w:t>
            </w:r>
          </w:p>
        </w:tc>
        <w:tc>
          <w:tcPr>
            <w:tcW w:w="86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gridSpan w:val="5"/>
          </w:tcPr>
          <w:p>
            <w:pPr>
              <w:jc w:val="right"/>
              <w:ind w:right="380"/>
              <w:spacing w:after="0"/>
              <w:rPr>
                <w:sz w:val="20"/>
                <w:szCs w:val="20"/>
                <w:color w:val="auto"/>
              </w:rPr>
            </w:pPr>
            <w:r>
              <w:rPr>
                <w:rFonts w:ascii="Arial" w:cs="Arial" w:eastAsia="Arial" w:hAnsi="Arial"/>
                <w:sz w:val="18"/>
                <w:szCs w:val="18"/>
                <w:color w:val="auto"/>
              </w:rPr>
              <w:t>Six Months Ended</w:t>
            </w:r>
          </w:p>
        </w:tc>
        <w:tc>
          <w:tcPr>
            <w:tcW w:w="86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gridSpan w:val="4"/>
          </w:tcPr>
          <w:p>
            <w:pPr>
              <w:jc w:val="right"/>
              <w:ind w:right="640"/>
              <w:spacing w:after="0"/>
              <w:rPr>
                <w:sz w:val="20"/>
                <w:szCs w:val="20"/>
                <w:color w:val="auto"/>
              </w:rPr>
            </w:pPr>
            <w:r>
              <w:rPr>
                <w:rFonts w:ascii="Arial" w:cs="Arial" w:eastAsia="Arial" w:hAnsi="Arial"/>
                <w:sz w:val="18"/>
                <w:szCs w:val="18"/>
                <w:color w:val="auto"/>
              </w:rPr>
              <w:t>May 26, 2018</w:t>
            </w:r>
          </w:p>
        </w:tc>
        <w:tc>
          <w:tcPr>
            <w:tcW w:w="100" w:type="dxa"/>
            <w:vAlign w:val="bottom"/>
          </w:tcPr>
          <w:p>
            <w:pPr>
              <w:spacing w:after="0"/>
              <w:rPr>
                <w:sz w:val="18"/>
                <w:szCs w:val="18"/>
                <w:color w:val="auto"/>
              </w:rPr>
            </w:pPr>
          </w:p>
        </w:tc>
        <w:tc>
          <w:tcPr>
            <w:tcW w:w="1700" w:type="dxa"/>
            <w:vAlign w:val="bottom"/>
            <w:gridSpan w:val="3"/>
          </w:tcPr>
          <w:p>
            <w:pPr>
              <w:jc w:val="right"/>
              <w:ind w:right="310"/>
              <w:spacing w:after="0"/>
              <w:rPr>
                <w:sz w:val="20"/>
                <w:szCs w:val="20"/>
                <w:color w:val="auto"/>
              </w:rPr>
            </w:pPr>
            <w:r>
              <w:rPr>
                <w:rFonts w:ascii="Arial" w:cs="Arial" w:eastAsia="Arial" w:hAnsi="Arial"/>
                <w:sz w:val="18"/>
                <w:szCs w:val="18"/>
                <w:color w:val="auto"/>
              </w:rPr>
              <w:t>May 27, 2017</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60" w:type="dxa"/>
            <w:vAlign w:val="bottom"/>
            <w:gridSpan w:val="4"/>
          </w:tcPr>
          <w:p>
            <w:pPr>
              <w:jc w:val="right"/>
              <w:ind w:right="660"/>
              <w:spacing w:after="0"/>
              <w:rPr>
                <w:sz w:val="20"/>
                <w:szCs w:val="20"/>
                <w:color w:val="auto"/>
              </w:rPr>
            </w:pPr>
            <w:r>
              <w:rPr>
                <w:rFonts w:ascii="Arial" w:cs="Arial" w:eastAsia="Arial" w:hAnsi="Arial"/>
                <w:sz w:val="18"/>
                <w:szCs w:val="18"/>
                <w:color w:val="auto"/>
              </w:rPr>
              <w:t>May 26, 2018</w:t>
            </w:r>
          </w:p>
        </w:tc>
        <w:tc>
          <w:tcPr>
            <w:tcW w:w="80" w:type="dxa"/>
            <w:vAlign w:val="bottom"/>
          </w:tcPr>
          <w:p>
            <w:pPr>
              <w:spacing w:after="0"/>
              <w:rPr>
                <w:sz w:val="18"/>
                <w:szCs w:val="18"/>
                <w:color w:val="auto"/>
              </w:rPr>
            </w:pPr>
          </w:p>
        </w:tc>
        <w:tc>
          <w:tcPr>
            <w:tcW w:w="1700" w:type="dxa"/>
            <w:vAlign w:val="bottom"/>
            <w:gridSpan w:val="3"/>
          </w:tcPr>
          <w:p>
            <w:pPr>
              <w:jc w:val="right"/>
              <w:ind w:right="310"/>
              <w:spacing w:after="0"/>
              <w:rPr>
                <w:sz w:val="20"/>
                <w:szCs w:val="20"/>
                <w:color w:val="auto"/>
              </w:rPr>
            </w:pPr>
            <w:r>
              <w:rPr>
                <w:rFonts w:ascii="Arial" w:cs="Arial" w:eastAsia="Arial" w:hAnsi="Arial"/>
                <w:sz w:val="18"/>
                <w:szCs w:val="18"/>
                <w:color w:val="auto"/>
              </w:rPr>
              <w:t>May 27, 2017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Percent of</w:t>
            </w:r>
          </w:p>
        </w:tc>
        <w:tc>
          <w:tcPr>
            <w:tcW w:w="2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Percent of</w:t>
            </w:r>
          </w:p>
        </w:tc>
        <w:tc>
          <w:tcPr>
            <w:tcW w:w="2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Percent of</w:t>
            </w:r>
          </w:p>
        </w:tc>
        <w:tc>
          <w:tcPr>
            <w:tcW w:w="2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Percent of</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w w:val="90"/>
              </w:rPr>
              <w:t>Amount</w:t>
            </w: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w w:val="99"/>
              </w:rPr>
              <w:t>Net Sales</w:t>
            </w:r>
          </w:p>
        </w:tc>
        <w:tc>
          <w:tcPr>
            <w:tcW w:w="100" w:type="dxa"/>
            <w:vAlign w:val="bottom"/>
          </w:tcPr>
          <w:p>
            <w:pPr>
              <w:spacing w:after="0"/>
              <w:rPr>
                <w:sz w:val="20"/>
                <w:szCs w:val="20"/>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w w:val="93"/>
              </w:rPr>
              <w:t>Amount</w:t>
            </w: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w w:val="99"/>
              </w:rPr>
              <w:t>Net Sales</w:t>
            </w:r>
          </w:p>
        </w:tc>
        <w:tc>
          <w:tcPr>
            <w:tcW w:w="100" w:type="dxa"/>
            <w:vAlign w:val="bottom"/>
          </w:tcPr>
          <w:p>
            <w:pPr>
              <w:spacing w:after="0"/>
              <w:rPr>
                <w:sz w:val="20"/>
                <w:szCs w:val="20"/>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w w:val="90"/>
              </w:rPr>
              <w:t>Amount</w:t>
            </w: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w w:val="99"/>
              </w:rPr>
              <w:t>Net Sales</w:t>
            </w:r>
          </w:p>
        </w:tc>
        <w:tc>
          <w:tcPr>
            <w:tcW w:w="80" w:type="dxa"/>
            <w:vAlign w:val="bottom"/>
          </w:tcPr>
          <w:p>
            <w:pPr>
              <w:spacing w:after="0"/>
              <w:rPr>
                <w:sz w:val="20"/>
                <w:szCs w:val="20"/>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w w:val="93"/>
              </w:rPr>
              <w:t>Amount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Net Sales</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3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Sales revenue:</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tcPr>
          <w:p>
            <w:pPr>
              <w:ind w:left="160"/>
              <w:spacing w:after="0"/>
              <w:rPr>
                <w:sz w:val="20"/>
                <w:szCs w:val="20"/>
                <w:color w:val="auto"/>
              </w:rPr>
            </w:pPr>
            <w:r>
              <w:rPr>
                <w:rFonts w:ascii="Arial" w:cs="Arial" w:eastAsia="Arial" w:hAnsi="Arial"/>
                <w:sz w:val="18"/>
                <w:szCs w:val="18"/>
                <w:color w:val="auto"/>
              </w:rPr>
              <w:t>Furniture and accessories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102,675</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100,294</w:t>
            </w: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198,798</w:t>
            </w: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193,992</w:t>
            </w: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Logistics</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14,305</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13,831</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28,454</w:t>
            </w:r>
          </w:p>
        </w:tc>
        <w:tc>
          <w:tcPr>
            <w:tcW w:w="84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26,025</w:t>
            </w: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300" w:type="dxa"/>
            <w:vAlign w:val="bottom"/>
          </w:tcPr>
          <w:p>
            <w:pPr>
              <w:ind w:left="320"/>
              <w:spacing w:after="0"/>
              <w:rPr>
                <w:sz w:val="20"/>
                <w:szCs w:val="20"/>
                <w:color w:val="auto"/>
              </w:rPr>
            </w:pPr>
            <w:r>
              <w:rPr>
                <w:rFonts w:ascii="Arial" w:cs="Arial" w:eastAsia="Arial" w:hAnsi="Arial"/>
                <w:sz w:val="18"/>
                <w:szCs w:val="18"/>
                <w:color w:val="auto"/>
              </w:rPr>
              <w:t>Total sales revenue</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116,980</w:t>
            </w:r>
          </w:p>
        </w:tc>
        <w:tc>
          <w:tcPr>
            <w:tcW w:w="16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114,125</w:t>
            </w:r>
          </w:p>
        </w:tc>
        <w:tc>
          <w:tcPr>
            <w:tcW w:w="1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227,252</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100.0%</w:t>
            </w:r>
          </w:p>
        </w:tc>
        <w:tc>
          <w:tcPr>
            <w:tcW w:w="8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220,017</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Cost of furniture and accessories sold</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45,660</w:t>
            </w:r>
          </w:p>
        </w:tc>
        <w:tc>
          <w:tcPr>
            <w:tcW w:w="16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39.0%</w:t>
            </w:r>
          </w:p>
        </w:tc>
        <w:tc>
          <w:tcPr>
            <w:tcW w:w="10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44,981</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39.4%</w:t>
            </w:r>
          </w:p>
        </w:tc>
        <w:tc>
          <w:tcPr>
            <w:tcW w:w="1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88,929</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39.1%</w:t>
            </w:r>
          </w:p>
        </w:tc>
        <w:tc>
          <w:tcPr>
            <w:tcW w:w="8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86,879</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39.5%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300" w:type="dxa"/>
            <w:vAlign w:val="bottom"/>
          </w:tcPr>
          <w:p>
            <w:pPr>
              <w:spacing w:after="0" w:line="201" w:lineRule="exact"/>
              <w:rPr>
                <w:sz w:val="20"/>
                <w:szCs w:val="20"/>
                <w:color w:val="auto"/>
              </w:rPr>
            </w:pPr>
            <w:r>
              <w:rPr>
                <w:rFonts w:ascii="Arial" w:cs="Arial" w:eastAsia="Arial" w:hAnsi="Arial"/>
                <w:sz w:val="18"/>
                <w:szCs w:val="18"/>
                <w:color w:val="auto"/>
              </w:rPr>
              <w:t>Selling, general and administrative</w:t>
            </w: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tcPr>
          <w:p>
            <w:pPr>
              <w:ind w:left="160"/>
              <w:spacing w:after="0"/>
              <w:rPr>
                <w:sz w:val="20"/>
                <w:szCs w:val="20"/>
                <w:color w:val="auto"/>
              </w:rPr>
            </w:pPr>
            <w:r>
              <w:rPr>
                <w:rFonts w:ascii="Arial" w:cs="Arial" w:eastAsia="Arial" w:hAnsi="Arial"/>
                <w:sz w:val="18"/>
                <w:szCs w:val="18"/>
                <w:color w:val="auto"/>
              </w:rPr>
              <w:t>expenses excluding new store pre-</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00" w:type="dxa"/>
            <w:vAlign w:val="bottom"/>
          </w:tcPr>
          <w:p>
            <w:pPr>
              <w:ind w:left="160"/>
              <w:spacing w:after="0"/>
              <w:rPr>
                <w:sz w:val="20"/>
                <w:szCs w:val="20"/>
                <w:color w:val="auto"/>
              </w:rPr>
            </w:pPr>
            <w:r>
              <w:rPr>
                <w:rFonts w:ascii="Arial" w:cs="Arial" w:eastAsia="Arial" w:hAnsi="Arial"/>
                <w:sz w:val="18"/>
                <w:szCs w:val="18"/>
                <w:color w:val="auto"/>
              </w:rPr>
              <w:t>opening costs</w:t>
            </w:r>
          </w:p>
        </w:tc>
        <w:tc>
          <w:tcPr>
            <w:tcW w:w="1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65,456</w:t>
            </w:r>
          </w:p>
        </w:tc>
        <w:tc>
          <w:tcPr>
            <w:tcW w:w="160" w:type="dxa"/>
            <w:vAlign w:val="bottom"/>
          </w:tcPr>
          <w:p>
            <w:pPr>
              <w:spacing w:after="0"/>
              <w:rPr>
                <w:sz w:val="20"/>
                <w:szCs w:val="20"/>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56.0%</w:t>
            </w:r>
          </w:p>
        </w:tc>
        <w:tc>
          <w:tcPr>
            <w:tcW w:w="100" w:type="dxa"/>
            <w:vAlign w:val="bottom"/>
          </w:tcPr>
          <w:p>
            <w:pPr>
              <w:spacing w:after="0"/>
              <w:rPr>
                <w:sz w:val="20"/>
                <w:szCs w:val="20"/>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61,075</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53.5%</w:t>
            </w:r>
          </w:p>
        </w:tc>
        <w:tc>
          <w:tcPr>
            <w:tcW w:w="100" w:type="dxa"/>
            <w:vAlign w:val="bottom"/>
          </w:tcPr>
          <w:p>
            <w:pPr>
              <w:spacing w:after="0"/>
              <w:rPr>
                <w:sz w:val="20"/>
                <w:szCs w:val="20"/>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129,707</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57.1%</w:t>
            </w:r>
          </w:p>
        </w:tc>
        <w:tc>
          <w:tcPr>
            <w:tcW w:w="80" w:type="dxa"/>
            <w:vAlign w:val="bottom"/>
          </w:tcPr>
          <w:p>
            <w:pPr>
              <w:spacing w:after="0"/>
              <w:rPr>
                <w:sz w:val="20"/>
                <w:szCs w:val="20"/>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119,599</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54.4%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New store pre-opening costs</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160" w:type="dxa"/>
            <w:vAlign w:val="bottom"/>
            <w:shd w:val="clear" w:color="auto" w:fill="CCEEFF"/>
          </w:tcPr>
          <w:p>
            <w:pPr>
              <w:spacing w:after="0"/>
              <w:rPr>
                <w:sz w:val="19"/>
                <w:szCs w:val="19"/>
                <w:color w:val="auto"/>
              </w:rPr>
            </w:pPr>
          </w:p>
        </w:tc>
        <w:tc>
          <w:tcPr>
            <w:tcW w:w="11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469</w:t>
            </w:r>
          </w:p>
        </w:tc>
        <w:tc>
          <w:tcPr>
            <w:tcW w:w="11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903</w:t>
            </w:r>
          </w:p>
        </w:tc>
        <w:tc>
          <w:tcPr>
            <w:tcW w:w="11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0.4%</w:t>
            </w:r>
          </w:p>
        </w:tc>
        <w:tc>
          <w:tcPr>
            <w:tcW w:w="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1,275</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300" w:type="dxa"/>
            <w:vAlign w:val="bottom"/>
          </w:tcPr>
          <w:p>
            <w:pPr>
              <w:ind w:left="160"/>
              <w:spacing w:after="0"/>
              <w:rPr>
                <w:sz w:val="20"/>
                <w:szCs w:val="20"/>
                <w:color w:val="auto"/>
              </w:rPr>
            </w:pPr>
            <w:r>
              <w:rPr>
                <w:rFonts w:ascii="Arial" w:cs="Arial" w:eastAsia="Arial" w:hAnsi="Arial"/>
                <w:sz w:val="18"/>
                <w:szCs w:val="18"/>
                <w:color w:val="auto"/>
              </w:rPr>
              <w:t>Income from operations</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5,663</w:t>
            </w:r>
          </w:p>
        </w:tc>
        <w:tc>
          <w:tcPr>
            <w:tcW w:w="16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7,600</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7,713</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3.4%</w:t>
            </w:r>
          </w:p>
        </w:tc>
        <w:tc>
          <w:tcPr>
            <w:tcW w:w="8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12,264</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Gain on sale of investments</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0.0%</w:t>
            </w:r>
          </w:p>
        </w:tc>
        <w:tc>
          <w:tcPr>
            <w:tcW w:w="10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3,267</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0.0%</w:t>
            </w:r>
          </w:p>
        </w:tc>
        <w:tc>
          <w:tcPr>
            <w:tcW w:w="8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3,267</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Impairment of investment real estate</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(1,084)</w:t>
            </w:r>
          </w:p>
        </w:tc>
        <w:tc>
          <w:tcPr>
            <w:tcW w:w="11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-0.9%</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(1,084)</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30"/>
        </w:trPr>
        <w:tc>
          <w:tcPr>
            <w:tcW w:w="3320" w:type="dxa"/>
            <w:vAlign w:val="bottom"/>
            <w:gridSpan w:val="2"/>
          </w:tcPr>
          <w:p>
            <w:pPr>
              <w:spacing w:after="0"/>
              <w:rPr>
                <w:sz w:val="20"/>
                <w:szCs w:val="20"/>
                <w:color w:val="auto"/>
              </w:rPr>
            </w:pPr>
            <w:r>
              <w:rPr>
                <w:rFonts w:ascii="Arial" w:cs="Arial" w:eastAsia="Arial" w:hAnsi="Arial"/>
                <w:sz w:val="18"/>
                <w:szCs w:val="18"/>
                <w:color w:val="auto"/>
              </w:rPr>
              <w:t>Other loss, net</w:t>
            </w:r>
          </w:p>
        </w:tc>
        <w:tc>
          <w:tcPr>
            <w:tcW w:w="10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(233)</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9"/>
                <w:szCs w:val="19"/>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(678)</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(860)</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-0.4%</w:t>
            </w:r>
          </w:p>
        </w:tc>
        <w:tc>
          <w:tcPr>
            <w:tcW w:w="80" w:type="dxa"/>
            <w:vAlign w:val="bottom"/>
          </w:tcPr>
          <w:p>
            <w:pPr>
              <w:spacing w:after="0"/>
              <w:rPr>
                <w:sz w:val="19"/>
                <w:szCs w:val="19"/>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(1,411)</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5,430</w:t>
            </w:r>
          </w:p>
        </w:tc>
        <w:tc>
          <w:tcPr>
            <w:tcW w:w="160" w:type="dxa"/>
            <w:vAlign w:val="bottom"/>
            <w:shd w:val="clear" w:color="auto" w:fill="CCEEFF"/>
          </w:tcPr>
          <w:p>
            <w:pPr>
              <w:spacing w:after="0"/>
              <w:rPr>
                <w:sz w:val="18"/>
                <w:szCs w:val="18"/>
                <w:color w:val="auto"/>
              </w:rPr>
            </w:pPr>
          </w:p>
        </w:tc>
        <w:tc>
          <w:tcPr>
            <w:tcW w:w="11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9,105</w:t>
            </w:r>
          </w:p>
        </w:tc>
        <w:tc>
          <w:tcPr>
            <w:tcW w:w="11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8.0%</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6,853</w:t>
            </w:r>
          </w:p>
        </w:tc>
        <w:tc>
          <w:tcPr>
            <w:tcW w:w="11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13,036</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332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1,141</w:t>
            </w:r>
          </w:p>
        </w:tc>
        <w:tc>
          <w:tcPr>
            <w:tcW w:w="160" w:type="dxa"/>
            <w:vAlign w:val="bottom"/>
            <w:shd w:val="clear" w:color="auto" w:fill="CCEEFF"/>
          </w:tcPr>
          <w:p>
            <w:pPr>
              <w:spacing w:after="0"/>
              <w:rPr>
                <w:sz w:val="19"/>
                <w:szCs w:val="19"/>
                <w:color w:val="auto"/>
              </w:rPr>
            </w:pPr>
          </w:p>
        </w:tc>
        <w:tc>
          <w:tcPr>
            <w:tcW w:w="11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3,263</w:t>
            </w:r>
          </w:p>
        </w:tc>
        <w:tc>
          <w:tcPr>
            <w:tcW w:w="11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3,477</w:t>
            </w:r>
          </w:p>
        </w:tc>
        <w:tc>
          <w:tcPr>
            <w:tcW w:w="11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w:t>
            </w:r>
          </w:p>
        </w:tc>
        <w:tc>
          <w:tcPr>
            <w:tcW w:w="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4,333</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32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4,289</w:t>
            </w:r>
          </w:p>
        </w:tc>
        <w:tc>
          <w:tcPr>
            <w:tcW w:w="16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3.7%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5,842</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5.1%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3,376</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1.5%</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8,703</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3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320" w:type="dxa"/>
            <w:vAlign w:val="bottom"/>
            <w:gridSpan w:val="2"/>
          </w:tcPr>
          <w:p>
            <w:pPr>
              <w:spacing w:after="0"/>
              <w:rPr>
                <w:sz w:val="20"/>
                <w:szCs w:val="20"/>
                <w:color w:val="auto"/>
              </w:rPr>
            </w:pPr>
            <w:r>
              <w:rPr>
                <w:rFonts w:ascii="Arial" w:cs="Arial" w:eastAsia="Arial" w:hAnsi="Arial"/>
                <w:sz w:val="18"/>
                <w:szCs w:val="18"/>
                <w:color w:val="auto"/>
              </w:rPr>
              <w:t>Basic earnings per share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0.40</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0.55</w:t>
            </w: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0.32</w:t>
            </w: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0.82</w:t>
            </w: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3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320" w:type="dxa"/>
            <w:vAlign w:val="bottom"/>
            <w:gridSpan w:val="2"/>
          </w:tcPr>
          <w:p>
            <w:pPr>
              <w:spacing w:after="0"/>
              <w:rPr>
                <w:sz w:val="20"/>
                <w:szCs w:val="20"/>
                <w:color w:val="auto"/>
              </w:rPr>
            </w:pPr>
            <w:r>
              <w:rPr>
                <w:rFonts w:ascii="Arial" w:cs="Arial" w:eastAsia="Arial" w:hAnsi="Arial"/>
                <w:sz w:val="18"/>
                <w:szCs w:val="18"/>
                <w:color w:val="auto"/>
              </w:rPr>
              <w:t>Diluted earnings per share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0.40</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0.54</w:t>
            </w: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0.31</w:t>
            </w: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0.81</w:t>
            </w: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5"/>
        </w:trPr>
        <w:tc>
          <w:tcPr>
            <w:tcW w:w="20" w:type="dxa"/>
            <w:vAlign w:val="bottom"/>
          </w:tcPr>
          <w:p>
            <w:pPr>
              <w:spacing w:after="0"/>
              <w:rPr>
                <w:sz w:val="24"/>
                <w:szCs w:val="24"/>
                <w:color w:val="auto"/>
              </w:rPr>
            </w:pPr>
          </w:p>
        </w:tc>
        <w:tc>
          <w:tcPr>
            <w:tcW w:w="3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4"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color w:val="auto"/>
        </w:rPr>
        <w:t>BASSETT FURNITURE INDUSTRIES,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5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460"/>
              <w:spacing w:after="0"/>
              <w:rPr>
                <w:sz w:val="20"/>
                <w:szCs w:val="20"/>
                <w:color w:val="auto"/>
              </w:rPr>
            </w:pPr>
            <w:r>
              <w:rPr>
                <w:rFonts w:ascii="Arial" w:cs="Arial" w:eastAsia="Arial" w:hAnsi="Arial"/>
                <w:sz w:val="18"/>
                <w:szCs w:val="18"/>
                <w:color w:val="auto"/>
              </w:rPr>
              <w:t>(Unaudited)</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5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gridSpan w:val="2"/>
          </w:tcPr>
          <w:p>
            <w:pPr>
              <w:jc w:val="right"/>
              <w:ind w:right="380"/>
              <w:spacing w:after="0"/>
              <w:rPr>
                <w:sz w:val="20"/>
                <w:szCs w:val="20"/>
                <w:color w:val="auto"/>
              </w:rPr>
            </w:pPr>
            <w:r>
              <w:rPr>
                <w:rFonts w:ascii="Arial" w:cs="Arial" w:eastAsia="Arial" w:hAnsi="Arial"/>
                <w:sz w:val="18"/>
                <w:szCs w:val="18"/>
                <w:color w:val="auto"/>
                <w:w w:val="97"/>
              </w:rPr>
              <w:t>May 26, 2018</w:t>
            </w:r>
          </w:p>
        </w:tc>
        <w:tc>
          <w:tcPr>
            <w:tcW w:w="80" w:type="dxa"/>
            <w:vAlign w:val="bottom"/>
          </w:tcPr>
          <w:p>
            <w:pPr>
              <w:spacing w:after="0"/>
              <w:rPr>
                <w:sz w:val="20"/>
                <w:szCs w:val="20"/>
                <w:color w:val="auto"/>
              </w:rPr>
            </w:pPr>
          </w:p>
        </w:tc>
        <w:tc>
          <w:tcPr>
            <w:tcW w:w="1580" w:type="dxa"/>
            <w:vAlign w:val="bottom"/>
            <w:gridSpan w:val="3"/>
          </w:tcPr>
          <w:p>
            <w:pPr>
              <w:ind w:left="20"/>
              <w:spacing w:after="0"/>
              <w:rPr>
                <w:sz w:val="20"/>
                <w:szCs w:val="20"/>
                <w:color w:val="auto"/>
              </w:rPr>
            </w:pPr>
            <w:r>
              <w:rPr>
                <w:rFonts w:ascii="Arial" w:cs="Arial" w:eastAsia="Arial" w:hAnsi="Arial"/>
                <w:sz w:val="18"/>
                <w:szCs w:val="18"/>
                <w:color w:val="auto"/>
                <w:w w:val="97"/>
              </w:rPr>
              <w:t>November 25, 2017</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100" w:type="dxa"/>
            <w:vAlign w:val="bottom"/>
            <w:gridSpan w:val="3"/>
            <w:shd w:val="clear" w:color="auto" w:fill="CCEEFF"/>
          </w:tcPr>
          <w:p>
            <w:pPr>
              <w:spacing w:after="0" w:line="170" w:lineRule="exact"/>
              <w:rPr>
                <w:sz w:val="20"/>
                <w:szCs w:val="20"/>
                <w:color w:val="auto"/>
              </w:rPr>
            </w:pPr>
            <w:r>
              <w:rPr>
                <w:rFonts w:ascii="Arial" w:cs="Arial" w:eastAsia="Arial" w:hAnsi="Arial"/>
                <w:sz w:val="18"/>
                <w:szCs w:val="18"/>
                <w:b w:val="1"/>
                <w:bCs w:val="1"/>
                <w:color w:val="auto"/>
              </w:rPr>
              <w:t>Assets</w:t>
            </w:r>
          </w:p>
        </w:tc>
        <w:tc>
          <w:tcPr>
            <w:tcW w:w="180" w:type="dxa"/>
            <w:vAlign w:val="bottom"/>
            <w:tcBorders>
              <w:top w:val="single" w:sz="8" w:color="auto"/>
            </w:tcBorders>
            <w:shd w:val="clear" w:color="auto" w:fill="CCEEFF"/>
          </w:tcPr>
          <w:p>
            <w:pPr>
              <w:spacing w:after="0"/>
              <w:rPr>
                <w:sz w:val="14"/>
                <w:szCs w:val="14"/>
                <w:color w:val="auto"/>
              </w:rPr>
            </w:pPr>
          </w:p>
        </w:tc>
        <w:tc>
          <w:tcPr>
            <w:tcW w:w="1320" w:type="dxa"/>
            <w:vAlign w:val="bottom"/>
            <w:tcBorders>
              <w:top w:val="single" w:sz="8" w:color="auto"/>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tcBorders>
              <w:top w:val="single" w:sz="8" w:color="auto"/>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60" w:type="dxa"/>
            <w:vAlign w:val="bottom"/>
            <w:tcBorders>
              <w:top w:val="single" w:sz="8" w:color="auto"/>
            </w:tcBorders>
            <w:shd w:val="clear" w:color="auto" w:fill="CCEEFF"/>
          </w:tcPr>
          <w:p>
            <w:pPr>
              <w:spacing w:after="0" w:line="20" w:lineRule="exact"/>
              <w:rPr>
                <w:sz w:val="1"/>
                <w:szCs w:val="1"/>
                <w:color w:val="auto"/>
              </w:rPr>
            </w:pPr>
          </w:p>
        </w:tc>
        <w:tc>
          <w:tcPr>
            <w:tcW w:w="2300" w:type="dxa"/>
            <w:vAlign w:val="bottom"/>
            <w:tcBorders>
              <w:top w:val="single" w:sz="8" w:color="CCEEFF"/>
            </w:tcBorders>
            <w:shd w:val="clear" w:color="auto" w:fill="CCEEFF"/>
          </w:tcPr>
          <w:p>
            <w:pPr>
              <w:spacing w:after="0" w:line="20" w:lineRule="exact"/>
              <w:rPr>
                <w:sz w:val="1"/>
                <w:szCs w:val="1"/>
                <w:color w:val="auto"/>
              </w:rPr>
            </w:pPr>
          </w:p>
        </w:tc>
        <w:tc>
          <w:tcPr>
            <w:tcW w:w="53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gridSpan w:val="3"/>
          </w:tcPr>
          <w:p>
            <w:pPr>
              <w:spacing w:after="0"/>
              <w:rPr>
                <w:sz w:val="20"/>
                <w:szCs w:val="20"/>
                <w:color w:val="auto"/>
              </w:rPr>
            </w:pPr>
            <w:r>
              <w:rPr>
                <w:rFonts w:ascii="Arial" w:cs="Arial" w:eastAsia="Arial" w:hAnsi="Arial"/>
                <w:sz w:val="18"/>
                <w:szCs w:val="18"/>
                <w:b w:val="1"/>
                <w:bCs w:val="1"/>
                <w:color w:val="auto"/>
              </w:rPr>
              <w:t>Current assets</w:t>
            </w: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22,549</w:t>
            </w:r>
          </w:p>
        </w:tc>
        <w:tc>
          <w:tcPr>
            <w:tcW w:w="5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53,949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3"/>
          </w:tcPr>
          <w:p>
            <w:pPr>
              <w:ind w:left="160"/>
              <w:spacing w:after="0"/>
              <w:rPr>
                <w:sz w:val="20"/>
                <w:szCs w:val="20"/>
                <w:color w:val="auto"/>
              </w:rPr>
            </w:pPr>
            <w:r>
              <w:rPr>
                <w:rFonts w:ascii="Arial" w:cs="Arial" w:eastAsia="Arial" w:hAnsi="Arial"/>
                <w:sz w:val="18"/>
                <w:szCs w:val="18"/>
                <w:color w:val="auto"/>
              </w:rPr>
              <w:t>Short-term investments</w:t>
            </w:r>
          </w:p>
        </w:tc>
        <w:tc>
          <w:tcPr>
            <w:tcW w:w="18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23,125</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23,125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Accounts receivable, net</w:t>
            </w: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20,619</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19,640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3"/>
          </w:tcPr>
          <w:p>
            <w:pPr>
              <w:ind w:left="160"/>
              <w:spacing w:after="0"/>
              <w:rPr>
                <w:sz w:val="20"/>
                <w:szCs w:val="20"/>
                <w:color w:val="auto"/>
              </w:rPr>
            </w:pPr>
            <w:r>
              <w:rPr>
                <w:rFonts w:ascii="Arial" w:cs="Arial" w:eastAsia="Arial" w:hAnsi="Arial"/>
                <w:sz w:val="18"/>
                <w:szCs w:val="18"/>
                <w:color w:val="auto"/>
              </w:rPr>
              <w:t>Inventories, net</w:t>
            </w:r>
          </w:p>
        </w:tc>
        <w:tc>
          <w:tcPr>
            <w:tcW w:w="18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62,086</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54,476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Other current assets</w:t>
            </w: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10,539</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8,192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Borders>
              <w:top w:val="single" w:sz="8" w:color="CCEEFF"/>
            </w:tcBorders>
            <w:gridSpan w:val="3"/>
          </w:tcPr>
          <w:p>
            <w:pPr>
              <w:spacing w:after="0"/>
              <w:rPr>
                <w:sz w:val="20"/>
                <w:szCs w:val="20"/>
                <w:color w:val="auto"/>
              </w:rPr>
            </w:pPr>
            <w:r>
              <w:rPr>
                <w:rFonts w:ascii="Arial" w:cs="Arial" w:eastAsia="Arial" w:hAnsi="Arial"/>
                <w:sz w:val="18"/>
                <w:szCs w:val="18"/>
                <w:color w:val="auto"/>
              </w:rPr>
              <w:t>Total current assets</w:t>
            </w:r>
          </w:p>
        </w:tc>
        <w:tc>
          <w:tcPr>
            <w:tcW w:w="18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138,918</w:t>
            </w: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159,382</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5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gridSpan w:val="3"/>
          </w:tcPr>
          <w:p>
            <w:pPr>
              <w:spacing w:after="0"/>
              <w:rPr>
                <w:sz w:val="20"/>
                <w:szCs w:val="20"/>
                <w:color w:val="auto"/>
              </w:rPr>
            </w:pPr>
            <w:r>
              <w:rPr>
                <w:rFonts w:ascii="Arial" w:cs="Arial" w:eastAsia="Arial" w:hAnsi="Arial"/>
                <w:sz w:val="18"/>
                <w:szCs w:val="18"/>
                <w:color w:val="auto"/>
              </w:rPr>
              <w:t>Property and equipment, net</w:t>
            </w: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101,658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103,244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5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gridSpan w:val="3"/>
          </w:tcPr>
          <w:p>
            <w:pPr>
              <w:spacing w:after="0"/>
              <w:rPr>
                <w:sz w:val="20"/>
                <w:szCs w:val="20"/>
                <w:color w:val="auto"/>
              </w:rPr>
            </w:pPr>
            <w:r>
              <w:rPr>
                <w:rFonts w:ascii="Arial" w:cs="Arial" w:eastAsia="Arial" w:hAnsi="Arial"/>
                <w:sz w:val="18"/>
                <w:szCs w:val="18"/>
                <w:b w:val="1"/>
                <w:bCs w:val="1"/>
                <w:color w:val="auto"/>
              </w:rPr>
              <w:t>Other long-term assets</w:t>
            </w: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Deferred income taxes, net</w:t>
            </w: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3"/>
          </w:tcPr>
          <w:p>
            <w:pPr>
              <w:ind w:left="160"/>
              <w:spacing w:after="0"/>
              <w:rPr>
                <w:sz w:val="20"/>
                <w:szCs w:val="20"/>
                <w:color w:val="auto"/>
              </w:rPr>
            </w:pPr>
            <w:r>
              <w:rPr>
                <w:rFonts w:ascii="Arial" w:cs="Arial" w:eastAsia="Arial" w:hAnsi="Arial"/>
                <w:sz w:val="18"/>
                <w:szCs w:val="18"/>
                <w:color w:val="auto"/>
              </w:rPr>
              <w:t>Goodwill and other intangible assets</w:t>
            </w:r>
          </w:p>
        </w:tc>
        <w:tc>
          <w:tcPr>
            <w:tcW w:w="18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28,616</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17,351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5,946</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5,378</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gridSpan w:val="3"/>
          </w:tcPr>
          <w:p>
            <w:pPr>
              <w:spacing w:after="0"/>
              <w:rPr>
                <w:sz w:val="20"/>
                <w:szCs w:val="20"/>
                <w:color w:val="auto"/>
              </w:rPr>
            </w:pPr>
            <w:r>
              <w:rPr>
                <w:rFonts w:ascii="Arial" w:cs="Arial" w:eastAsia="Arial" w:hAnsi="Arial"/>
                <w:sz w:val="18"/>
                <w:szCs w:val="18"/>
                <w:color w:val="auto"/>
              </w:rPr>
              <w:t>Total long-term assets</w:t>
            </w:r>
          </w:p>
        </w:tc>
        <w:tc>
          <w:tcPr>
            <w:tcW w:w="18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40,772</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31,122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81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281,348</w:t>
            </w:r>
          </w:p>
        </w:tc>
        <w:tc>
          <w:tcPr>
            <w:tcW w:w="140" w:type="dxa"/>
            <w:vAlign w:val="bottom"/>
            <w:shd w:val="clear" w:color="auto" w:fill="CCEEFF"/>
          </w:tcPr>
          <w:p>
            <w:pPr>
              <w:spacing w:after="0"/>
              <w:rPr>
                <w:sz w:val="21"/>
                <w:szCs w:val="21"/>
                <w:color w:val="auto"/>
              </w:rPr>
            </w:pPr>
          </w:p>
        </w:tc>
        <w:tc>
          <w:tcPr>
            <w:tcW w:w="5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293,748</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60" w:type="dxa"/>
            <w:vAlign w:val="bottom"/>
            <w:tcBorders>
              <w:top w:val="single" w:sz="8" w:color="CCEEFF"/>
            </w:tcBorders>
          </w:tcPr>
          <w:p>
            <w:pPr>
              <w:spacing w:after="0"/>
              <w:rPr>
                <w:sz w:val="17"/>
                <w:szCs w:val="17"/>
                <w:color w:val="auto"/>
              </w:rPr>
            </w:pPr>
          </w:p>
        </w:tc>
        <w:tc>
          <w:tcPr>
            <w:tcW w:w="2300" w:type="dxa"/>
            <w:vAlign w:val="bottom"/>
            <w:tcBorders>
              <w:top w:val="single" w:sz="8" w:color="CCEEFF"/>
            </w:tcBorders>
          </w:tcPr>
          <w:p>
            <w:pPr>
              <w:spacing w:after="0"/>
              <w:rPr>
                <w:sz w:val="17"/>
                <w:szCs w:val="17"/>
                <w:color w:val="auto"/>
              </w:rPr>
            </w:pPr>
          </w:p>
        </w:tc>
        <w:tc>
          <w:tcPr>
            <w:tcW w:w="534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810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Liabilities and Stockholders’ Equity</w:t>
            </w:r>
          </w:p>
        </w:tc>
        <w:tc>
          <w:tcPr>
            <w:tcW w:w="1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rPr>
              <w:t>Current liabilities</w:t>
            </w:r>
          </w:p>
        </w:tc>
        <w:tc>
          <w:tcPr>
            <w:tcW w:w="53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Accounts payable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21,787</w:t>
            </w:r>
          </w:p>
        </w:tc>
        <w:tc>
          <w:tcPr>
            <w:tcW w:w="5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21,760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3"/>
          </w:tcPr>
          <w:p>
            <w:pPr>
              <w:ind w:left="160"/>
              <w:spacing w:after="0"/>
              <w:rPr>
                <w:sz w:val="20"/>
                <w:szCs w:val="20"/>
                <w:color w:val="auto"/>
              </w:rPr>
            </w:pPr>
            <w:r>
              <w:rPr>
                <w:rFonts w:ascii="Arial" w:cs="Arial" w:eastAsia="Arial" w:hAnsi="Arial"/>
                <w:sz w:val="18"/>
                <w:szCs w:val="18"/>
                <w:color w:val="auto"/>
              </w:rPr>
              <w:t>Accrued compensation and benefits</w:t>
            </w:r>
          </w:p>
        </w:tc>
        <w:tc>
          <w:tcPr>
            <w:tcW w:w="18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13,195</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14,670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Customer deposits</w:t>
            </w: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22,093</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27,107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3"/>
          </w:tcPr>
          <w:p>
            <w:pPr>
              <w:ind w:left="160"/>
              <w:spacing w:after="0"/>
              <w:rPr>
                <w:sz w:val="20"/>
                <w:szCs w:val="20"/>
                <w:color w:val="auto"/>
              </w:rPr>
            </w:pPr>
            <w:r>
              <w:rPr>
                <w:rFonts w:ascii="Arial" w:cs="Arial" w:eastAsia="Arial" w:hAnsi="Arial"/>
                <w:sz w:val="18"/>
                <w:szCs w:val="18"/>
                <w:color w:val="auto"/>
              </w:rPr>
              <w:t>Dividends payable</w:t>
            </w: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3,759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Current portion of long-term debt</w:t>
            </w: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3"/>
          </w:tcPr>
          <w:p>
            <w:pPr>
              <w:ind w:left="160"/>
              <w:spacing w:after="0"/>
              <w:rPr>
                <w:sz w:val="20"/>
                <w:szCs w:val="20"/>
                <w:color w:val="auto"/>
              </w:rPr>
            </w:pPr>
            <w:r>
              <w:rPr>
                <w:rFonts w:ascii="Arial" w:cs="Arial" w:eastAsia="Arial" w:hAnsi="Arial"/>
                <w:sz w:val="18"/>
                <w:szCs w:val="18"/>
                <w:color w:val="auto"/>
              </w:rPr>
              <w:t>Other accrued liabilities</w:t>
            </w:r>
          </w:p>
        </w:tc>
        <w:tc>
          <w:tcPr>
            <w:tcW w:w="18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12,323</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12,655</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69,830</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83,356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2300" w:type="dxa"/>
            <w:vAlign w:val="bottom"/>
            <w:tcBorders>
              <w:top w:val="single" w:sz="8" w:color="CCEEFF"/>
            </w:tcBorders>
          </w:tcPr>
          <w:p>
            <w:pPr>
              <w:spacing w:after="0"/>
              <w:rPr>
                <w:sz w:val="18"/>
                <w:szCs w:val="18"/>
                <w:color w:val="auto"/>
              </w:rPr>
            </w:pPr>
          </w:p>
        </w:tc>
        <w:tc>
          <w:tcPr>
            <w:tcW w:w="534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Long-term liabilities</w:t>
            </w: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3"/>
          </w:tcPr>
          <w:p>
            <w:pPr>
              <w:ind w:left="160"/>
              <w:spacing w:after="0"/>
              <w:rPr>
                <w:sz w:val="20"/>
                <w:szCs w:val="20"/>
                <w:color w:val="auto"/>
              </w:rPr>
            </w:pPr>
            <w:r>
              <w:rPr>
                <w:rFonts w:ascii="Arial" w:cs="Arial" w:eastAsia="Arial" w:hAnsi="Arial"/>
                <w:sz w:val="18"/>
                <w:szCs w:val="18"/>
                <w:color w:val="auto"/>
              </w:rPr>
              <w:t>Post employment benefit obligations</w:t>
            </w:r>
          </w:p>
        </w:tc>
        <w:tc>
          <w:tcPr>
            <w:tcW w:w="18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13,672</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13,326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Long-term debt</w:t>
            </w: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3"/>
          </w:tcPr>
          <w:p>
            <w:pPr>
              <w:ind w:left="160"/>
              <w:spacing w:after="0"/>
              <w:rPr>
                <w:sz w:val="20"/>
                <w:szCs w:val="20"/>
                <w:color w:val="auto"/>
              </w:rPr>
            </w:pPr>
            <w:r>
              <w:rPr>
                <w:rFonts w:ascii="Arial" w:cs="Arial" w:eastAsia="Arial" w:hAnsi="Arial"/>
                <w:sz w:val="18"/>
                <w:szCs w:val="18"/>
                <w:color w:val="auto"/>
              </w:rPr>
              <w:t>Other long-term liabilities</w:t>
            </w: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5,641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5,277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long-term liabilities</w:t>
            </w: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19,422</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18,932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2300" w:type="dxa"/>
            <w:vAlign w:val="bottom"/>
            <w:tcBorders>
              <w:top w:val="single" w:sz="8" w:color="CCEEFF"/>
            </w:tcBorders>
          </w:tcPr>
          <w:p>
            <w:pPr>
              <w:spacing w:after="0"/>
              <w:rPr>
                <w:sz w:val="18"/>
                <w:szCs w:val="18"/>
                <w:color w:val="auto"/>
              </w:rPr>
            </w:pPr>
          </w:p>
        </w:tc>
        <w:tc>
          <w:tcPr>
            <w:tcW w:w="534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5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gridSpan w:val="3"/>
          </w:tcPr>
          <w:p>
            <w:pPr>
              <w:spacing w:after="0"/>
              <w:rPr>
                <w:sz w:val="20"/>
                <w:szCs w:val="20"/>
                <w:color w:val="auto"/>
              </w:rPr>
            </w:pPr>
            <w:r>
              <w:rPr>
                <w:rFonts w:ascii="Arial" w:cs="Arial" w:eastAsia="Arial" w:hAnsi="Arial"/>
                <w:sz w:val="18"/>
                <w:szCs w:val="18"/>
                <w:b w:val="1"/>
                <w:bCs w:val="1"/>
                <w:color w:val="auto"/>
              </w:rPr>
              <w:t>Stockholders’ equity</w:t>
            </w: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Common stock</w:t>
            </w: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53,736</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53,690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3"/>
          </w:tcPr>
          <w:p>
            <w:pPr>
              <w:ind w:left="160"/>
              <w:spacing w:after="0"/>
              <w:rPr>
                <w:sz w:val="20"/>
                <w:szCs w:val="20"/>
                <w:color w:val="auto"/>
              </w:rPr>
            </w:pPr>
            <w:r>
              <w:rPr>
                <w:rFonts w:ascii="Arial" w:cs="Arial" w:eastAsia="Arial" w:hAnsi="Arial"/>
                <w:sz w:val="18"/>
                <w:szCs w:val="18"/>
                <w:color w:val="auto"/>
              </w:rPr>
              <w:t>Retained earnings</w:t>
            </w: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140,934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139,378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Additional paid-in-capital</w:t>
            </w: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3"/>
          </w:tcPr>
          <w:p>
            <w:pPr>
              <w:ind w:left="160"/>
              <w:spacing w:after="0"/>
              <w:rPr>
                <w:sz w:val="20"/>
                <w:szCs w:val="20"/>
                <w:color w:val="auto"/>
              </w:rPr>
            </w:pPr>
            <w:r>
              <w:rPr>
                <w:rFonts w:ascii="Arial" w:cs="Arial" w:eastAsia="Arial" w:hAnsi="Arial"/>
                <w:sz w:val="18"/>
                <w:szCs w:val="18"/>
                <w:color w:val="auto"/>
              </w:rPr>
              <w:t>Accumulated other comprehensive loss</w:t>
            </w:r>
          </w:p>
        </w:tc>
        <w:tc>
          <w:tcPr>
            <w:tcW w:w="180" w:type="dxa"/>
            <w:vAlign w:val="bottom"/>
          </w:tcPr>
          <w:p>
            <w:pPr>
              <w:spacing w:after="0"/>
              <w:rPr>
                <w:sz w:val="18"/>
                <w:szCs w:val="18"/>
                <w:color w:val="auto"/>
              </w:rPr>
            </w:pP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(2,956)</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(2,570)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192,096</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191,460</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120" w:type="dxa"/>
            <w:vAlign w:val="bottom"/>
            <w:gridSpan w:val="4"/>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281,348</w:t>
            </w:r>
          </w:p>
        </w:tc>
        <w:tc>
          <w:tcPr>
            <w:tcW w:w="140" w:type="dxa"/>
            <w:vAlign w:val="bottom"/>
          </w:tcPr>
          <w:p>
            <w:pPr>
              <w:spacing w:after="0"/>
              <w:rPr>
                <w:sz w:val="18"/>
                <w:szCs w:val="18"/>
                <w:color w:val="auto"/>
              </w:rPr>
            </w:pPr>
          </w:p>
        </w:tc>
        <w:tc>
          <w:tcPr>
            <w:tcW w:w="5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293,748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5"/>
        </w:trPr>
        <w:tc>
          <w:tcPr>
            <w:tcW w:w="2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tcPr>
          <w:p>
            <w:pPr>
              <w:spacing w:after="0"/>
              <w:rPr>
                <w:sz w:val="24"/>
                <w:szCs w:val="24"/>
                <w:color w:val="auto"/>
              </w:rPr>
            </w:pPr>
          </w:p>
        </w:tc>
        <w:tc>
          <w:tcPr>
            <w:tcW w:w="53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4"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color w:val="auto"/>
        </w:rPr>
        <w:t>BASSETT FURNITURE INDUSTRIES,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Cash Flows -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8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120" w:type="dxa"/>
            <w:vAlign w:val="bottom"/>
            <w:gridSpan w:val="6"/>
          </w:tcPr>
          <w:p>
            <w:pPr>
              <w:jc w:val="right"/>
              <w:ind w:right="1040"/>
              <w:spacing w:after="0"/>
              <w:rPr>
                <w:sz w:val="20"/>
                <w:szCs w:val="20"/>
                <w:color w:val="auto"/>
              </w:rPr>
            </w:pPr>
            <w:r>
              <w:rPr>
                <w:rFonts w:ascii="Arial" w:cs="Arial" w:eastAsia="Arial" w:hAnsi="Arial"/>
                <w:sz w:val="18"/>
                <w:szCs w:val="18"/>
                <w:color w:val="auto"/>
              </w:rPr>
              <w:t>Six Months Ended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gridSpan w:val="2"/>
          </w:tcPr>
          <w:p>
            <w:pPr>
              <w:jc w:val="right"/>
              <w:ind w:right="380"/>
              <w:spacing w:after="0"/>
              <w:rPr>
                <w:sz w:val="20"/>
                <w:szCs w:val="20"/>
                <w:color w:val="auto"/>
              </w:rPr>
            </w:pPr>
            <w:r>
              <w:rPr>
                <w:rFonts w:ascii="Arial" w:cs="Arial" w:eastAsia="Arial" w:hAnsi="Arial"/>
                <w:sz w:val="18"/>
                <w:szCs w:val="18"/>
                <w:color w:val="auto"/>
                <w:w w:val="97"/>
              </w:rPr>
              <w:t>May 26, 2018</w:t>
            </w:r>
          </w:p>
        </w:tc>
        <w:tc>
          <w:tcPr>
            <w:tcW w:w="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7"/>
              </w:rPr>
              <w:t>May 27, 2017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activities:</w:t>
            </w:r>
          </w:p>
        </w:tc>
        <w:tc>
          <w:tcPr>
            <w:tcW w:w="18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Net income</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3,376</w:t>
            </w:r>
          </w:p>
        </w:tc>
        <w:tc>
          <w:tcPr>
            <w:tcW w:w="140" w:type="dxa"/>
            <w:vAlign w:val="bottom"/>
          </w:tcPr>
          <w:p>
            <w:pPr>
              <w:spacing w:after="0"/>
              <w:rPr>
                <w:sz w:val="18"/>
                <w:szCs w:val="18"/>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8,703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(used in) operating activities:</w:t>
            </w: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320"/>
              <w:spacing w:after="0"/>
              <w:rPr>
                <w:sz w:val="20"/>
                <w:szCs w:val="20"/>
                <w:color w:val="auto"/>
              </w:rPr>
            </w:pPr>
            <w:r>
              <w:rPr>
                <w:rFonts w:ascii="Arial" w:cs="Arial" w:eastAsia="Arial" w:hAnsi="Arial"/>
                <w:sz w:val="18"/>
                <w:szCs w:val="18"/>
                <w:color w:val="auto"/>
              </w:rPr>
              <w:t>Depreciation and amortization</w:t>
            </w: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6,688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6,706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Provision for asset impairment charge</w:t>
            </w: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320"/>
              <w:spacing w:after="0"/>
              <w:rPr>
                <w:sz w:val="20"/>
                <w:szCs w:val="20"/>
                <w:color w:val="auto"/>
              </w:rPr>
            </w:pPr>
            <w:r>
              <w:rPr>
                <w:rFonts w:ascii="Arial" w:cs="Arial" w:eastAsia="Arial" w:hAnsi="Arial"/>
                <w:sz w:val="18"/>
                <w:szCs w:val="18"/>
                <w:color w:val="auto"/>
              </w:rPr>
              <w:t>Gain on sale of property and equipment</w:t>
            </w:r>
          </w:p>
        </w:tc>
        <w:tc>
          <w:tcPr>
            <w:tcW w:w="180" w:type="dxa"/>
            <w:vAlign w:val="bottom"/>
          </w:tcPr>
          <w:p>
            <w:pPr>
              <w:spacing w:after="0"/>
              <w:rPr>
                <w:sz w:val="18"/>
                <w:szCs w:val="18"/>
                <w:color w:val="auto"/>
              </w:rPr>
            </w:pP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(136)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Gain on sale of investments</w:t>
            </w: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320"/>
              <w:spacing w:after="0"/>
              <w:rPr>
                <w:sz w:val="20"/>
                <w:szCs w:val="20"/>
                <w:color w:val="auto"/>
              </w:rPr>
            </w:pPr>
            <w:r>
              <w:rPr>
                <w:rFonts w:ascii="Arial" w:cs="Arial" w:eastAsia="Arial" w:hAnsi="Arial"/>
                <w:sz w:val="18"/>
                <w:szCs w:val="18"/>
                <w:color w:val="auto"/>
              </w:rPr>
              <w:t>Tenant improvement allowances received from lessors</w:t>
            </w: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860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715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Deferred income taxes</w:t>
            </w: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320"/>
              <w:spacing w:after="0"/>
              <w:rPr>
                <w:sz w:val="20"/>
                <w:szCs w:val="20"/>
                <w:color w:val="auto"/>
              </w:rPr>
            </w:pPr>
            <w:r>
              <w:rPr>
                <w:rFonts w:ascii="Arial" w:cs="Arial" w:eastAsia="Arial" w:hAnsi="Arial"/>
                <w:sz w:val="18"/>
                <w:szCs w:val="18"/>
                <w:color w:val="auto"/>
              </w:rPr>
              <w:t>Other, net</w:t>
            </w: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794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960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Changes in operating assets and liabilities</w:t>
            </w: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640"/>
              <w:spacing w:after="0"/>
              <w:rPr>
                <w:sz w:val="20"/>
                <w:szCs w:val="20"/>
                <w:color w:val="auto"/>
              </w:rPr>
            </w:pPr>
            <w:r>
              <w:rPr>
                <w:rFonts w:ascii="Arial" w:cs="Arial" w:eastAsia="Arial" w:hAnsi="Arial"/>
                <w:sz w:val="18"/>
                <w:szCs w:val="18"/>
                <w:color w:val="auto"/>
              </w:rPr>
              <w:t>Accounts receivable</w:t>
            </w: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(904)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Inventories</w:t>
            </w: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(3,689)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640"/>
              <w:spacing w:after="0"/>
              <w:rPr>
                <w:sz w:val="20"/>
                <w:szCs w:val="20"/>
                <w:color w:val="auto"/>
              </w:rPr>
            </w:pPr>
            <w:r>
              <w:rPr>
                <w:rFonts w:ascii="Arial" w:cs="Arial" w:eastAsia="Arial" w:hAnsi="Arial"/>
                <w:sz w:val="18"/>
                <w:szCs w:val="18"/>
                <w:color w:val="auto"/>
              </w:rPr>
              <w:t>Other current and long-term assets</w:t>
            </w:r>
          </w:p>
        </w:tc>
        <w:tc>
          <w:tcPr>
            <w:tcW w:w="180" w:type="dxa"/>
            <w:vAlign w:val="bottom"/>
          </w:tcPr>
          <w:p>
            <w:pPr>
              <w:spacing w:after="0"/>
              <w:rPr>
                <w:sz w:val="18"/>
                <w:szCs w:val="18"/>
                <w:color w:val="auto"/>
              </w:rPr>
            </w:pP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(2,311)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2,128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Customer deposits</w:t>
            </w: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(5,014)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640"/>
              <w:spacing w:after="0"/>
              <w:rPr>
                <w:sz w:val="20"/>
                <w:szCs w:val="20"/>
                <w:color w:val="auto"/>
              </w:rPr>
            </w:pPr>
            <w:r>
              <w:rPr>
                <w:rFonts w:ascii="Arial" w:cs="Arial" w:eastAsia="Arial" w:hAnsi="Arial"/>
                <w:sz w:val="18"/>
                <w:szCs w:val="18"/>
                <w:color w:val="auto"/>
              </w:rPr>
              <w:t>Accounts payable and accrued liabilities</w:t>
            </w:r>
          </w:p>
        </w:tc>
        <w:tc>
          <w:tcPr>
            <w:tcW w:w="180" w:type="dxa"/>
            <w:vAlign w:val="bottom"/>
          </w:tcPr>
          <w:p>
            <w:pPr>
              <w:spacing w:after="0"/>
              <w:rPr>
                <w:sz w:val="18"/>
                <w:szCs w:val="18"/>
                <w:color w:val="auto"/>
              </w:rPr>
            </w:pP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(3,045)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shd w:val="clear" w:color="auto" w:fill="CCEEFF"/>
          </w:tcPr>
          <w:p>
            <w:pPr>
              <w:ind w:left="480"/>
              <w:spacing w:after="0"/>
              <w:rPr>
                <w:sz w:val="20"/>
                <w:szCs w:val="20"/>
                <w:color w:val="auto"/>
              </w:rPr>
            </w:pPr>
            <w:r>
              <w:rPr>
                <w:rFonts w:ascii="Arial" w:cs="Arial" w:eastAsia="Arial" w:hAnsi="Arial"/>
                <w:sz w:val="18"/>
                <w:szCs w:val="18"/>
                <w:b w:val="1"/>
                <w:bCs w:val="1"/>
                <w:color w:val="auto"/>
              </w:rPr>
              <w:t>Net cash provided by (used in) operating activities</w:t>
            </w: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9,492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1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Investing activities:</w:t>
            </w: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Purchases of property and equipment</w:t>
            </w:r>
          </w:p>
        </w:tc>
        <w:tc>
          <w:tcPr>
            <w:tcW w:w="180" w:type="dxa"/>
            <w:vAlign w:val="bottom"/>
          </w:tcPr>
          <w:p>
            <w:pPr>
              <w:spacing w:after="0"/>
              <w:rPr>
                <w:sz w:val="18"/>
                <w:szCs w:val="18"/>
                <w:color w:val="auto"/>
              </w:rPr>
            </w:pP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(7,662)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(9,172)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sale of retail real estate and property and equipment</w:t>
            </w: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Cash paid for business acquisition</w:t>
            </w:r>
          </w:p>
        </w:tc>
        <w:tc>
          <w:tcPr>
            <w:tcW w:w="180" w:type="dxa"/>
            <w:vAlign w:val="bottom"/>
          </w:tcPr>
          <w:p>
            <w:pPr>
              <w:spacing w:after="0"/>
              <w:rPr>
                <w:sz w:val="18"/>
                <w:szCs w:val="18"/>
                <w:color w:val="auto"/>
              </w:rPr>
            </w:pP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(15,556)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sale of investments</w:t>
            </w: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Acquisition of retail licensee store</w:t>
            </w: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(655)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Pr>
          <w:p>
            <w:pPr>
              <w:ind w:left="480"/>
              <w:spacing w:after="0"/>
              <w:rPr>
                <w:sz w:val="20"/>
                <w:szCs w:val="20"/>
                <w:color w:val="auto"/>
              </w:rPr>
            </w:pPr>
            <w:r>
              <w:rPr>
                <w:rFonts w:ascii="Arial" w:cs="Arial" w:eastAsia="Arial" w:hAnsi="Arial"/>
                <w:sz w:val="18"/>
                <w:szCs w:val="18"/>
                <w:b w:val="1"/>
                <w:bCs w:val="1"/>
                <w:color w:val="auto"/>
              </w:rPr>
              <w:t>Net cash used in investing activities</w:t>
            </w:r>
          </w:p>
        </w:tc>
        <w:tc>
          <w:tcPr>
            <w:tcW w:w="180" w:type="dxa"/>
            <w:vAlign w:val="bottom"/>
          </w:tcPr>
          <w:p>
            <w:pPr>
              <w:spacing w:after="0"/>
              <w:rPr>
                <w:sz w:val="18"/>
                <w:szCs w:val="18"/>
                <w:color w:val="auto"/>
              </w:rPr>
            </w:pP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(20,755)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(5,949)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1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b w:val="1"/>
                <w:bCs w:val="1"/>
                <w:color w:val="auto"/>
              </w:rPr>
              <w:t>Financing activities:</w:t>
            </w: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Cash dividends</w:t>
            </w: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(6,124)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Proceeds from the exercise of stock options</w:t>
            </w: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Other issuance of common stock</w:t>
            </w: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Repurchases of common stock</w:t>
            </w:r>
          </w:p>
        </w:tc>
        <w:tc>
          <w:tcPr>
            <w:tcW w:w="180" w:type="dxa"/>
            <w:vAlign w:val="bottom"/>
          </w:tcPr>
          <w:p>
            <w:pPr>
              <w:spacing w:after="0"/>
              <w:rPr>
                <w:sz w:val="18"/>
                <w:szCs w:val="18"/>
                <w:color w:val="auto"/>
              </w:rPr>
            </w:pP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(823)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Taxes paid related to net share settlement of equity awards</w:t>
            </w: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(522)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Repayments of notes payable</w:t>
            </w:r>
          </w:p>
        </w:tc>
        <w:tc>
          <w:tcPr>
            <w:tcW w:w="180" w:type="dxa"/>
            <w:vAlign w:val="bottom"/>
          </w:tcPr>
          <w:p>
            <w:pPr>
              <w:spacing w:after="0"/>
              <w:rPr>
                <w:sz w:val="18"/>
                <w:szCs w:val="18"/>
                <w:color w:val="auto"/>
              </w:rPr>
            </w:pP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(3,206)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(3,191)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shd w:val="clear" w:color="auto" w:fill="CCEEFF"/>
          </w:tcPr>
          <w:p>
            <w:pPr>
              <w:ind w:left="480"/>
              <w:spacing w:after="0"/>
              <w:rPr>
                <w:sz w:val="20"/>
                <w:szCs w:val="20"/>
                <w:color w:val="auto"/>
              </w:rPr>
            </w:pPr>
            <w:r>
              <w:rPr>
                <w:rFonts w:ascii="Arial" w:cs="Arial" w:eastAsia="Arial" w:hAnsi="Arial"/>
                <w:sz w:val="18"/>
                <w:szCs w:val="18"/>
                <w:b w:val="1"/>
                <w:bCs w:val="1"/>
                <w:color w:val="auto"/>
              </w:rPr>
              <w:t>Net cash used in financing activities</w:t>
            </w: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(10,475)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(8,889)</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1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b w:val="1"/>
                <w:bCs w:val="1"/>
                <w:color w:val="auto"/>
              </w:rPr>
              <w:t>Change in cash and cash equivalents</w:t>
            </w:r>
          </w:p>
        </w:tc>
        <w:tc>
          <w:tcPr>
            <w:tcW w:w="180" w:type="dxa"/>
            <w:vAlign w:val="bottom"/>
          </w:tcPr>
          <w:p>
            <w:pPr>
              <w:spacing w:after="0"/>
              <w:rPr>
                <w:sz w:val="18"/>
                <w:szCs w:val="18"/>
                <w:color w:val="auto"/>
              </w:rPr>
            </w:pP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(31,400)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(5,346)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 beginning of period</w:t>
            </w:r>
          </w:p>
        </w:tc>
        <w:tc>
          <w:tcPr>
            <w:tcW w:w="1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53,949</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35,144</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120" w:type="dxa"/>
            <w:vAlign w:val="bottom"/>
            <w:gridSpan w:val="2"/>
          </w:tcPr>
          <w:p>
            <w:pPr>
              <w:spacing w:after="0"/>
              <w:rPr>
                <w:sz w:val="20"/>
                <w:szCs w:val="20"/>
                <w:color w:val="auto"/>
              </w:rPr>
            </w:pPr>
            <w:r>
              <w:rPr>
                <w:rFonts w:ascii="Arial" w:cs="Arial" w:eastAsia="Arial" w:hAnsi="Arial"/>
                <w:sz w:val="18"/>
                <w:szCs w:val="18"/>
                <w:b w:val="1"/>
                <w:bCs w:val="1"/>
                <w:color w:val="auto"/>
              </w:rPr>
              <w:t>Cash and cash equivalents - end of period</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22,549</w:t>
            </w:r>
          </w:p>
        </w:tc>
        <w:tc>
          <w:tcPr>
            <w:tcW w:w="140" w:type="dxa"/>
            <w:vAlign w:val="bottom"/>
          </w:tcPr>
          <w:p>
            <w:pPr>
              <w:spacing w:after="0"/>
              <w:rPr>
                <w:sz w:val="18"/>
                <w:szCs w:val="18"/>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29,798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5"/>
        </w:trPr>
        <w:tc>
          <w:tcPr>
            <w:tcW w:w="20" w:type="dxa"/>
            <w:vAlign w:val="bottom"/>
          </w:tcPr>
          <w:p>
            <w:pPr>
              <w:spacing w:after="0"/>
              <w:rPr>
                <w:sz w:val="24"/>
                <w:szCs w:val="24"/>
                <w:color w:val="auto"/>
              </w:rPr>
            </w:pPr>
          </w:p>
        </w:tc>
        <w:tc>
          <w:tcPr>
            <w:tcW w:w="8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4"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color w:val="auto"/>
        </w:rPr>
        <w:t>BASSETT FURNITURE INDUSTRIES,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Segment Information -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320" w:type="dxa"/>
            <w:vAlign w:val="bottom"/>
            <w:gridSpan w:val="4"/>
          </w:tcPr>
          <w:p>
            <w:pPr>
              <w:jc w:val="right"/>
              <w:ind w:right="1340"/>
              <w:spacing w:after="0"/>
              <w:rPr>
                <w:sz w:val="20"/>
                <w:szCs w:val="20"/>
                <w:color w:val="auto"/>
              </w:rPr>
            </w:pPr>
            <w:r>
              <w:rPr>
                <w:rFonts w:ascii="Arial" w:cs="Arial" w:eastAsia="Arial" w:hAnsi="Arial"/>
                <w:sz w:val="18"/>
                <w:szCs w:val="18"/>
                <w:color w:val="auto"/>
              </w:rPr>
              <w:t>Quarter Ended</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100" w:type="dxa"/>
            <w:vAlign w:val="bottom"/>
            <w:gridSpan w:val="4"/>
          </w:tcPr>
          <w:p>
            <w:pPr>
              <w:jc w:val="right"/>
              <w:ind w:right="1020"/>
              <w:spacing w:after="0"/>
              <w:rPr>
                <w:sz w:val="20"/>
                <w:szCs w:val="20"/>
                <w:color w:val="auto"/>
              </w:rPr>
            </w:pPr>
            <w:r>
              <w:rPr>
                <w:rFonts w:ascii="Arial" w:cs="Arial" w:eastAsia="Arial" w:hAnsi="Arial"/>
                <w:sz w:val="18"/>
                <w:szCs w:val="18"/>
                <w:color w:val="auto"/>
              </w:rPr>
              <w:t>Six Months Ended</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ind w:right="294"/>
              <w:spacing w:after="0"/>
              <w:rPr>
                <w:sz w:val="20"/>
                <w:szCs w:val="20"/>
                <w:color w:val="auto"/>
              </w:rPr>
            </w:pPr>
            <w:r>
              <w:rPr>
                <w:rFonts w:ascii="Arial" w:cs="Arial" w:eastAsia="Arial" w:hAnsi="Arial"/>
                <w:sz w:val="18"/>
                <w:szCs w:val="18"/>
                <w:color w:val="auto"/>
                <w:w w:val="98"/>
              </w:rPr>
              <w:t>May 26, 2018</w:t>
            </w:r>
          </w:p>
        </w:tc>
        <w:tc>
          <w:tcPr>
            <w:tcW w:w="26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7"/>
              </w:rPr>
              <w:t>May 27, 2017</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jc w:val="right"/>
              <w:ind w:right="274"/>
              <w:spacing w:after="0"/>
              <w:rPr>
                <w:sz w:val="20"/>
                <w:szCs w:val="20"/>
                <w:color w:val="auto"/>
              </w:rPr>
            </w:pPr>
            <w:r>
              <w:rPr>
                <w:rFonts w:ascii="Arial" w:cs="Arial" w:eastAsia="Arial" w:hAnsi="Arial"/>
                <w:sz w:val="18"/>
                <w:szCs w:val="18"/>
                <w:color w:val="auto"/>
                <w:w w:val="97"/>
              </w:rPr>
              <w:t>May 26, 2018</w:t>
            </w:r>
          </w:p>
        </w:tc>
        <w:tc>
          <w:tcPr>
            <w:tcW w:w="24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7"/>
              </w:rPr>
              <w:t>May 27, 2017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Sales</w:t>
            </w: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Wholesale</w:t>
            </w: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54"/>
              <w:spacing w:after="0"/>
              <w:rPr>
                <w:sz w:val="20"/>
                <w:szCs w:val="20"/>
                <w:color w:val="auto"/>
              </w:rPr>
            </w:pPr>
            <w:r>
              <w:rPr>
                <w:rFonts w:ascii="Arial" w:cs="Arial" w:eastAsia="Arial" w:hAnsi="Arial"/>
                <w:sz w:val="18"/>
                <w:szCs w:val="18"/>
                <w:color w:val="auto"/>
              </w:rPr>
              <w:t>63,788</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260"/>
              <w:spacing w:after="0"/>
              <w:rPr>
                <w:sz w:val="20"/>
                <w:szCs w:val="20"/>
                <w:color w:val="auto"/>
              </w:rPr>
            </w:pPr>
            <w:r>
              <w:rPr>
                <w:rFonts w:ascii="Arial" w:cs="Arial" w:eastAsia="Arial" w:hAnsi="Arial"/>
                <w:sz w:val="18"/>
                <w:szCs w:val="18"/>
                <w:color w:val="auto"/>
              </w:rPr>
              <w:t>62,293</w:t>
            </w:r>
          </w:p>
        </w:tc>
        <w:tc>
          <w:tcPr>
            <w:tcW w:w="3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54"/>
              <w:spacing w:after="0"/>
              <w:rPr>
                <w:sz w:val="20"/>
                <w:szCs w:val="20"/>
                <w:color w:val="auto"/>
              </w:rPr>
            </w:pPr>
            <w:r>
              <w:rPr>
                <w:rFonts w:ascii="Arial" w:cs="Arial" w:eastAsia="Arial" w:hAnsi="Arial"/>
                <w:sz w:val="18"/>
                <w:szCs w:val="18"/>
                <w:color w:val="auto"/>
              </w:rPr>
              <w:t>126,888</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124,268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Retail - Company-owned stores</w:t>
            </w: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68,682</w:t>
            </w:r>
          </w:p>
        </w:tc>
        <w:tc>
          <w:tcPr>
            <w:tcW w:w="2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67,144</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133,343</w:t>
            </w: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128,737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Logistical services</w:t>
            </w: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ind w:right="54"/>
              <w:spacing w:after="0"/>
              <w:rPr>
                <w:sz w:val="20"/>
                <w:szCs w:val="20"/>
                <w:color w:val="auto"/>
              </w:rPr>
            </w:pPr>
            <w:r>
              <w:rPr>
                <w:rFonts w:ascii="Arial" w:cs="Arial" w:eastAsia="Arial" w:hAnsi="Arial"/>
                <w:sz w:val="18"/>
                <w:szCs w:val="18"/>
                <w:color w:val="auto"/>
              </w:rPr>
              <w:t>24,929</w:t>
            </w:r>
          </w:p>
        </w:tc>
        <w:tc>
          <w:tcPr>
            <w:tcW w:w="260" w:type="dxa"/>
            <w:vAlign w:val="bottom"/>
          </w:tcPr>
          <w:p>
            <w:pPr>
              <w:spacing w:after="0"/>
              <w:rPr>
                <w:sz w:val="18"/>
                <w:szCs w:val="18"/>
                <w:color w:val="auto"/>
              </w:rPr>
            </w:pPr>
          </w:p>
        </w:tc>
        <w:tc>
          <w:tcPr>
            <w:tcW w:w="1580" w:type="dxa"/>
            <w:vAlign w:val="bottom"/>
            <w:gridSpan w:val="2"/>
          </w:tcPr>
          <w:p>
            <w:pPr>
              <w:jc w:val="right"/>
              <w:ind w:right="260"/>
              <w:spacing w:after="0"/>
              <w:rPr>
                <w:sz w:val="20"/>
                <w:szCs w:val="20"/>
                <w:color w:val="auto"/>
              </w:rPr>
            </w:pPr>
            <w:r>
              <w:rPr>
                <w:rFonts w:ascii="Arial" w:cs="Arial" w:eastAsia="Arial" w:hAnsi="Arial"/>
                <w:sz w:val="18"/>
                <w:szCs w:val="18"/>
                <w:color w:val="auto"/>
              </w:rPr>
              <w:t>24,626</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right"/>
              <w:ind w:right="54"/>
              <w:spacing w:after="0"/>
              <w:rPr>
                <w:sz w:val="20"/>
                <w:szCs w:val="20"/>
                <w:color w:val="auto"/>
              </w:rPr>
            </w:pPr>
            <w:r>
              <w:rPr>
                <w:rFonts w:ascii="Arial" w:cs="Arial" w:eastAsia="Arial" w:hAnsi="Arial"/>
                <w:sz w:val="18"/>
                <w:szCs w:val="18"/>
                <w:color w:val="auto"/>
              </w:rPr>
              <w:t>50,178</w:t>
            </w:r>
          </w:p>
        </w:tc>
        <w:tc>
          <w:tcPr>
            <w:tcW w:w="2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46,960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Inter-company eliminations:</w:t>
            </w: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Pr>
          <w:p>
            <w:pPr>
              <w:ind w:left="160"/>
              <w:spacing w:after="0"/>
              <w:rPr>
                <w:sz w:val="20"/>
                <w:szCs w:val="20"/>
                <w:color w:val="auto"/>
              </w:rPr>
            </w:pPr>
            <w:r>
              <w:rPr>
                <w:rFonts w:ascii="Arial" w:cs="Arial" w:eastAsia="Arial" w:hAnsi="Arial"/>
                <w:sz w:val="18"/>
                <w:szCs w:val="18"/>
                <w:color w:val="auto"/>
              </w:rPr>
              <w:t>Furniture and accessories</w:t>
            </w: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(29,795)</w:t>
            </w:r>
          </w:p>
        </w:tc>
        <w:tc>
          <w:tcPr>
            <w:tcW w:w="260" w:type="dxa"/>
            <w:vAlign w:val="bottom"/>
          </w:tcPr>
          <w:p>
            <w:pPr>
              <w:spacing w:after="0"/>
              <w:rPr>
                <w:sz w:val="18"/>
                <w:szCs w:val="18"/>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(29,143)</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(61,433)</w:t>
            </w:r>
          </w:p>
        </w:tc>
        <w:tc>
          <w:tcPr>
            <w:tcW w:w="240" w:type="dxa"/>
            <w:vAlign w:val="bottom"/>
          </w:tcPr>
          <w:p>
            <w:pPr>
              <w:spacing w:after="0"/>
              <w:rPr>
                <w:sz w:val="18"/>
                <w:szCs w:val="18"/>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(59,013)</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360" w:type="dxa"/>
            <w:vAlign w:val="bottom"/>
            <w:vMerge w:val="restart"/>
            <w:shd w:val="clear" w:color="auto" w:fill="CCEEFF"/>
          </w:tcPr>
          <w:p>
            <w:pPr>
              <w:ind w:left="160"/>
              <w:spacing w:after="0"/>
              <w:rPr>
                <w:sz w:val="20"/>
                <w:szCs w:val="20"/>
                <w:color w:val="auto"/>
              </w:rPr>
            </w:pPr>
            <w:r>
              <w:rPr>
                <w:rFonts w:ascii="Arial" w:cs="Arial" w:eastAsia="Arial" w:hAnsi="Arial"/>
                <w:sz w:val="18"/>
                <w:szCs w:val="18"/>
                <w:color w:val="auto"/>
              </w:rPr>
              <w:t>Logistical services</w:t>
            </w:r>
          </w:p>
        </w:tc>
        <w:tc>
          <w:tcPr>
            <w:tcW w:w="1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80" w:type="dxa"/>
            <w:vAlign w:val="bottom"/>
            <w:shd w:val="clear" w:color="auto" w:fill="CCEEFF"/>
          </w:tcPr>
          <w:p>
            <w:pPr>
              <w:jc w:val="right"/>
              <w:spacing w:after="0" w:line="162"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4"/>
                <w:szCs w:val="14"/>
                <w:color w:val="auto"/>
              </w:rPr>
            </w:pPr>
          </w:p>
        </w:tc>
        <w:tc>
          <w:tcPr>
            <w:tcW w:w="15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(10,795)</w:t>
            </w: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40" w:type="dxa"/>
            <w:vAlign w:val="bottom"/>
            <w:shd w:val="clear" w:color="auto" w:fill="CCEEFF"/>
          </w:tcPr>
          <w:p>
            <w:pPr>
              <w:jc w:val="right"/>
              <w:spacing w:after="0" w:line="162"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4"/>
                <w:szCs w:val="14"/>
                <w:color w:val="auto"/>
              </w:rPr>
            </w:pPr>
          </w:p>
        </w:tc>
        <w:tc>
          <w:tcPr>
            <w:tcW w:w="142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(20,935)</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3360" w:type="dxa"/>
            <w:vAlign w:val="bottom"/>
            <w:vMerge w:val="continue"/>
            <w:shd w:val="clear" w:color="auto" w:fill="CCEEFF"/>
          </w:tcPr>
          <w:p>
            <w:pPr>
              <w:spacing w:after="0"/>
              <w:rPr>
                <w:sz w:val="5"/>
                <w:szCs w:val="5"/>
                <w:color w:val="auto"/>
              </w:rPr>
            </w:pPr>
          </w:p>
        </w:tc>
        <w:tc>
          <w:tcPr>
            <w:tcW w:w="110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480" w:type="dxa"/>
            <w:vAlign w:val="bottom"/>
            <w:shd w:val="clear" w:color="auto" w:fill="CCEEFF"/>
          </w:tcPr>
          <w:p>
            <w:pPr>
              <w:jc w:val="right"/>
              <w:ind w:right="54"/>
              <w:spacing w:after="0" w:line="68" w:lineRule="exact"/>
              <w:rPr>
                <w:sz w:val="20"/>
                <w:szCs w:val="20"/>
                <w:color w:val="auto"/>
              </w:rPr>
            </w:pPr>
            <w:r>
              <w:rPr>
                <w:rFonts w:ascii="Arial" w:cs="Arial" w:eastAsia="Arial" w:hAnsi="Arial"/>
                <w:sz w:val="7"/>
                <w:szCs w:val="7"/>
                <w:color w:val="auto"/>
              </w:rPr>
              <w:t>(10,624</w:t>
            </w:r>
          </w:p>
        </w:tc>
        <w:tc>
          <w:tcPr>
            <w:tcW w:w="260" w:type="dxa"/>
            <w:vAlign w:val="bottom"/>
            <w:shd w:val="clear" w:color="auto" w:fill="CCEEFF"/>
          </w:tcPr>
          <w:p>
            <w:pPr>
              <w:spacing w:after="0"/>
              <w:rPr>
                <w:sz w:val="5"/>
                <w:szCs w:val="5"/>
                <w:color w:val="auto"/>
              </w:rPr>
            </w:pPr>
          </w:p>
        </w:tc>
        <w:tc>
          <w:tcPr>
            <w:tcW w:w="1580" w:type="dxa"/>
            <w:vAlign w:val="bottom"/>
            <w:gridSpan w:val="2"/>
            <w:vMerge w:val="continue"/>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440" w:type="dxa"/>
            <w:vAlign w:val="bottom"/>
            <w:shd w:val="clear" w:color="auto" w:fill="CCEEFF"/>
          </w:tcPr>
          <w:p>
            <w:pPr>
              <w:jc w:val="right"/>
              <w:ind w:right="54"/>
              <w:spacing w:after="0" w:line="68" w:lineRule="exact"/>
              <w:rPr>
                <w:sz w:val="20"/>
                <w:szCs w:val="20"/>
                <w:color w:val="auto"/>
              </w:rPr>
            </w:pPr>
            <w:r>
              <w:rPr>
                <w:rFonts w:ascii="Arial" w:cs="Arial" w:eastAsia="Arial" w:hAnsi="Arial"/>
                <w:sz w:val="7"/>
                <w:szCs w:val="7"/>
                <w:color w:val="auto"/>
              </w:rPr>
              <w:t>(21,724</w:t>
            </w:r>
          </w:p>
        </w:tc>
        <w:tc>
          <w:tcPr>
            <w:tcW w:w="240" w:type="dxa"/>
            <w:vAlign w:val="bottom"/>
            <w:shd w:val="clear" w:color="auto" w:fill="CCEEFF"/>
          </w:tcPr>
          <w:p>
            <w:pPr>
              <w:spacing w:after="0"/>
              <w:rPr>
                <w:sz w:val="5"/>
                <w:szCs w:val="5"/>
                <w:color w:val="auto"/>
              </w:rPr>
            </w:pPr>
          </w:p>
        </w:tc>
        <w:tc>
          <w:tcPr>
            <w:tcW w:w="1420" w:type="dxa"/>
            <w:vAlign w:val="bottom"/>
            <w:gridSpan w:val="2"/>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6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380" w:type="dxa"/>
            <w:vAlign w:val="bottom"/>
            <w:gridSpan w:val="2"/>
          </w:tcPr>
          <w:p>
            <w:pPr>
              <w:spacing w:after="0"/>
              <w:rPr>
                <w:sz w:val="20"/>
                <w:szCs w:val="20"/>
                <w:color w:val="auto"/>
              </w:rPr>
            </w:pPr>
            <w:r>
              <w:rPr>
                <w:rFonts w:ascii="Arial" w:cs="Arial" w:eastAsia="Arial" w:hAnsi="Arial"/>
                <w:sz w:val="18"/>
                <w:szCs w:val="18"/>
                <w:color w:val="auto"/>
              </w:rPr>
              <w:t>Consolidated</w:t>
            </w: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54"/>
              <w:spacing w:after="0"/>
              <w:rPr>
                <w:sz w:val="20"/>
                <w:szCs w:val="20"/>
                <w:color w:val="auto"/>
              </w:rPr>
            </w:pPr>
            <w:r>
              <w:rPr>
                <w:rFonts w:ascii="Arial" w:cs="Arial" w:eastAsia="Arial" w:hAnsi="Arial"/>
                <w:sz w:val="18"/>
                <w:szCs w:val="18"/>
                <w:color w:val="auto"/>
              </w:rPr>
              <w:t>116,980</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260"/>
              <w:spacing w:after="0"/>
              <w:rPr>
                <w:sz w:val="20"/>
                <w:szCs w:val="20"/>
                <w:color w:val="auto"/>
              </w:rPr>
            </w:pPr>
            <w:r>
              <w:rPr>
                <w:rFonts w:ascii="Arial" w:cs="Arial" w:eastAsia="Arial" w:hAnsi="Arial"/>
                <w:sz w:val="18"/>
                <w:szCs w:val="18"/>
                <w:color w:val="auto"/>
              </w:rPr>
              <w:t>114,125</w:t>
            </w:r>
          </w:p>
        </w:tc>
        <w:tc>
          <w:tcPr>
            <w:tcW w:w="3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54"/>
              <w:spacing w:after="0"/>
              <w:rPr>
                <w:sz w:val="20"/>
                <w:szCs w:val="20"/>
                <w:color w:val="auto"/>
              </w:rPr>
            </w:pPr>
            <w:r>
              <w:rPr>
                <w:rFonts w:ascii="Arial" w:cs="Arial" w:eastAsia="Arial" w:hAnsi="Arial"/>
                <w:sz w:val="18"/>
                <w:szCs w:val="18"/>
                <w:color w:val="auto"/>
              </w:rPr>
              <w:t>227,252</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220,017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3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60" w:type="dxa"/>
            <w:vAlign w:val="bottom"/>
          </w:tcPr>
          <w:p>
            <w:pPr>
              <w:spacing w:after="0"/>
              <w:rPr>
                <w:sz w:val="20"/>
                <w:szCs w:val="20"/>
                <w:color w:val="auto"/>
              </w:rPr>
            </w:pPr>
            <w:r>
              <w:rPr>
                <w:rFonts w:ascii="Arial" w:cs="Arial" w:eastAsia="Arial" w:hAnsi="Arial"/>
                <w:sz w:val="18"/>
                <w:szCs w:val="18"/>
                <w:b w:val="1"/>
                <w:bCs w:val="1"/>
                <w:color w:val="auto"/>
              </w:rPr>
              <w:t>Operating Income</w:t>
            </w: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Wholesale</w:t>
            </w: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3,039</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4,783</w:t>
            </w:r>
          </w:p>
        </w:tc>
        <w:tc>
          <w:tcPr>
            <w:tcW w:w="2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6,103</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Retail</w:t>
            </w: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ind w:right="54"/>
              <w:spacing w:after="0"/>
              <w:rPr>
                <w:sz w:val="20"/>
                <w:szCs w:val="20"/>
                <w:color w:val="auto"/>
              </w:rPr>
            </w:pPr>
            <w:r>
              <w:rPr>
                <w:rFonts w:ascii="Arial" w:cs="Arial" w:eastAsia="Arial" w:hAnsi="Arial"/>
                <w:sz w:val="18"/>
                <w:szCs w:val="18"/>
                <w:color w:val="auto"/>
              </w:rPr>
              <w:t>1,626</w:t>
            </w: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1,367</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right"/>
              <w:ind w:right="54"/>
              <w:spacing w:after="0"/>
              <w:rPr>
                <w:sz w:val="20"/>
                <w:szCs w:val="20"/>
                <w:color w:val="auto"/>
              </w:rPr>
            </w:pPr>
            <w:r>
              <w:rPr>
                <w:rFonts w:ascii="Arial" w:cs="Arial" w:eastAsia="Arial" w:hAnsi="Arial"/>
                <w:sz w:val="18"/>
                <w:szCs w:val="18"/>
                <w:color w:val="auto"/>
              </w:rPr>
              <w:t>113</w:t>
            </w:r>
          </w:p>
        </w:tc>
        <w:tc>
          <w:tcPr>
            <w:tcW w:w="2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Logistical services</w:t>
            </w: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289</w:t>
            </w:r>
          </w:p>
        </w:tc>
        <w:tc>
          <w:tcPr>
            <w:tcW w:w="2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798</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619</w:t>
            </w: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572</w:t>
            </w:r>
          </w:p>
        </w:tc>
        <w:tc>
          <w:tcPr>
            <w:tcW w:w="0" w:type="dxa"/>
            <w:vAlign w:val="bottom"/>
          </w:tcPr>
          <w:p>
            <w:pPr>
              <w:spacing w:after="0"/>
              <w:rPr>
                <w:sz w:val="1"/>
                <w:szCs w:val="1"/>
                <w:color w:val="auto"/>
              </w:rPr>
            </w:pPr>
          </w:p>
        </w:tc>
      </w:tr>
      <w:tr>
        <w:trPr>
          <w:trHeight w:val="230"/>
        </w:trPr>
        <w:tc>
          <w:tcPr>
            <w:tcW w:w="3380" w:type="dxa"/>
            <w:vAlign w:val="bottom"/>
            <w:gridSpan w:val="2"/>
          </w:tcPr>
          <w:p>
            <w:pPr>
              <w:spacing w:after="0"/>
              <w:rPr>
                <w:sz w:val="20"/>
                <w:szCs w:val="20"/>
                <w:color w:val="auto"/>
              </w:rPr>
            </w:pPr>
            <w:r>
              <w:rPr>
                <w:rFonts w:ascii="Arial" w:cs="Arial" w:eastAsia="Arial" w:hAnsi="Arial"/>
                <w:sz w:val="18"/>
                <w:szCs w:val="18"/>
                <w:color w:val="auto"/>
              </w:rPr>
              <w:t>Inter-company elimination</w:t>
            </w: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ind w:right="54"/>
              <w:spacing w:after="0"/>
              <w:rPr>
                <w:sz w:val="20"/>
                <w:szCs w:val="20"/>
                <w:color w:val="auto"/>
              </w:rPr>
            </w:pPr>
            <w:r>
              <w:rPr>
                <w:rFonts w:ascii="Arial" w:cs="Arial" w:eastAsia="Arial" w:hAnsi="Arial"/>
                <w:sz w:val="18"/>
                <w:szCs w:val="18"/>
                <w:color w:val="auto"/>
              </w:rPr>
              <w:t>709</w:t>
            </w:r>
          </w:p>
        </w:tc>
        <w:tc>
          <w:tcPr>
            <w:tcW w:w="260" w:type="dxa"/>
            <w:vAlign w:val="bottom"/>
          </w:tcPr>
          <w:p>
            <w:pPr>
              <w:spacing w:after="0"/>
              <w:rPr>
                <w:sz w:val="19"/>
                <w:szCs w:val="19"/>
                <w:color w:val="auto"/>
              </w:rPr>
            </w:pPr>
          </w:p>
        </w:tc>
        <w:tc>
          <w:tcPr>
            <w:tcW w:w="1580" w:type="dxa"/>
            <w:vAlign w:val="bottom"/>
            <w:gridSpan w:val="2"/>
          </w:tcPr>
          <w:p>
            <w:pPr>
              <w:jc w:val="right"/>
              <w:ind w:right="260"/>
              <w:spacing w:after="0"/>
              <w:rPr>
                <w:sz w:val="20"/>
                <w:szCs w:val="20"/>
                <w:color w:val="auto"/>
              </w:rPr>
            </w:pPr>
            <w:r>
              <w:rPr>
                <w:rFonts w:ascii="Arial" w:cs="Arial" w:eastAsia="Arial" w:hAnsi="Arial"/>
                <w:sz w:val="18"/>
                <w:szCs w:val="18"/>
                <w:color w:val="auto"/>
              </w:rPr>
              <w:t>652</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ind w:right="54"/>
              <w:spacing w:after="0"/>
              <w:rPr>
                <w:sz w:val="20"/>
                <w:szCs w:val="20"/>
                <w:color w:val="auto"/>
              </w:rPr>
            </w:pPr>
            <w:r>
              <w:rPr>
                <w:rFonts w:ascii="Arial" w:cs="Arial" w:eastAsia="Arial" w:hAnsi="Arial"/>
                <w:sz w:val="18"/>
                <w:szCs w:val="18"/>
                <w:color w:val="auto"/>
              </w:rPr>
              <w:t>878</w:t>
            </w:r>
          </w:p>
        </w:tc>
        <w:tc>
          <w:tcPr>
            <w:tcW w:w="240" w:type="dxa"/>
            <w:vAlign w:val="bottom"/>
          </w:tcPr>
          <w:p>
            <w:pPr>
              <w:spacing w:after="0"/>
              <w:rPr>
                <w:sz w:val="19"/>
                <w:szCs w:val="19"/>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992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Consolidated</w:t>
            </w: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5,663</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7,600</w:t>
            </w:r>
          </w:p>
        </w:tc>
        <w:tc>
          <w:tcPr>
            <w:tcW w:w="260" w:type="dxa"/>
            <w:vAlign w:val="bottom"/>
            <w:shd w:val="clear" w:color="auto" w:fill="CCEEFF"/>
          </w:tcPr>
          <w:p>
            <w:pPr>
              <w:spacing w:after="0"/>
              <w:rPr>
                <w:sz w:val="21"/>
                <w:szCs w:val="21"/>
                <w:color w:val="auto"/>
              </w:rPr>
            </w:pP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7,713</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12,264</w:t>
            </w:r>
          </w:p>
        </w:tc>
        <w:tc>
          <w:tcPr>
            <w:tcW w:w="0" w:type="dxa"/>
            <w:vAlign w:val="bottom"/>
          </w:tcPr>
          <w:p>
            <w:pPr>
              <w:spacing w:after="0"/>
              <w:rPr>
                <w:sz w:val="1"/>
                <w:szCs w:val="1"/>
                <w:color w:val="auto"/>
              </w:rPr>
            </w:pPr>
          </w:p>
        </w:tc>
      </w:tr>
      <w:tr>
        <w:trPr>
          <w:trHeight w:val="555"/>
        </w:trPr>
        <w:tc>
          <w:tcPr>
            <w:tcW w:w="20" w:type="dxa"/>
            <w:vAlign w:val="bottom"/>
          </w:tcPr>
          <w:p>
            <w:pPr>
              <w:spacing w:after="0"/>
              <w:rPr>
                <w:sz w:val="24"/>
                <w:szCs w:val="24"/>
                <w:color w:val="auto"/>
              </w:rPr>
            </w:pPr>
          </w:p>
        </w:tc>
        <w:tc>
          <w:tcPr>
            <w:tcW w:w="3360" w:type="dxa"/>
            <w:vAlign w:val="bottom"/>
            <w:tcBorders>
              <w:top w:val="single" w:sz="8" w:color="CCEEFF"/>
              <w:bottom w:val="single" w:sz="8" w:color="auto"/>
            </w:tcBorders>
          </w:tcPr>
          <w:p>
            <w:pPr>
              <w:spacing w:after="0"/>
              <w:rPr>
                <w:sz w:val="24"/>
                <w:szCs w:val="24"/>
                <w:color w:val="auto"/>
              </w:rPr>
            </w:pPr>
          </w:p>
        </w:tc>
        <w:tc>
          <w:tcPr>
            <w:tcW w:w="1100" w:type="dxa"/>
            <w:vAlign w:val="bottom"/>
            <w:tcBorders>
              <w:top w:val="single" w:sz="8" w:color="CCEEFF"/>
              <w:bottom w:val="single" w:sz="8" w:color="auto"/>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1480" w:type="dxa"/>
            <w:vAlign w:val="bottom"/>
            <w:tcBorders>
              <w:top w:val="single" w:sz="8" w:color="auto"/>
              <w:bottom w:val="single" w:sz="8" w:color="auto"/>
            </w:tcBorders>
          </w:tcPr>
          <w:p>
            <w:pPr>
              <w:spacing w:after="0"/>
              <w:rPr>
                <w:sz w:val="24"/>
                <w:szCs w:val="24"/>
                <w:color w:val="auto"/>
              </w:rPr>
            </w:pPr>
          </w:p>
        </w:tc>
        <w:tc>
          <w:tcPr>
            <w:tcW w:w="260" w:type="dxa"/>
            <w:vAlign w:val="bottom"/>
            <w:tcBorders>
              <w:top w:val="single" w:sz="8" w:color="auto"/>
              <w:bottom w:val="single" w:sz="8" w:color="auto"/>
            </w:tcBorders>
          </w:tcPr>
          <w:p>
            <w:pPr>
              <w:spacing w:after="0"/>
              <w:rPr>
                <w:sz w:val="24"/>
                <w:szCs w:val="24"/>
                <w:color w:val="auto"/>
              </w:rPr>
            </w:pPr>
          </w:p>
        </w:tc>
        <w:tc>
          <w:tcPr>
            <w:tcW w:w="1320" w:type="dxa"/>
            <w:vAlign w:val="bottom"/>
            <w:tcBorders>
              <w:top w:val="single" w:sz="8" w:color="auto"/>
              <w:bottom w:val="single" w:sz="8" w:color="auto"/>
            </w:tcBorders>
          </w:tcPr>
          <w:p>
            <w:pPr>
              <w:spacing w:after="0"/>
              <w:rPr>
                <w:sz w:val="24"/>
                <w:szCs w:val="24"/>
                <w:color w:val="auto"/>
              </w:rPr>
            </w:pPr>
          </w:p>
        </w:tc>
        <w:tc>
          <w:tcPr>
            <w:tcW w:w="260" w:type="dxa"/>
            <w:vAlign w:val="bottom"/>
            <w:tcBorders>
              <w:top w:val="single" w:sz="8" w:color="CCEEFF"/>
              <w:bottom w:val="single" w:sz="8" w:color="auto"/>
            </w:tcBorders>
          </w:tcPr>
          <w:p>
            <w:pPr>
              <w:spacing w:after="0"/>
              <w:rPr>
                <w:sz w:val="24"/>
                <w:szCs w:val="24"/>
                <w:color w:val="auto"/>
              </w:rPr>
            </w:pPr>
          </w:p>
        </w:tc>
        <w:tc>
          <w:tcPr>
            <w:tcW w:w="200" w:type="dxa"/>
            <w:vAlign w:val="bottom"/>
            <w:tcBorders>
              <w:top w:val="single" w:sz="8" w:color="CCEEFF"/>
              <w:bottom w:val="single" w:sz="8" w:color="auto"/>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1440" w:type="dxa"/>
            <w:vAlign w:val="bottom"/>
            <w:tcBorders>
              <w:top w:val="single" w:sz="8" w:color="auto"/>
              <w:bottom w:val="single" w:sz="8" w:color="auto"/>
            </w:tcBorders>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132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4"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color w:val="auto"/>
        </w:rPr>
        <w:t>BASSETT FURNITURE INDUSTRIES,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Rollforward of BHF Store Count</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420" w:type="dxa"/>
            <w:vAlign w:val="bottom"/>
          </w:tcPr>
          <w:p>
            <w:pPr>
              <w:jc w:val="right"/>
              <w:ind w:right="230"/>
              <w:spacing w:after="0"/>
              <w:rPr>
                <w:sz w:val="20"/>
                <w:szCs w:val="20"/>
                <w:color w:val="auto"/>
              </w:rPr>
            </w:pPr>
            <w:r>
              <w:rPr>
                <w:rFonts w:ascii="Arial" w:cs="Arial" w:eastAsia="Arial" w:hAnsi="Arial"/>
                <w:sz w:val="18"/>
                <w:szCs w:val="18"/>
                <w:color w:val="auto"/>
                <w:w w:val="95"/>
              </w:rPr>
              <w:t>November 25,</w:t>
            </w:r>
          </w:p>
        </w:tc>
        <w:tc>
          <w:tcPr>
            <w:tcW w:w="13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20" w:type="dxa"/>
            <w:vAlign w:val="bottom"/>
            <w:gridSpan w:val="2"/>
          </w:tcPr>
          <w:p>
            <w:pPr>
              <w:ind w:left="240"/>
              <w:spacing w:after="0"/>
              <w:rPr>
                <w:sz w:val="20"/>
                <w:szCs w:val="20"/>
                <w:color w:val="auto"/>
              </w:rPr>
            </w:pPr>
            <w:r>
              <w:rPr>
                <w:rFonts w:ascii="Arial" w:cs="Arial" w:eastAsia="Arial" w:hAnsi="Arial"/>
                <w:sz w:val="18"/>
                <w:szCs w:val="18"/>
                <w:color w:val="auto"/>
              </w:rPr>
              <w:t>May 26,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142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2017</w:t>
            </w:r>
          </w:p>
        </w:tc>
        <w:tc>
          <w:tcPr>
            <w:tcW w:w="13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Opened*</w:t>
            </w:r>
          </w:p>
        </w:tc>
        <w:tc>
          <w:tcPr>
            <w:tcW w:w="13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Closed*</w:t>
            </w:r>
          </w:p>
        </w:tc>
        <w:tc>
          <w:tcPr>
            <w:tcW w:w="13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Transfers</w:t>
            </w:r>
          </w:p>
        </w:tc>
        <w:tc>
          <w:tcPr>
            <w:tcW w:w="11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Company-owned stores</w:t>
            </w:r>
          </w:p>
        </w:tc>
        <w:tc>
          <w:tcPr>
            <w:tcW w:w="14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60</w:t>
            </w:r>
          </w:p>
        </w:tc>
        <w:tc>
          <w:tcPr>
            <w:tcW w:w="13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4</w:t>
            </w:r>
          </w:p>
        </w:tc>
        <w:tc>
          <w:tcPr>
            <w:tcW w:w="1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Licensee-owned stores</w:t>
            </w:r>
          </w:p>
        </w:tc>
        <w:tc>
          <w:tcPr>
            <w:tcW w:w="14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30</w:t>
            </w:r>
          </w:p>
        </w:tc>
        <w:tc>
          <w:tcPr>
            <w:tcW w:w="13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w:t>
            </w:r>
          </w:p>
        </w:tc>
        <w:tc>
          <w:tcPr>
            <w:tcW w:w="1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480"/>
              <w:spacing w:after="0"/>
              <w:rPr>
                <w:sz w:val="20"/>
                <w:szCs w:val="20"/>
                <w:color w:val="auto"/>
              </w:rPr>
            </w:pPr>
            <w:r>
              <w:rPr>
                <w:rFonts w:ascii="Arial" w:cs="Arial" w:eastAsia="Arial" w:hAnsi="Arial"/>
                <w:sz w:val="18"/>
                <w:szCs w:val="18"/>
                <w:color w:val="auto"/>
              </w:rPr>
              <w:t>Total</w:t>
            </w:r>
          </w:p>
        </w:tc>
        <w:tc>
          <w:tcPr>
            <w:tcW w:w="14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90</w:t>
            </w:r>
          </w:p>
        </w:tc>
        <w:tc>
          <w:tcPr>
            <w:tcW w:w="13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5</w:t>
            </w:r>
          </w:p>
        </w:tc>
        <w:tc>
          <w:tcPr>
            <w:tcW w:w="1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 Does not include openings and closures due to relocation of existing stores within a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375285</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color w:val="auto"/>
        </w:rPr>
        <w:t>BASSETT FURNITURE INDUSTRIES,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Supplemental Retail Information--unaudited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gridSpan w:val="4"/>
          </w:tcPr>
          <w:p>
            <w:pPr>
              <w:jc w:val="right"/>
              <w:ind w:right="170"/>
              <w:spacing w:after="0"/>
              <w:rPr>
                <w:sz w:val="20"/>
                <w:szCs w:val="20"/>
                <w:color w:val="auto"/>
              </w:rPr>
            </w:pPr>
            <w:r>
              <w:rPr>
                <w:rFonts w:ascii="Arial" w:cs="Arial" w:eastAsia="Arial" w:hAnsi="Arial"/>
                <w:sz w:val="18"/>
                <w:szCs w:val="18"/>
                <w:color w:val="auto"/>
                <w:w w:val="97"/>
              </w:rPr>
              <w:t>53 Comparable Stores</w:t>
            </w:r>
          </w:p>
        </w:tc>
        <w:tc>
          <w:tcPr>
            <w:tcW w:w="86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gridSpan w:val="4"/>
          </w:tcPr>
          <w:p>
            <w:pPr>
              <w:jc w:val="right"/>
              <w:ind w:right="170"/>
              <w:spacing w:after="0"/>
              <w:rPr>
                <w:sz w:val="20"/>
                <w:szCs w:val="20"/>
                <w:color w:val="auto"/>
              </w:rPr>
            </w:pPr>
            <w:r>
              <w:rPr>
                <w:rFonts w:ascii="Arial" w:cs="Arial" w:eastAsia="Arial" w:hAnsi="Arial"/>
                <w:sz w:val="18"/>
                <w:szCs w:val="18"/>
                <w:color w:val="auto"/>
                <w:w w:val="97"/>
              </w:rPr>
              <w:t>53 Comparable Stores</w:t>
            </w:r>
          </w:p>
        </w:tc>
        <w:tc>
          <w:tcPr>
            <w:tcW w:w="86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40" w:type="dxa"/>
            <w:vAlign w:val="bottom"/>
            <w:gridSpan w:val="3"/>
          </w:tcPr>
          <w:p>
            <w:pPr>
              <w:jc w:val="center"/>
              <w:ind w:right="360"/>
              <w:spacing w:after="0" w:line="195" w:lineRule="exact"/>
              <w:rPr>
                <w:sz w:val="20"/>
                <w:szCs w:val="20"/>
                <w:color w:val="auto"/>
              </w:rPr>
            </w:pPr>
            <w:r>
              <w:rPr>
                <w:rFonts w:ascii="Arial" w:cs="Arial" w:eastAsia="Arial" w:hAnsi="Arial"/>
                <w:sz w:val="18"/>
                <w:szCs w:val="18"/>
                <w:color w:val="auto"/>
                <w:w w:val="89"/>
              </w:rPr>
              <w:t>Quarter Ended</w:t>
            </w:r>
          </w:p>
        </w:tc>
        <w:tc>
          <w:tcPr>
            <w:tcW w:w="100" w:type="dxa"/>
            <w:vAlign w:val="bottom"/>
          </w:tcPr>
          <w:p>
            <w:pPr>
              <w:spacing w:after="0"/>
              <w:rPr>
                <w:sz w:val="16"/>
                <w:szCs w:val="16"/>
                <w:color w:val="auto"/>
              </w:rPr>
            </w:pPr>
          </w:p>
        </w:tc>
        <w:tc>
          <w:tcPr>
            <w:tcW w:w="1700" w:type="dxa"/>
            <w:vAlign w:val="bottom"/>
            <w:gridSpan w:val="2"/>
          </w:tcPr>
          <w:p>
            <w:pPr>
              <w:jc w:val="center"/>
              <w:ind w:right="10"/>
              <w:spacing w:after="0" w:line="195" w:lineRule="exact"/>
              <w:rPr>
                <w:sz w:val="20"/>
                <w:szCs w:val="20"/>
                <w:color w:val="auto"/>
              </w:rPr>
            </w:pPr>
            <w:r>
              <w:rPr>
                <w:rFonts w:ascii="Arial" w:cs="Arial" w:eastAsia="Arial" w:hAnsi="Arial"/>
                <w:sz w:val="18"/>
                <w:szCs w:val="18"/>
                <w:color w:val="auto"/>
                <w:w w:val="88"/>
              </w:rPr>
              <w:t>Quarter Ended</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60" w:type="dxa"/>
            <w:vAlign w:val="bottom"/>
            <w:gridSpan w:val="3"/>
          </w:tcPr>
          <w:p>
            <w:pPr>
              <w:jc w:val="center"/>
              <w:ind w:right="380"/>
              <w:spacing w:after="0" w:line="195" w:lineRule="exact"/>
              <w:rPr>
                <w:sz w:val="20"/>
                <w:szCs w:val="20"/>
                <w:color w:val="auto"/>
              </w:rPr>
            </w:pPr>
            <w:r>
              <w:rPr>
                <w:rFonts w:ascii="Arial" w:cs="Arial" w:eastAsia="Arial" w:hAnsi="Arial"/>
                <w:sz w:val="18"/>
                <w:szCs w:val="18"/>
                <w:color w:val="auto"/>
                <w:w w:val="91"/>
              </w:rPr>
              <w:t>Six Months Ended</w:t>
            </w:r>
          </w:p>
        </w:tc>
        <w:tc>
          <w:tcPr>
            <w:tcW w:w="80" w:type="dxa"/>
            <w:vAlign w:val="bottom"/>
          </w:tcPr>
          <w:p>
            <w:pPr>
              <w:spacing w:after="0"/>
              <w:rPr>
                <w:sz w:val="16"/>
                <w:szCs w:val="16"/>
                <w:color w:val="auto"/>
              </w:rPr>
            </w:pPr>
          </w:p>
        </w:tc>
        <w:tc>
          <w:tcPr>
            <w:tcW w:w="1700" w:type="dxa"/>
            <w:vAlign w:val="bottom"/>
            <w:gridSpan w:val="2"/>
          </w:tcPr>
          <w:p>
            <w:pPr>
              <w:jc w:val="center"/>
              <w:spacing w:after="0" w:line="195" w:lineRule="exact"/>
              <w:rPr>
                <w:sz w:val="20"/>
                <w:szCs w:val="20"/>
                <w:color w:val="auto"/>
              </w:rPr>
            </w:pPr>
            <w:r>
              <w:rPr>
                <w:rFonts w:ascii="Arial" w:cs="Arial" w:eastAsia="Arial" w:hAnsi="Arial"/>
                <w:sz w:val="18"/>
                <w:szCs w:val="18"/>
                <w:color w:val="auto"/>
                <w:w w:val="91"/>
              </w:rPr>
              <w:t>Six Months Ended</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40" w:type="dxa"/>
            <w:vAlign w:val="bottom"/>
            <w:gridSpan w:val="3"/>
          </w:tcPr>
          <w:p>
            <w:pPr>
              <w:jc w:val="center"/>
              <w:ind w:right="360"/>
              <w:spacing w:after="0"/>
              <w:rPr>
                <w:sz w:val="20"/>
                <w:szCs w:val="20"/>
                <w:color w:val="auto"/>
              </w:rPr>
            </w:pPr>
            <w:r>
              <w:rPr>
                <w:rFonts w:ascii="Arial" w:cs="Arial" w:eastAsia="Arial" w:hAnsi="Arial"/>
                <w:sz w:val="18"/>
                <w:szCs w:val="18"/>
                <w:color w:val="auto"/>
                <w:w w:val="93"/>
              </w:rPr>
              <w:t>May 26, 2018</w:t>
            </w:r>
          </w:p>
        </w:tc>
        <w:tc>
          <w:tcPr>
            <w:tcW w:w="100" w:type="dxa"/>
            <w:vAlign w:val="bottom"/>
          </w:tcPr>
          <w:p>
            <w:pPr>
              <w:spacing w:after="0"/>
              <w:rPr>
                <w:sz w:val="20"/>
                <w:szCs w:val="20"/>
                <w:color w:val="auto"/>
              </w:rPr>
            </w:pPr>
          </w:p>
        </w:tc>
        <w:tc>
          <w:tcPr>
            <w:tcW w:w="1960" w:type="dxa"/>
            <w:vAlign w:val="bottom"/>
            <w:gridSpan w:val="3"/>
          </w:tcPr>
          <w:p>
            <w:pPr>
              <w:jc w:val="center"/>
              <w:ind w:right="360"/>
              <w:spacing w:after="0"/>
              <w:rPr>
                <w:sz w:val="20"/>
                <w:szCs w:val="20"/>
                <w:color w:val="auto"/>
              </w:rPr>
            </w:pPr>
            <w:r>
              <w:rPr>
                <w:rFonts w:ascii="Arial" w:cs="Arial" w:eastAsia="Arial" w:hAnsi="Arial"/>
                <w:sz w:val="18"/>
                <w:szCs w:val="18"/>
                <w:color w:val="auto"/>
                <w:w w:val="91"/>
              </w:rPr>
              <w:t>May 27, 2017</w:t>
            </w:r>
          </w:p>
        </w:tc>
        <w:tc>
          <w:tcPr>
            <w:tcW w:w="100" w:type="dxa"/>
            <w:vAlign w:val="bottom"/>
          </w:tcPr>
          <w:p>
            <w:pPr>
              <w:spacing w:after="0"/>
              <w:rPr>
                <w:sz w:val="20"/>
                <w:szCs w:val="20"/>
                <w:color w:val="auto"/>
              </w:rPr>
            </w:pPr>
          </w:p>
        </w:tc>
        <w:tc>
          <w:tcPr>
            <w:tcW w:w="1960" w:type="dxa"/>
            <w:vAlign w:val="bottom"/>
            <w:gridSpan w:val="3"/>
          </w:tcPr>
          <w:p>
            <w:pPr>
              <w:jc w:val="center"/>
              <w:ind w:right="360"/>
              <w:spacing w:after="0"/>
              <w:rPr>
                <w:sz w:val="20"/>
                <w:szCs w:val="20"/>
                <w:color w:val="auto"/>
              </w:rPr>
            </w:pPr>
            <w:r>
              <w:rPr>
                <w:rFonts w:ascii="Arial" w:cs="Arial" w:eastAsia="Arial" w:hAnsi="Arial"/>
                <w:sz w:val="18"/>
                <w:szCs w:val="18"/>
                <w:color w:val="auto"/>
                <w:w w:val="91"/>
              </w:rPr>
              <w:t>May 26, 2018</w:t>
            </w:r>
          </w:p>
        </w:tc>
        <w:tc>
          <w:tcPr>
            <w:tcW w:w="80" w:type="dxa"/>
            <w:vAlign w:val="bottom"/>
          </w:tcPr>
          <w:p>
            <w:pPr>
              <w:spacing w:after="0"/>
              <w:rPr>
                <w:sz w:val="20"/>
                <w:szCs w:val="20"/>
                <w:color w:val="auto"/>
              </w:rPr>
            </w:pPr>
          </w:p>
        </w:tc>
        <w:tc>
          <w:tcPr>
            <w:tcW w:w="1860" w:type="dxa"/>
            <w:vAlign w:val="bottom"/>
            <w:gridSpan w:val="3"/>
          </w:tcPr>
          <w:p>
            <w:pPr>
              <w:jc w:val="center"/>
              <w:ind w:right="260"/>
              <w:spacing w:after="0"/>
              <w:rPr>
                <w:sz w:val="20"/>
                <w:szCs w:val="20"/>
                <w:color w:val="auto"/>
              </w:rPr>
            </w:pPr>
            <w:r>
              <w:rPr>
                <w:rFonts w:ascii="Arial" w:cs="Arial" w:eastAsia="Arial" w:hAnsi="Arial"/>
                <w:sz w:val="18"/>
                <w:szCs w:val="18"/>
                <w:color w:val="auto"/>
                <w:w w:val="91"/>
              </w:rPr>
              <w:t>May 27, 2017</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Percent of</w:t>
            </w:r>
          </w:p>
        </w:tc>
        <w:tc>
          <w:tcPr>
            <w:tcW w:w="24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7"/>
              </w:rPr>
              <w:t>Percent of</w:t>
            </w:r>
          </w:p>
        </w:tc>
        <w:tc>
          <w:tcPr>
            <w:tcW w:w="26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Percent of</w:t>
            </w:r>
          </w:p>
        </w:tc>
        <w:tc>
          <w:tcPr>
            <w:tcW w:w="28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Percent of</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jc w:val="right"/>
              <w:ind w:right="170"/>
              <w:spacing w:after="0"/>
              <w:rPr>
                <w:sz w:val="20"/>
                <w:szCs w:val="20"/>
                <w:color w:val="auto"/>
              </w:rPr>
            </w:pPr>
            <w:r>
              <w:rPr>
                <w:rFonts w:ascii="Arial" w:cs="Arial" w:eastAsia="Arial" w:hAnsi="Arial"/>
                <w:sz w:val="18"/>
                <w:szCs w:val="18"/>
                <w:color w:val="auto"/>
                <w:w w:val="90"/>
              </w:rPr>
              <w:t>Amount</w:t>
            </w:r>
          </w:p>
        </w:tc>
        <w:tc>
          <w:tcPr>
            <w:tcW w:w="110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Net Sales</w:t>
            </w:r>
          </w:p>
        </w:tc>
        <w:tc>
          <w:tcPr>
            <w:tcW w:w="100" w:type="dxa"/>
            <w:vAlign w:val="bottom"/>
          </w:tcPr>
          <w:p>
            <w:pPr>
              <w:spacing w:after="0"/>
              <w:rPr>
                <w:sz w:val="20"/>
                <w:szCs w:val="20"/>
                <w:color w:val="auto"/>
              </w:rPr>
            </w:pPr>
          </w:p>
        </w:tc>
        <w:tc>
          <w:tcPr>
            <w:tcW w:w="840" w:type="dxa"/>
            <w:vAlign w:val="bottom"/>
          </w:tcPr>
          <w:p>
            <w:pPr>
              <w:jc w:val="right"/>
              <w:ind w:right="150"/>
              <w:spacing w:after="0"/>
              <w:rPr>
                <w:sz w:val="20"/>
                <w:szCs w:val="20"/>
                <w:color w:val="auto"/>
              </w:rPr>
            </w:pPr>
            <w:r>
              <w:rPr>
                <w:rFonts w:ascii="Arial" w:cs="Arial" w:eastAsia="Arial" w:hAnsi="Arial"/>
                <w:sz w:val="18"/>
                <w:szCs w:val="18"/>
                <w:color w:val="auto"/>
                <w:w w:val="93"/>
              </w:rPr>
              <w:t>Amount</w:t>
            </w: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color w:val="auto"/>
                <w:w w:val="87"/>
              </w:rPr>
              <w:t>Net Sales</w:t>
            </w:r>
          </w:p>
        </w:tc>
        <w:tc>
          <w:tcPr>
            <w:tcW w:w="100" w:type="dxa"/>
            <w:vAlign w:val="bottom"/>
          </w:tcPr>
          <w:p>
            <w:pPr>
              <w:spacing w:after="0"/>
              <w:rPr>
                <w:sz w:val="20"/>
                <w:szCs w:val="20"/>
                <w:color w:val="auto"/>
              </w:rPr>
            </w:pPr>
          </w:p>
        </w:tc>
        <w:tc>
          <w:tcPr>
            <w:tcW w:w="840" w:type="dxa"/>
            <w:vAlign w:val="bottom"/>
          </w:tcPr>
          <w:p>
            <w:pPr>
              <w:jc w:val="right"/>
              <w:ind w:right="170"/>
              <w:spacing w:after="0"/>
              <w:rPr>
                <w:sz w:val="20"/>
                <w:szCs w:val="20"/>
                <w:color w:val="auto"/>
              </w:rPr>
            </w:pPr>
            <w:r>
              <w:rPr>
                <w:rFonts w:ascii="Arial" w:cs="Arial" w:eastAsia="Arial" w:hAnsi="Arial"/>
                <w:sz w:val="18"/>
                <w:szCs w:val="18"/>
                <w:color w:val="auto"/>
                <w:w w:val="90"/>
              </w:rPr>
              <w:t>Amount</w:t>
            </w: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color w:val="auto"/>
                <w:w w:val="87"/>
              </w:rPr>
              <w:t>Net Sales</w:t>
            </w:r>
          </w:p>
        </w:tc>
        <w:tc>
          <w:tcPr>
            <w:tcW w:w="80" w:type="dxa"/>
            <w:vAlign w:val="bottom"/>
          </w:tcPr>
          <w:p>
            <w:pPr>
              <w:spacing w:after="0"/>
              <w:rPr>
                <w:sz w:val="20"/>
                <w:szCs w:val="20"/>
                <w:color w:val="auto"/>
              </w:rPr>
            </w:pPr>
          </w:p>
        </w:tc>
        <w:tc>
          <w:tcPr>
            <w:tcW w:w="840" w:type="dxa"/>
            <w:vAlign w:val="bottom"/>
          </w:tcPr>
          <w:p>
            <w:pPr>
              <w:jc w:val="right"/>
              <w:ind w:right="150"/>
              <w:spacing w:after="0"/>
              <w:rPr>
                <w:sz w:val="20"/>
                <w:szCs w:val="20"/>
                <w:color w:val="auto"/>
              </w:rPr>
            </w:pPr>
            <w:r>
              <w:rPr>
                <w:rFonts w:ascii="Arial" w:cs="Arial" w:eastAsia="Arial" w:hAnsi="Arial"/>
                <w:sz w:val="18"/>
                <w:szCs w:val="18"/>
                <w:color w:val="auto"/>
                <w:w w:val="93"/>
              </w:rPr>
              <w:t>Amount</w:t>
            </w:r>
          </w:p>
        </w:tc>
        <w:tc>
          <w:tcPr>
            <w:tcW w:w="102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Net Sales</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3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60,058</w:t>
            </w:r>
          </w:p>
        </w:tc>
        <w:tc>
          <w:tcPr>
            <w:tcW w:w="11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61,132</w:t>
            </w:r>
          </w:p>
        </w:tc>
        <w:tc>
          <w:tcPr>
            <w:tcW w:w="11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118,910</w:t>
            </w:r>
          </w:p>
        </w:tc>
        <w:tc>
          <w:tcPr>
            <w:tcW w:w="11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118,106</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28,832</w:t>
            </w:r>
          </w:p>
        </w:tc>
        <w:tc>
          <w:tcPr>
            <w:tcW w:w="11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48.0%</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30,038</w:t>
            </w:r>
          </w:p>
        </w:tc>
        <w:tc>
          <w:tcPr>
            <w:tcW w:w="11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49.1%</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57,882</w:t>
            </w:r>
          </w:p>
        </w:tc>
        <w:tc>
          <w:tcPr>
            <w:tcW w:w="11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48.7%</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58,843</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Gross profit</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31,226</w:t>
            </w:r>
          </w:p>
        </w:tc>
        <w:tc>
          <w:tcPr>
            <w:tcW w:w="11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52.0%</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31,094</w:t>
            </w:r>
          </w:p>
        </w:tc>
        <w:tc>
          <w:tcPr>
            <w:tcW w:w="11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50.9%</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61,028</w:t>
            </w:r>
          </w:p>
        </w:tc>
        <w:tc>
          <w:tcPr>
            <w:tcW w:w="11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51.3%</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59,263</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3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3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Selling, general and administrative</w:t>
            </w:r>
          </w:p>
        </w:tc>
        <w:tc>
          <w:tcPr>
            <w:tcW w:w="100" w:type="dxa"/>
            <w:vAlign w:val="bottom"/>
            <w:shd w:val="clear" w:color="auto" w:fill="CCEEFF"/>
          </w:tcPr>
          <w:p>
            <w:pPr>
              <w:spacing w:after="0"/>
              <w:rPr>
                <w:sz w:val="17"/>
                <w:szCs w:val="17"/>
                <w:color w:val="auto"/>
              </w:rPr>
            </w:pPr>
          </w:p>
        </w:tc>
        <w:tc>
          <w:tcPr>
            <w:tcW w:w="84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rPr>
              <w:t>28,563</w:t>
            </w:r>
          </w:p>
        </w:tc>
        <w:tc>
          <w:tcPr>
            <w:tcW w:w="1100" w:type="dxa"/>
            <w:vAlign w:val="bottom"/>
            <w:tcBorders>
              <w:right w:val="single" w:sz="8" w:color="CCEEFF"/>
            </w:tcBorders>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47.6%</w:t>
            </w:r>
          </w:p>
        </w:tc>
        <w:tc>
          <w:tcPr>
            <w:tcW w:w="100" w:type="dxa"/>
            <w:vAlign w:val="bottom"/>
            <w:shd w:val="clear" w:color="auto" w:fill="CCEEFF"/>
          </w:tcPr>
          <w:p>
            <w:pPr>
              <w:spacing w:after="0"/>
              <w:rPr>
                <w:sz w:val="17"/>
                <w:szCs w:val="17"/>
                <w:color w:val="auto"/>
              </w:rPr>
            </w:pPr>
          </w:p>
        </w:tc>
        <w:tc>
          <w:tcPr>
            <w:tcW w:w="84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28,325</w:t>
            </w:r>
          </w:p>
        </w:tc>
        <w:tc>
          <w:tcPr>
            <w:tcW w:w="1120" w:type="dxa"/>
            <w:vAlign w:val="bottom"/>
            <w:tcBorders>
              <w:right w:val="single" w:sz="8" w:color="CCEEFF"/>
            </w:tcBorders>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46.3%</w:t>
            </w:r>
          </w:p>
        </w:tc>
        <w:tc>
          <w:tcPr>
            <w:tcW w:w="100" w:type="dxa"/>
            <w:vAlign w:val="bottom"/>
            <w:shd w:val="clear" w:color="auto" w:fill="CCEEFF"/>
          </w:tcPr>
          <w:p>
            <w:pPr>
              <w:spacing w:after="0"/>
              <w:rPr>
                <w:sz w:val="17"/>
                <w:szCs w:val="17"/>
                <w:color w:val="auto"/>
              </w:rPr>
            </w:pPr>
          </w:p>
        </w:tc>
        <w:tc>
          <w:tcPr>
            <w:tcW w:w="84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rPr>
              <w:t>57,589</w:t>
            </w:r>
          </w:p>
        </w:tc>
        <w:tc>
          <w:tcPr>
            <w:tcW w:w="1120" w:type="dxa"/>
            <w:vAlign w:val="bottom"/>
            <w:tcBorders>
              <w:right w:val="single" w:sz="8" w:color="CCEEFF"/>
            </w:tcBorders>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48.4%</w:t>
            </w:r>
          </w:p>
        </w:tc>
        <w:tc>
          <w:tcPr>
            <w:tcW w:w="80" w:type="dxa"/>
            <w:vAlign w:val="bottom"/>
            <w:shd w:val="clear" w:color="auto" w:fill="CCEEFF"/>
          </w:tcPr>
          <w:p>
            <w:pPr>
              <w:spacing w:after="0"/>
              <w:rPr>
                <w:sz w:val="17"/>
                <w:szCs w:val="17"/>
                <w:color w:val="auto"/>
              </w:rPr>
            </w:pPr>
          </w:p>
        </w:tc>
        <w:tc>
          <w:tcPr>
            <w:tcW w:w="84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56,579</w:t>
            </w:r>
          </w:p>
        </w:tc>
        <w:tc>
          <w:tcPr>
            <w:tcW w:w="102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47.9%</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expense*</w:t>
            </w:r>
          </w:p>
        </w:tc>
        <w:tc>
          <w:tcPr>
            <w:tcW w:w="10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100" w:type="dxa"/>
            <w:vAlign w:val="bottom"/>
            <w:tcBorders>
              <w:right w:val="single" w:sz="8" w:color="CCEEFF"/>
            </w:tcBorders>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120" w:type="dxa"/>
            <w:vAlign w:val="bottom"/>
            <w:tcBorders>
              <w:right w:val="single" w:sz="8" w:color="CCEEFF"/>
            </w:tcBorders>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120" w:type="dxa"/>
            <w:vAlign w:val="bottom"/>
            <w:tcBorders>
              <w:right w:val="single" w:sz="8" w:color="CCEEFF"/>
            </w:tcBorders>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from operations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2,663</w:t>
            </w:r>
          </w:p>
        </w:tc>
        <w:tc>
          <w:tcPr>
            <w:tcW w:w="11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2,769</w:t>
            </w:r>
          </w:p>
        </w:tc>
        <w:tc>
          <w:tcPr>
            <w:tcW w:w="11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3,439</w:t>
            </w:r>
          </w:p>
        </w:tc>
        <w:tc>
          <w:tcPr>
            <w:tcW w:w="11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2,684</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2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3"/>
        </w:trPr>
        <w:tc>
          <w:tcPr>
            <w:tcW w:w="2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gridSpan w:val="4"/>
          </w:tcPr>
          <w:p>
            <w:pPr>
              <w:jc w:val="right"/>
              <w:ind w:right="390"/>
              <w:spacing w:after="0"/>
              <w:rPr>
                <w:sz w:val="20"/>
                <w:szCs w:val="20"/>
                <w:color w:val="auto"/>
              </w:rPr>
            </w:pPr>
            <w:r>
              <w:rPr>
                <w:rFonts w:ascii="Arial" w:cs="Arial" w:eastAsia="Arial" w:hAnsi="Arial"/>
                <w:sz w:val="18"/>
                <w:szCs w:val="18"/>
                <w:color w:val="auto"/>
              </w:rPr>
              <w:t>All Other Stores</w:t>
            </w:r>
          </w:p>
        </w:tc>
        <w:tc>
          <w:tcPr>
            <w:tcW w:w="860" w:type="dxa"/>
            <w:vAlign w:val="bottom"/>
            <w:tcBorders>
              <w:bottom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gridSpan w:val="4"/>
          </w:tcPr>
          <w:p>
            <w:pPr>
              <w:jc w:val="right"/>
              <w:ind w:right="370"/>
              <w:spacing w:after="0"/>
              <w:rPr>
                <w:sz w:val="20"/>
                <w:szCs w:val="20"/>
                <w:color w:val="auto"/>
              </w:rPr>
            </w:pPr>
            <w:r>
              <w:rPr>
                <w:rFonts w:ascii="Arial" w:cs="Arial" w:eastAsia="Arial" w:hAnsi="Arial"/>
                <w:sz w:val="18"/>
                <w:szCs w:val="18"/>
                <w:color w:val="auto"/>
              </w:rPr>
              <w:t>All Other Stores</w:t>
            </w:r>
          </w:p>
        </w:tc>
        <w:tc>
          <w:tcPr>
            <w:tcW w:w="86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40" w:type="dxa"/>
            <w:vAlign w:val="bottom"/>
            <w:gridSpan w:val="3"/>
          </w:tcPr>
          <w:p>
            <w:pPr>
              <w:jc w:val="center"/>
              <w:ind w:right="360"/>
              <w:spacing w:after="0" w:line="195" w:lineRule="exact"/>
              <w:rPr>
                <w:sz w:val="20"/>
                <w:szCs w:val="20"/>
                <w:color w:val="auto"/>
              </w:rPr>
            </w:pPr>
            <w:r>
              <w:rPr>
                <w:rFonts w:ascii="Arial" w:cs="Arial" w:eastAsia="Arial" w:hAnsi="Arial"/>
                <w:sz w:val="18"/>
                <w:szCs w:val="18"/>
                <w:color w:val="auto"/>
                <w:w w:val="89"/>
              </w:rPr>
              <w:t>Quarter Ended</w:t>
            </w:r>
          </w:p>
        </w:tc>
        <w:tc>
          <w:tcPr>
            <w:tcW w:w="100" w:type="dxa"/>
            <w:vAlign w:val="bottom"/>
          </w:tcPr>
          <w:p>
            <w:pPr>
              <w:spacing w:after="0"/>
              <w:rPr>
                <w:sz w:val="16"/>
                <w:szCs w:val="16"/>
                <w:color w:val="auto"/>
              </w:rPr>
            </w:pPr>
          </w:p>
        </w:tc>
        <w:tc>
          <w:tcPr>
            <w:tcW w:w="1700" w:type="dxa"/>
            <w:vAlign w:val="bottom"/>
            <w:gridSpan w:val="2"/>
          </w:tcPr>
          <w:p>
            <w:pPr>
              <w:jc w:val="center"/>
              <w:ind w:right="10"/>
              <w:spacing w:after="0" w:line="195" w:lineRule="exact"/>
              <w:rPr>
                <w:sz w:val="20"/>
                <w:szCs w:val="20"/>
                <w:color w:val="auto"/>
              </w:rPr>
            </w:pPr>
            <w:r>
              <w:rPr>
                <w:rFonts w:ascii="Arial" w:cs="Arial" w:eastAsia="Arial" w:hAnsi="Arial"/>
                <w:sz w:val="18"/>
                <w:szCs w:val="18"/>
                <w:color w:val="auto"/>
                <w:w w:val="88"/>
              </w:rPr>
              <w:t>Quarter Ended</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60" w:type="dxa"/>
            <w:vAlign w:val="bottom"/>
            <w:gridSpan w:val="3"/>
          </w:tcPr>
          <w:p>
            <w:pPr>
              <w:jc w:val="center"/>
              <w:ind w:right="380"/>
              <w:spacing w:after="0" w:line="195" w:lineRule="exact"/>
              <w:rPr>
                <w:sz w:val="20"/>
                <w:szCs w:val="20"/>
                <w:color w:val="auto"/>
              </w:rPr>
            </w:pPr>
            <w:r>
              <w:rPr>
                <w:rFonts w:ascii="Arial" w:cs="Arial" w:eastAsia="Arial" w:hAnsi="Arial"/>
                <w:sz w:val="18"/>
                <w:szCs w:val="18"/>
                <w:color w:val="auto"/>
                <w:w w:val="91"/>
              </w:rPr>
              <w:t>Six Months Ended</w:t>
            </w:r>
          </w:p>
        </w:tc>
        <w:tc>
          <w:tcPr>
            <w:tcW w:w="80" w:type="dxa"/>
            <w:vAlign w:val="bottom"/>
          </w:tcPr>
          <w:p>
            <w:pPr>
              <w:spacing w:after="0"/>
              <w:rPr>
                <w:sz w:val="16"/>
                <w:szCs w:val="16"/>
                <w:color w:val="auto"/>
              </w:rPr>
            </w:pPr>
          </w:p>
        </w:tc>
        <w:tc>
          <w:tcPr>
            <w:tcW w:w="1700" w:type="dxa"/>
            <w:vAlign w:val="bottom"/>
            <w:gridSpan w:val="2"/>
          </w:tcPr>
          <w:p>
            <w:pPr>
              <w:jc w:val="center"/>
              <w:spacing w:after="0" w:line="195" w:lineRule="exact"/>
              <w:rPr>
                <w:sz w:val="20"/>
                <w:szCs w:val="20"/>
                <w:color w:val="auto"/>
              </w:rPr>
            </w:pPr>
            <w:r>
              <w:rPr>
                <w:rFonts w:ascii="Arial" w:cs="Arial" w:eastAsia="Arial" w:hAnsi="Arial"/>
                <w:sz w:val="18"/>
                <w:szCs w:val="18"/>
                <w:color w:val="auto"/>
                <w:w w:val="91"/>
              </w:rPr>
              <w:t>Six Months Ended</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40" w:type="dxa"/>
            <w:vAlign w:val="bottom"/>
            <w:gridSpan w:val="3"/>
          </w:tcPr>
          <w:p>
            <w:pPr>
              <w:jc w:val="center"/>
              <w:ind w:right="360"/>
              <w:spacing w:after="0"/>
              <w:rPr>
                <w:sz w:val="20"/>
                <w:szCs w:val="20"/>
                <w:color w:val="auto"/>
              </w:rPr>
            </w:pPr>
            <w:r>
              <w:rPr>
                <w:rFonts w:ascii="Arial" w:cs="Arial" w:eastAsia="Arial" w:hAnsi="Arial"/>
                <w:sz w:val="18"/>
                <w:szCs w:val="18"/>
                <w:color w:val="auto"/>
                <w:w w:val="93"/>
              </w:rPr>
              <w:t>May 26, 2018</w:t>
            </w:r>
          </w:p>
        </w:tc>
        <w:tc>
          <w:tcPr>
            <w:tcW w:w="100" w:type="dxa"/>
            <w:vAlign w:val="bottom"/>
          </w:tcPr>
          <w:p>
            <w:pPr>
              <w:spacing w:after="0"/>
              <w:rPr>
                <w:sz w:val="20"/>
                <w:szCs w:val="20"/>
                <w:color w:val="auto"/>
              </w:rPr>
            </w:pPr>
          </w:p>
        </w:tc>
        <w:tc>
          <w:tcPr>
            <w:tcW w:w="1960" w:type="dxa"/>
            <w:vAlign w:val="bottom"/>
            <w:gridSpan w:val="3"/>
          </w:tcPr>
          <w:p>
            <w:pPr>
              <w:jc w:val="center"/>
              <w:ind w:right="360"/>
              <w:spacing w:after="0"/>
              <w:rPr>
                <w:sz w:val="20"/>
                <w:szCs w:val="20"/>
                <w:color w:val="auto"/>
              </w:rPr>
            </w:pPr>
            <w:r>
              <w:rPr>
                <w:rFonts w:ascii="Arial" w:cs="Arial" w:eastAsia="Arial" w:hAnsi="Arial"/>
                <w:sz w:val="18"/>
                <w:szCs w:val="18"/>
                <w:color w:val="auto"/>
                <w:w w:val="91"/>
              </w:rPr>
              <w:t>May 27, 2017</w:t>
            </w:r>
          </w:p>
        </w:tc>
        <w:tc>
          <w:tcPr>
            <w:tcW w:w="100" w:type="dxa"/>
            <w:vAlign w:val="bottom"/>
          </w:tcPr>
          <w:p>
            <w:pPr>
              <w:spacing w:after="0"/>
              <w:rPr>
                <w:sz w:val="20"/>
                <w:szCs w:val="20"/>
                <w:color w:val="auto"/>
              </w:rPr>
            </w:pPr>
          </w:p>
        </w:tc>
        <w:tc>
          <w:tcPr>
            <w:tcW w:w="1960" w:type="dxa"/>
            <w:vAlign w:val="bottom"/>
            <w:gridSpan w:val="3"/>
          </w:tcPr>
          <w:p>
            <w:pPr>
              <w:jc w:val="center"/>
              <w:ind w:right="360"/>
              <w:spacing w:after="0"/>
              <w:rPr>
                <w:sz w:val="20"/>
                <w:szCs w:val="20"/>
                <w:color w:val="auto"/>
              </w:rPr>
            </w:pPr>
            <w:r>
              <w:rPr>
                <w:rFonts w:ascii="Arial" w:cs="Arial" w:eastAsia="Arial" w:hAnsi="Arial"/>
                <w:sz w:val="18"/>
                <w:szCs w:val="18"/>
                <w:color w:val="auto"/>
                <w:w w:val="91"/>
              </w:rPr>
              <w:t>May 26, 2018</w:t>
            </w:r>
          </w:p>
        </w:tc>
        <w:tc>
          <w:tcPr>
            <w:tcW w:w="80" w:type="dxa"/>
            <w:vAlign w:val="bottom"/>
          </w:tcPr>
          <w:p>
            <w:pPr>
              <w:spacing w:after="0"/>
              <w:rPr>
                <w:sz w:val="20"/>
                <w:szCs w:val="20"/>
                <w:color w:val="auto"/>
              </w:rPr>
            </w:pPr>
          </w:p>
        </w:tc>
        <w:tc>
          <w:tcPr>
            <w:tcW w:w="1860" w:type="dxa"/>
            <w:vAlign w:val="bottom"/>
            <w:gridSpan w:val="3"/>
          </w:tcPr>
          <w:p>
            <w:pPr>
              <w:jc w:val="center"/>
              <w:ind w:right="260"/>
              <w:spacing w:after="0"/>
              <w:rPr>
                <w:sz w:val="20"/>
                <w:szCs w:val="20"/>
                <w:color w:val="auto"/>
              </w:rPr>
            </w:pPr>
            <w:r>
              <w:rPr>
                <w:rFonts w:ascii="Arial" w:cs="Arial" w:eastAsia="Arial" w:hAnsi="Arial"/>
                <w:sz w:val="18"/>
                <w:szCs w:val="18"/>
                <w:color w:val="auto"/>
                <w:w w:val="91"/>
              </w:rPr>
              <w:t>May 27, 2017</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Percent of</w:t>
            </w:r>
          </w:p>
        </w:tc>
        <w:tc>
          <w:tcPr>
            <w:tcW w:w="24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7"/>
              </w:rPr>
              <w:t>Percent of</w:t>
            </w:r>
          </w:p>
        </w:tc>
        <w:tc>
          <w:tcPr>
            <w:tcW w:w="26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Percent of</w:t>
            </w:r>
          </w:p>
        </w:tc>
        <w:tc>
          <w:tcPr>
            <w:tcW w:w="28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Percent of</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jc w:val="right"/>
              <w:ind w:right="170"/>
              <w:spacing w:after="0"/>
              <w:rPr>
                <w:sz w:val="20"/>
                <w:szCs w:val="20"/>
                <w:color w:val="auto"/>
              </w:rPr>
            </w:pPr>
            <w:r>
              <w:rPr>
                <w:rFonts w:ascii="Arial" w:cs="Arial" w:eastAsia="Arial" w:hAnsi="Arial"/>
                <w:sz w:val="18"/>
                <w:szCs w:val="18"/>
                <w:color w:val="auto"/>
                <w:w w:val="90"/>
              </w:rPr>
              <w:t>Amount</w:t>
            </w:r>
          </w:p>
        </w:tc>
        <w:tc>
          <w:tcPr>
            <w:tcW w:w="110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Net Sales</w:t>
            </w:r>
          </w:p>
        </w:tc>
        <w:tc>
          <w:tcPr>
            <w:tcW w:w="100" w:type="dxa"/>
            <w:vAlign w:val="bottom"/>
          </w:tcPr>
          <w:p>
            <w:pPr>
              <w:spacing w:after="0"/>
              <w:rPr>
                <w:sz w:val="20"/>
                <w:szCs w:val="20"/>
                <w:color w:val="auto"/>
              </w:rPr>
            </w:pPr>
          </w:p>
        </w:tc>
        <w:tc>
          <w:tcPr>
            <w:tcW w:w="840" w:type="dxa"/>
            <w:vAlign w:val="bottom"/>
          </w:tcPr>
          <w:p>
            <w:pPr>
              <w:jc w:val="right"/>
              <w:ind w:right="150"/>
              <w:spacing w:after="0"/>
              <w:rPr>
                <w:sz w:val="20"/>
                <w:szCs w:val="20"/>
                <w:color w:val="auto"/>
              </w:rPr>
            </w:pPr>
            <w:r>
              <w:rPr>
                <w:rFonts w:ascii="Arial" w:cs="Arial" w:eastAsia="Arial" w:hAnsi="Arial"/>
                <w:sz w:val="18"/>
                <w:szCs w:val="18"/>
                <w:color w:val="auto"/>
                <w:w w:val="93"/>
              </w:rPr>
              <w:t>Amount</w:t>
            </w: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color w:val="auto"/>
                <w:w w:val="87"/>
              </w:rPr>
              <w:t>Net Sales</w:t>
            </w:r>
          </w:p>
        </w:tc>
        <w:tc>
          <w:tcPr>
            <w:tcW w:w="100" w:type="dxa"/>
            <w:vAlign w:val="bottom"/>
          </w:tcPr>
          <w:p>
            <w:pPr>
              <w:spacing w:after="0"/>
              <w:rPr>
                <w:sz w:val="20"/>
                <w:szCs w:val="20"/>
                <w:color w:val="auto"/>
              </w:rPr>
            </w:pPr>
          </w:p>
        </w:tc>
        <w:tc>
          <w:tcPr>
            <w:tcW w:w="840" w:type="dxa"/>
            <w:vAlign w:val="bottom"/>
          </w:tcPr>
          <w:p>
            <w:pPr>
              <w:jc w:val="right"/>
              <w:ind w:right="170"/>
              <w:spacing w:after="0"/>
              <w:rPr>
                <w:sz w:val="20"/>
                <w:szCs w:val="20"/>
                <w:color w:val="auto"/>
              </w:rPr>
            </w:pPr>
            <w:r>
              <w:rPr>
                <w:rFonts w:ascii="Arial" w:cs="Arial" w:eastAsia="Arial" w:hAnsi="Arial"/>
                <w:sz w:val="18"/>
                <w:szCs w:val="18"/>
                <w:color w:val="auto"/>
                <w:w w:val="90"/>
              </w:rPr>
              <w:t>Amount</w:t>
            </w: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color w:val="auto"/>
                <w:w w:val="87"/>
              </w:rPr>
              <w:t>Net Sales</w:t>
            </w:r>
          </w:p>
        </w:tc>
        <w:tc>
          <w:tcPr>
            <w:tcW w:w="80" w:type="dxa"/>
            <w:vAlign w:val="bottom"/>
          </w:tcPr>
          <w:p>
            <w:pPr>
              <w:spacing w:after="0"/>
              <w:rPr>
                <w:sz w:val="20"/>
                <w:szCs w:val="20"/>
                <w:color w:val="auto"/>
              </w:rPr>
            </w:pPr>
          </w:p>
        </w:tc>
        <w:tc>
          <w:tcPr>
            <w:tcW w:w="840" w:type="dxa"/>
            <w:vAlign w:val="bottom"/>
          </w:tcPr>
          <w:p>
            <w:pPr>
              <w:jc w:val="right"/>
              <w:ind w:right="150"/>
              <w:spacing w:after="0"/>
              <w:rPr>
                <w:sz w:val="20"/>
                <w:szCs w:val="20"/>
                <w:color w:val="auto"/>
              </w:rPr>
            </w:pPr>
            <w:r>
              <w:rPr>
                <w:rFonts w:ascii="Arial" w:cs="Arial" w:eastAsia="Arial" w:hAnsi="Arial"/>
                <w:sz w:val="18"/>
                <w:szCs w:val="18"/>
                <w:color w:val="auto"/>
                <w:w w:val="93"/>
              </w:rPr>
              <w:t>Amount</w:t>
            </w:r>
          </w:p>
        </w:tc>
        <w:tc>
          <w:tcPr>
            <w:tcW w:w="102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Net Sales</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3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8,624</w:t>
            </w:r>
          </w:p>
        </w:tc>
        <w:tc>
          <w:tcPr>
            <w:tcW w:w="11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6,012</w:t>
            </w:r>
          </w:p>
        </w:tc>
        <w:tc>
          <w:tcPr>
            <w:tcW w:w="11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14,433</w:t>
            </w:r>
          </w:p>
        </w:tc>
        <w:tc>
          <w:tcPr>
            <w:tcW w:w="11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10,631</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4,097</w:t>
            </w:r>
          </w:p>
        </w:tc>
        <w:tc>
          <w:tcPr>
            <w:tcW w:w="11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47.5%</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3,034</w:t>
            </w:r>
          </w:p>
        </w:tc>
        <w:tc>
          <w:tcPr>
            <w:tcW w:w="11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50.5%</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7,041</w:t>
            </w:r>
          </w:p>
        </w:tc>
        <w:tc>
          <w:tcPr>
            <w:tcW w:w="11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48.8%</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5,688</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53.5%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Gross profit</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4,527</w:t>
            </w:r>
          </w:p>
        </w:tc>
        <w:tc>
          <w:tcPr>
            <w:tcW w:w="11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52.5%</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2,978</w:t>
            </w:r>
          </w:p>
        </w:tc>
        <w:tc>
          <w:tcPr>
            <w:tcW w:w="11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49.5%</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7,392</w:t>
            </w:r>
          </w:p>
        </w:tc>
        <w:tc>
          <w:tcPr>
            <w:tcW w:w="11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51.2%</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4,943</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3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w w:val="94"/>
              </w:rPr>
              <w:t>Selling, general and administrative expense</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5,364</w:t>
            </w:r>
          </w:p>
        </w:tc>
        <w:tc>
          <w:tcPr>
            <w:tcW w:w="11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62.2%</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3,911</w:t>
            </w:r>
          </w:p>
        </w:tc>
        <w:tc>
          <w:tcPr>
            <w:tcW w:w="11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65.1%</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9,816</w:t>
            </w:r>
          </w:p>
        </w:tc>
        <w:tc>
          <w:tcPr>
            <w:tcW w:w="11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68.0%</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6,328</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Pre-opening store costs**</w:t>
            </w:r>
          </w:p>
        </w:tc>
        <w:tc>
          <w:tcPr>
            <w:tcW w:w="100" w:type="dxa"/>
            <w:vAlign w:val="bottom"/>
          </w:tcPr>
          <w:p>
            <w:pPr>
              <w:spacing w:after="0"/>
              <w:rPr>
                <w:sz w:val="18"/>
                <w:szCs w:val="18"/>
                <w:color w:val="auto"/>
              </w:rPr>
            </w:pP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200</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8"/>
                <w:szCs w:val="18"/>
                <w:color w:val="auto"/>
              </w:rPr>
            </w:pPr>
          </w:p>
        </w:tc>
        <w:tc>
          <w:tcPr>
            <w:tcW w:w="840" w:type="dxa"/>
            <w:vAlign w:val="bottom"/>
          </w:tcPr>
          <w:p>
            <w:pPr>
              <w:jc w:val="right"/>
              <w:ind w:right="50"/>
              <w:spacing w:after="0"/>
              <w:rPr>
                <w:sz w:val="20"/>
                <w:szCs w:val="20"/>
                <w:color w:val="auto"/>
              </w:rPr>
            </w:pPr>
            <w:r>
              <w:rPr>
                <w:rFonts w:ascii="Arial" w:cs="Arial" w:eastAsia="Arial" w:hAnsi="Arial"/>
                <w:sz w:val="18"/>
                <w:szCs w:val="18"/>
                <w:color w:val="auto"/>
              </w:rPr>
              <w:t>469</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18"/>
                <w:szCs w:val="18"/>
                <w:color w:val="auto"/>
              </w:rPr>
            </w:pP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902</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6.2%</w:t>
            </w:r>
          </w:p>
        </w:tc>
        <w:tc>
          <w:tcPr>
            <w:tcW w:w="80" w:type="dxa"/>
            <w:vAlign w:val="bottom"/>
          </w:tcPr>
          <w:p>
            <w:pPr>
              <w:spacing w:after="0"/>
              <w:rPr>
                <w:sz w:val="18"/>
                <w:szCs w:val="18"/>
                <w:color w:val="auto"/>
              </w:rPr>
            </w:pPr>
          </w:p>
        </w:tc>
        <w:tc>
          <w:tcPr>
            <w:tcW w:w="840" w:type="dxa"/>
            <w:vAlign w:val="bottom"/>
          </w:tcPr>
          <w:p>
            <w:pPr>
              <w:jc w:val="right"/>
              <w:ind w:right="50"/>
              <w:spacing w:after="0"/>
              <w:rPr>
                <w:sz w:val="20"/>
                <w:szCs w:val="20"/>
                <w:color w:val="auto"/>
              </w:rPr>
            </w:pPr>
            <w:r>
              <w:rPr>
                <w:rFonts w:ascii="Arial" w:cs="Arial" w:eastAsia="Arial" w:hAnsi="Arial"/>
                <w:sz w:val="18"/>
                <w:szCs w:val="18"/>
                <w:color w:val="auto"/>
              </w:rPr>
              <w:t>1,275</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right w:val="single" w:sz="8" w:color="CCEEFF"/>
            </w:tcBorders>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tcPr>
          <w:p>
            <w:pPr>
              <w:ind w:left="160"/>
              <w:spacing w:after="0"/>
              <w:rPr>
                <w:sz w:val="20"/>
                <w:szCs w:val="20"/>
                <w:color w:val="auto"/>
              </w:rPr>
            </w:pPr>
            <w:r>
              <w:rPr>
                <w:rFonts w:ascii="Arial" w:cs="Arial" w:eastAsia="Arial" w:hAnsi="Arial"/>
                <w:sz w:val="18"/>
                <w:szCs w:val="18"/>
                <w:color w:val="auto"/>
              </w:rPr>
              <w:t>Loss from operations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(1,037)</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-12.0%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(1,402)</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-23.4%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(3,326)</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-23.1%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(2,660)</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4040" w:firstLine="90"/>
        <w:spacing w:after="0" w:line="274" w:lineRule="auto"/>
        <w:rPr>
          <w:sz w:val="20"/>
          <w:szCs w:val="20"/>
          <w:color w:val="auto"/>
        </w:rPr>
      </w:pPr>
      <w:r>
        <w:rPr>
          <w:rFonts w:ascii="Arial" w:cs="Arial" w:eastAsia="Arial" w:hAnsi="Arial"/>
          <w:sz w:val="17"/>
          <w:szCs w:val="17"/>
          <w:color w:val="auto"/>
        </w:rPr>
        <w:t>*Comparable store SG&amp;A includes retail corporate overhead and administrative costs. **Pre-opening store costs include the accrual for straight-line rent recorded during the period between</w:t>
      </w:r>
    </w:p>
    <w:p>
      <w:pPr>
        <w:ind w:left="240" w:right="3980"/>
        <w:spacing w:after="0" w:line="261" w:lineRule="auto"/>
        <w:rPr>
          <w:sz w:val="20"/>
          <w:szCs w:val="20"/>
          <w:color w:val="auto"/>
        </w:rPr>
      </w:pPr>
      <w:r>
        <w:rPr>
          <w:rFonts w:ascii="Arial" w:cs="Arial" w:eastAsia="Arial" w:hAnsi="Arial"/>
          <w:sz w:val="18"/>
          <w:szCs w:val="18"/>
          <w:color w:val="auto"/>
        </w:rPr>
        <w:t>date of possesion and store opening date, employee payroll and training costs prior to store opening and other various expenses incurred prior to store opening.</w:t>
      </w:r>
    </w:p>
    <w:sectPr>
      <w:pgSz w:w="11900" w:h="16838" w:orient="portrait"/>
      <w:cols w:equalWidth="0" w:num="1">
        <w:col w:w="11420"/>
      </w:cols>
      <w:pgMar w:left="240" w:top="58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2019-12-28T21:21:48Z</dcterms:created>
  <dcterms:modified xsi:type="dcterms:W3CDTF">2019-12-28T21:21:48Z</dcterms:modified>
</cp:coreProperties>
</file>