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180340</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198120</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328295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8"/>
          <w:szCs w:val="28"/>
          <w:b w:val="1"/>
          <w:bCs w:val="1"/>
          <w:color w:val="auto"/>
        </w:rPr>
        <w:t>BASSETT FURNITURE INDUSTRIES, INCORPORATED</w:t>
      </w:r>
    </w:p>
    <w:p>
      <w:pPr>
        <w:spacing w:after="0" w:line="5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452" w:right="49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7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3">
            <w:col w:w="4060" w:space="720"/>
            <w:col w:w="3140" w:space="720"/>
            <w:col w:w="2440"/>
          </w:cols>
          <w:pgMar w:left="320" w:top="452" w:right="499" w:bottom="1440" w:gutter="0" w:footer="0" w:header="0"/>
          <w:type w:val="continuous"/>
        </w:sectPr>
      </w:pPr>
    </w:p>
    <w:p>
      <w:pPr>
        <w:spacing w:after="0" w:line="3"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3525 Fairystone Park Highway</w:t>
      </w:r>
    </w:p>
    <w:p>
      <w:pPr>
        <w:spacing w:after="0" w:line="31"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17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216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7360" w:space="720"/>
            <w:col w:w="3000"/>
          </w:cols>
          <w:pgMar w:left="320" w:top="452" w:right="499" w:bottom="1440" w:gutter="0" w:footer="0" w:header="0"/>
          <w:type w:val="continuous"/>
        </w:sectPr>
      </w:pPr>
    </w:p>
    <w:p>
      <w:pPr>
        <w:spacing w:after="0" w:line="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160" w:right="2700" w:hanging="152"/>
        <w:spacing w:after="0" w:line="500" w:lineRule="auto"/>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220" w:type="dxa"/>
        <w:tblCellMar>
          <w:top w:w="0" w:type="dxa"/>
          <w:left w:w="0" w:type="dxa"/>
          <w:bottom w:w="0" w:type="dxa"/>
          <w:right w:w="0" w:type="dxa"/>
        </w:tblCellMar>
      </w:tblPr>
      <w:tr>
        <w:trPr>
          <w:trHeight w:val="234"/>
        </w:trPr>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20" w:type="dxa"/>
            <w:vAlign w:val="bottom"/>
          </w:tcPr>
          <w:p>
            <w:pPr>
              <w:spacing w:after="0"/>
              <w:rPr>
                <w:sz w:val="20"/>
                <w:szCs w:val="20"/>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280" w:type="dxa"/>
            <w:vAlign w:val="bottom"/>
          </w:tcPr>
          <w:p>
            <w:pPr>
              <w:spacing w:after="0"/>
              <w:rPr>
                <w:sz w:val="20"/>
                <w:szCs w:val="20"/>
                <w:color w:val="auto"/>
              </w:rPr>
            </w:pPr>
          </w:p>
        </w:tc>
        <w:tc>
          <w:tcPr>
            <w:tcW w:w="3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20" w:type="dxa"/>
            <w:vAlign w:val="bottom"/>
          </w:tcPr>
          <w:p>
            <w:pPr>
              <w:spacing w:after="0"/>
              <w:rPr>
                <w:sz w:val="19"/>
                <w:szCs w:val="19"/>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280" w:type="dxa"/>
            <w:vAlign w:val="bottom"/>
          </w:tcPr>
          <w:p>
            <w:pPr>
              <w:spacing w:after="0"/>
              <w:rPr>
                <w:sz w:val="19"/>
                <w:szCs w:val="19"/>
                <w:color w:val="auto"/>
              </w:rPr>
            </w:pP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bl>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452" w:right="499" w:bottom="1440" w:gutter="0" w:footer="0" w:header="0"/>
          <w:type w:val="continuous"/>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January 29, 2025, Bassett Furniture Industries issued a news release relating to the fourth quarter financial results for the fiscal year ended November 30, 2024. A copy of the news release announcing this information is attached to this report as Exhibit 99.1.</w:t>
      </w:r>
    </w:p>
    <w:p>
      <w:pPr>
        <w:spacing w:after="0" w:line="200" w:lineRule="exact"/>
        <w:rPr>
          <w:sz w:val="20"/>
          <w:szCs w:val="20"/>
          <w:color w:val="auto"/>
        </w:rPr>
      </w:pPr>
    </w:p>
    <w:p>
      <w:pPr>
        <w:spacing w:after="0" w:line="20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News release issued by Bassett Furniture Industries, Inc. on January 29, 2025.</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576" w:right="55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January 29, 2025</w:t>
            </w:r>
          </w:p>
        </w:tc>
        <w:tc>
          <w:tcPr>
            <w:tcW w:w="618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By: /s/ J. Michael Daniel</w:t>
            </w:r>
          </w:p>
        </w:tc>
      </w:tr>
      <w:tr>
        <w:trPr>
          <w:trHeight w:val="191"/>
        </w:trPr>
        <w:tc>
          <w:tcPr>
            <w:tcW w:w="3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260" w:type="dxa"/>
            <w:vAlign w:val="bottom"/>
            <w:tcBorders>
              <w:top w:val="single" w:sz="8" w:color="auto"/>
            </w:tcBorders>
          </w:tcPr>
          <w:p>
            <w:pPr>
              <w:ind w:left="500"/>
              <w:spacing w:after="0" w:line="191" w:lineRule="exact"/>
              <w:rPr>
                <w:sz w:val="20"/>
                <w:szCs w:val="20"/>
                <w:color w:val="auto"/>
              </w:rPr>
            </w:pPr>
            <w:r>
              <w:rPr>
                <w:rFonts w:ascii="Times New Roman" w:cs="Times New Roman" w:eastAsia="Times New Roman" w:hAnsi="Times New Roman"/>
                <w:sz w:val="18"/>
                <w:szCs w:val="18"/>
                <w:color w:val="auto"/>
              </w:rPr>
              <w:t>J. Michael Daniel</w:t>
            </w:r>
          </w:p>
        </w:tc>
      </w:tr>
      <w:tr>
        <w:trPr>
          <w:trHeight w:val="216"/>
        </w:trPr>
        <w:tc>
          <w:tcPr>
            <w:tcW w:w="3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42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Title: Senior Vice President – Chief Financial &amp;</w:t>
            </w:r>
          </w:p>
        </w:tc>
      </w:tr>
      <w:tr>
        <w:trPr>
          <w:trHeight w:val="234"/>
        </w:trPr>
        <w:tc>
          <w:tcPr>
            <w:tcW w:w="3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26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Administrative Officer</w:t>
            </w:r>
          </w:p>
        </w:tc>
      </w:tr>
    </w:tbl>
    <w:p>
      <w:pPr>
        <w:sectPr>
          <w:pgSz w:w="11900" w:h="16838" w:orient="portrait"/>
          <w:cols w:equalWidth="0" w:num="1">
            <w:col w:w="10760"/>
          </w:cols>
          <w:pgMar w:left="320" w:top="580" w:right="8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20840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084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40" w:type="dxa"/>
            <w:vAlign w:val="bottom"/>
          </w:tcPr>
          <w:p>
            <w:pPr>
              <w:spacing w:after="0"/>
              <w:rPr>
                <w:sz w:val="18"/>
                <w:szCs w:val="18"/>
                <w:color w:val="auto"/>
              </w:rPr>
            </w:pPr>
          </w:p>
        </w:tc>
        <w:tc>
          <w:tcPr>
            <w:tcW w:w="48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Contacts:</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Bassett Furniture Industries, Inc.</w:t>
            </w:r>
          </w:p>
        </w:tc>
        <w:tc>
          <w:tcPr>
            <w:tcW w:w="48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J. Michael Daniel</w:t>
            </w: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P.O. Box 626</w:t>
            </w:r>
          </w:p>
        </w:tc>
        <w:tc>
          <w:tcPr>
            <w:tcW w:w="48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Senior Vice President and</w:t>
            </w:r>
          </w:p>
        </w:tc>
      </w:tr>
      <w:tr>
        <w:trPr>
          <w:trHeight w:val="220"/>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Bassett, VA 24055</w:t>
            </w:r>
          </w:p>
        </w:tc>
        <w:tc>
          <w:tcPr>
            <w:tcW w:w="48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tc>
      </w:tr>
      <w:tr>
        <w:trPr>
          <w:trHeight w:val="216"/>
        </w:trPr>
        <w:tc>
          <w:tcPr>
            <w:tcW w:w="6440" w:type="dxa"/>
            <w:vAlign w:val="bottom"/>
          </w:tcPr>
          <w:p>
            <w:pPr>
              <w:spacing w:after="0"/>
              <w:rPr>
                <w:sz w:val="18"/>
                <w:szCs w:val="18"/>
                <w:color w:val="auto"/>
              </w:rPr>
            </w:pPr>
          </w:p>
        </w:tc>
        <w:tc>
          <w:tcPr>
            <w:tcW w:w="48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(276) 629-6614 – Investors</w:t>
            </w:r>
          </w:p>
        </w:tc>
      </w:tr>
      <w:tr>
        <w:trPr>
          <w:trHeight w:val="234"/>
        </w:trPr>
        <w:tc>
          <w:tcPr>
            <w:tcW w:w="6440" w:type="dxa"/>
            <w:vAlign w:val="bottom"/>
          </w:tcPr>
          <w:p>
            <w:pPr>
              <w:spacing w:after="0"/>
              <w:rPr>
                <w:sz w:val="20"/>
                <w:szCs w:val="20"/>
                <w:color w:val="auto"/>
              </w:rPr>
            </w:pPr>
          </w:p>
        </w:tc>
        <w:tc>
          <w:tcPr>
            <w:tcW w:w="48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mdaniel@bassettfurniture.com</w:t>
            </w:r>
          </w:p>
        </w:tc>
      </w:tr>
      <w:tr>
        <w:trPr>
          <w:trHeight w:val="410"/>
        </w:trPr>
        <w:tc>
          <w:tcPr>
            <w:tcW w:w="6440" w:type="dxa"/>
            <w:vAlign w:val="bottom"/>
          </w:tcPr>
          <w:p>
            <w:pPr>
              <w:spacing w:after="0"/>
              <w:rPr>
                <w:sz w:val="24"/>
                <w:szCs w:val="24"/>
                <w:color w:val="auto"/>
              </w:rPr>
            </w:pPr>
          </w:p>
        </w:tc>
        <w:tc>
          <w:tcPr>
            <w:tcW w:w="48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Peter D. Morrison</w:t>
            </w:r>
          </w:p>
        </w:tc>
      </w:tr>
      <w:tr>
        <w:trPr>
          <w:trHeight w:val="220"/>
        </w:trPr>
        <w:tc>
          <w:tcPr>
            <w:tcW w:w="6440" w:type="dxa"/>
            <w:vAlign w:val="bottom"/>
          </w:tcPr>
          <w:p>
            <w:pPr>
              <w:spacing w:after="0"/>
              <w:rPr>
                <w:sz w:val="19"/>
                <w:szCs w:val="19"/>
                <w:color w:val="auto"/>
              </w:rPr>
            </w:pPr>
          </w:p>
        </w:tc>
        <w:tc>
          <w:tcPr>
            <w:tcW w:w="4800" w:type="dxa"/>
            <w:vAlign w:val="bottom"/>
          </w:tcPr>
          <w:p>
            <w:pPr>
              <w:ind w:left="1440"/>
              <w:spacing w:after="0"/>
              <w:rPr>
                <w:sz w:val="20"/>
                <w:szCs w:val="20"/>
                <w:color w:val="auto"/>
              </w:rPr>
            </w:pPr>
            <w:r>
              <w:rPr>
                <w:rFonts w:ascii="Times New Roman" w:cs="Times New Roman" w:eastAsia="Times New Roman" w:hAnsi="Times New Roman"/>
                <w:sz w:val="18"/>
                <w:szCs w:val="18"/>
                <w:b w:val="1"/>
                <w:bCs w:val="1"/>
                <w:color w:val="auto"/>
              </w:rPr>
              <w:t>Vice President of Communications</w:t>
            </w:r>
          </w:p>
        </w:tc>
      </w:tr>
      <w:tr>
        <w:trPr>
          <w:trHeight w:val="234"/>
        </w:trPr>
        <w:tc>
          <w:tcPr>
            <w:tcW w:w="6440" w:type="dxa"/>
            <w:vAlign w:val="bottom"/>
          </w:tcPr>
          <w:p>
            <w:pPr>
              <w:spacing w:after="0"/>
              <w:rPr>
                <w:sz w:val="20"/>
                <w:szCs w:val="20"/>
                <w:color w:val="auto"/>
              </w:rPr>
            </w:pPr>
          </w:p>
        </w:tc>
        <w:tc>
          <w:tcPr>
            <w:tcW w:w="48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(276) 629-6450 – Media</w:t>
            </w:r>
          </w:p>
        </w:tc>
      </w:tr>
      <w:tr>
        <w:trPr>
          <w:trHeight w:val="648"/>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For immediate release</w:t>
            </w:r>
          </w:p>
        </w:tc>
        <w:tc>
          <w:tcPr>
            <w:tcW w:w="4800" w:type="dxa"/>
            <w:vAlign w:val="bottom"/>
          </w:tcPr>
          <w:p>
            <w:pPr>
              <w:spacing w:after="0"/>
              <w:rPr>
                <w:sz w:val="24"/>
                <w:szCs w:val="24"/>
                <w:color w:val="auto"/>
              </w:rPr>
            </w:pPr>
          </w:p>
        </w:tc>
      </w:tr>
      <w:tr>
        <w:trPr>
          <w:trHeight w:val="522"/>
        </w:trPr>
        <w:tc>
          <w:tcPr>
            <w:tcW w:w="6440" w:type="dxa"/>
            <w:vAlign w:val="bottom"/>
          </w:tcPr>
          <w:p>
            <w:pPr>
              <w:spacing w:after="0"/>
              <w:rPr>
                <w:sz w:val="20"/>
                <w:szCs w:val="20"/>
                <w:color w:val="auto"/>
              </w:rPr>
            </w:pPr>
            <w:r>
              <w:rPr>
                <w:rFonts w:ascii="Times New Roman" w:cs="Times New Roman" w:eastAsia="Times New Roman" w:hAnsi="Times New Roman"/>
                <w:sz w:val="25"/>
                <w:szCs w:val="25"/>
                <w:b w:val="1"/>
                <w:bCs w:val="1"/>
                <w:color w:val="auto"/>
              </w:rPr>
              <w:t>Bassett Reports Fiscal Fourth Quarter Results</w:t>
            </w:r>
          </w:p>
        </w:tc>
        <w:tc>
          <w:tcPr>
            <w:tcW w:w="4800" w:type="dxa"/>
            <w:vAlign w:val="bottom"/>
          </w:tcPr>
          <w:p>
            <w:pPr>
              <w:spacing w:after="0"/>
              <w:rPr>
                <w:sz w:val="24"/>
                <w:szCs w:val="24"/>
                <w:color w:val="auto"/>
              </w:rPr>
            </w:pPr>
          </w:p>
        </w:tc>
      </w:tr>
      <w:tr>
        <w:trPr>
          <w:trHeight w:val="45"/>
        </w:trPr>
        <w:tc>
          <w:tcPr>
            <w:tcW w:w="6440" w:type="dxa"/>
            <w:vAlign w:val="bottom"/>
            <w:tcBorders>
              <w:bottom w:val="single" w:sz="8" w:color="auto"/>
            </w:tcBorders>
          </w:tcPr>
          <w:p>
            <w:pPr>
              <w:spacing w:after="0"/>
              <w:rPr>
                <w:sz w:val="3"/>
                <w:szCs w:val="3"/>
                <w:color w:val="auto"/>
              </w:rPr>
            </w:pPr>
          </w:p>
        </w:tc>
        <w:tc>
          <w:tcPr>
            <w:tcW w:w="4800" w:type="dxa"/>
            <w:vAlign w:val="bottom"/>
            <w:tcBorders>
              <w:bottom w:val="single" w:sz="8" w:color="auto"/>
            </w:tcBorders>
          </w:tcPr>
          <w:p>
            <w:pPr>
              <w:spacing w:after="0"/>
              <w:rPr>
                <w:sz w:val="3"/>
                <w:szCs w:val="3"/>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(Bassett, Va.) – January 29, 2025 – Bassett Furniture Industries, Inc. (Nasdaq: BSET) reported today its results of operations for its fourth quarter ended November 30,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Q4 Consolidated Business Highlights</w:t>
      </w:r>
      <w:r>
        <w:rPr>
          <w:rFonts w:ascii="Times New Roman" w:cs="Times New Roman" w:eastAsia="Times New Roman" w:hAnsi="Times New Roman"/>
          <w:sz w:val="18"/>
          <w:szCs w:val="18"/>
          <w:i w:val="1"/>
          <w:iCs w:val="1"/>
          <w:color w:val="auto"/>
        </w:rPr>
        <w:t>: [FY 24 vs. FY 23, unless otherwise specified]</w:t>
      </w:r>
    </w:p>
    <w:p>
      <w:pPr>
        <w:spacing w:after="0" w:line="29"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decreased 11%.</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of $0.9 million, which included a $1.0 million charge related to the realization of cumulative translation losses associated with the wind-down of Noa Home Inc. and a $0.4 million restructuring charge for previously announced workforce reductions.</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margin of 56.6%, driven primarily by improved margins in the wholesale segment.</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Recorded a $2.6 million tax benefit related to the capital loss associated with our cumulative investment in Noa Home Inc. in 2022.</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of $0.38 vs. a loss of $0.47.</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$6.4 million of operating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auto"/>
        </w:rPr>
        <w:t>Fiscal 2024 Fourth Quarter Overview</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Sales</w:t>
            </w:r>
          </w:p>
        </w:tc>
        <w:tc>
          <w:tcPr>
            <w:tcW w:w="9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2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4th Qtr</w:t>
            </w:r>
          </w:p>
        </w:tc>
        <w:tc>
          <w:tcPr>
            <w:tcW w:w="6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Dollar</w:t>
            </w: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4th Qtr</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 of</w:t>
            </w:r>
          </w:p>
        </w:tc>
        <w:tc>
          <w:tcPr>
            <w:tcW w:w="120" w:type="dxa"/>
            <w:vAlign w:val="bottom"/>
          </w:tcPr>
          <w:p>
            <w:pPr>
              <w:spacing w:after="0"/>
              <w:rPr>
                <w:sz w:val="18"/>
                <w:szCs w:val="18"/>
                <w:color w:val="auto"/>
              </w:rPr>
            </w:pPr>
          </w:p>
        </w:tc>
        <w:tc>
          <w:tcPr>
            <w:tcW w:w="10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4th Qtr</w:t>
            </w:r>
          </w:p>
        </w:tc>
        <w:tc>
          <w:tcPr>
            <w:tcW w:w="8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 of</w:t>
            </w:r>
          </w:p>
        </w:tc>
        <w:tc>
          <w:tcPr>
            <w:tcW w:w="160" w:type="dxa"/>
            <w:vAlign w:val="bottom"/>
          </w:tcPr>
          <w:p>
            <w:pPr>
              <w:spacing w:after="0"/>
              <w:rPr>
                <w:sz w:val="18"/>
                <w:szCs w:val="18"/>
                <w:color w:val="auto"/>
              </w:rPr>
            </w:pPr>
          </w:p>
        </w:tc>
      </w:tr>
      <w:tr>
        <w:trPr>
          <w:trHeight w:val="223"/>
        </w:trPr>
        <w:tc>
          <w:tcPr>
            <w:tcW w:w="2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60" w:type="dxa"/>
            <w:vAlign w:val="bottom"/>
          </w:tcPr>
          <w:p>
            <w:pPr>
              <w:spacing w:after="0"/>
              <w:rPr>
                <w:sz w:val="19"/>
                <w:szCs w:val="19"/>
                <w:color w:val="auto"/>
              </w:rPr>
            </w:pPr>
          </w:p>
        </w:tc>
      </w:tr>
      <w:tr>
        <w:trPr>
          <w:trHeight w:val="209"/>
        </w:trPr>
        <w:tc>
          <w:tcPr>
            <w:tcW w:w="23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Consolidated </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(10.4)</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0.9</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Wholesale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52.3</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(8.3)</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8.4</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53.1</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0.2</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Corporate &amp; Other </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(7.8)</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N/A</w:t>
            </w:r>
          </w:p>
        </w:tc>
      </w:tr>
    </w:tbl>
    <w:p>
      <w:pPr>
        <w:spacing w:after="0" w:line="198" w:lineRule="exact"/>
        <w:rPr>
          <w:sz w:val="20"/>
          <w:szCs w:val="20"/>
          <w:color w:val="auto"/>
        </w:rPr>
      </w:pPr>
    </w:p>
    <w:p>
      <w:pPr>
        <w:jc w:val="both"/>
        <w:ind w:left="340" w:hanging="332"/>
        <w:spacing w:after="0" w:line="257"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consolidated results for the quarter include certain intercompany eliminations as well as a a $1.0 million charge for the realization of cumulative translation losses and a $0.4 million restructuring charge which are not allocated to our segment operating results. See Table 4, "Segment Information" below for an illustration of the effects of these items on our consolidated sales and operating income.</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includes the operations of Noa Home Inc. along with the shared Corporate costs that are benefiting both the Wholesale and Retail segments.</w:t>
      </w:r>
    </w:p>
    <w:p>
      <w:pPr>
        <w:spacing w:after="0" w:line="3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steps we took in our restructuring plan helped right-size our business and we returned to profitability in the fourth quarter," said Robert H. Spilman, Jr., Bassett Chairman and Chief Executive Officer. "We delivered strong consolidated gross margins and $0.38 in diluted earnings per share. Our team remains focused on operating efficiency, leveraging our cost structure and running a leaner business. We're driving newness and innovation into Bassett's product lines, e-commerce and marketing to deliver price and value for customers. We are well-positioned for the eventual housing industry turnaround and will focus on growth and productivity until it does."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Conference Call and Webcast</w:t>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 will hold a conference call to discuss its quarterly results on January 30, 2025, at 9:00 am ET. The public is invited to listen to the conference call by webcast, accessible through the Company’s investor relations website, https://investors.bassettfurniture.com/. Participants can also listen to the conference call via </w:t>
      </w:r>
      <w:r>
        <w:rPr>
          <w:rFonts w:ascii="Times New Roman" w:cs="Times New Roman" w:eastAsia="Times New Roman" w:hAnsi="Times New Roman"/>
          <w:sz w:val="18"/>
          <w:szCs w:val="18"/>
          <w:u w:val="single" w:color="auto"/>
          <w:color w:val="auto"/>
        </w:rPr>
        <w:t>https://edge.media-server.com/mmc/p/4t38wrd6</w:t>
      </w:r>
      <w:r>
        <w:rPr>
          <w:rFonts w:ascii="Times New Roman" w:cs="Times New Roman" w:eastAsia="Times New Roman" w:hAnsi="Times New Roman"/>
          <w:sz w:val="18"/>
          <w:szCs w:val="18"/>
          <w:color w:val="auto"/>
        </w:rPr>
        <w:t>. A replay and transcript of the conference call will be available on demand on the investor relations site.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About Bassett Furniture Industries, Inc.</w:t>
      </w:r>
    </w:p>
    <w:p>
      <w:pPr>
        <w:spacing w:after="0" w:line="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Bassett Furniture Industries, Inc. (NASDAQ: BSET) is a leading manufacturer and marketer of high-quality home furnishings. With 87 company- and licensee-owned stores at the time of this release, Bassett has leveraged its strong brand name in furniture into a network of corporate and licensed stores that focus on providing consumers with a friendly environment for buying furniture and accessories. Bassett’s retail strategy includes stylish, custom-built furniture that features the latest on-trend furniture styles, free in-home design visits, and coordinated decorating accessories. Bassett also has a traditional wholesale business with more than 700 accounts on the open market, across the United States and internationally. For more information, visit the Company’s website at bassettfurniture.com. (BSET-E)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of the statements in this release, particularly those preceded by, followed by or including the words “believes,” “plans,” “expects,” “anticipates,” “intends,” “should,” “estimates,” or similar expressions, or those relating to or anticipating financial results or changes in operations for periods beyond the end of the third fiscal quarter of 2024, constitute “forward looking statements” within the meaning of Section 27A of the Securities Act of 1933, as amended. For those statements, Bassett claims the protection of the safe harbor for forward-looking statements contained in the Private Securities Litigation Reform Act of 1995. In many cases, Bassett cannot predict what factors would cause actual results to differ materially from those indicated in the forward-looking statements. Expectations included in the forward-looking statements are based on preliminary information, as well as certain assumptions which management believes to be reasonable at this time. The following important factors affect Bassett and could cause actual results to differ materially from those indicated in the forward looking statements: the effects of national and global economic or other conditions and future events on the retail demand for home furnishings and the ability of Bassett’s customers and consumers to obtain credit; the success of marketing, logistics, retail and other initiatives; and the economic, competitive, governmental and other factors identified in Bassett’s filings with the Securities and Exchange Commission. Any forward-looking statement that Bassett makes speaks only as of the date of such statement, and Bassett undertakes no obligation to update any forward-looking statements, whether as a result of new information, future events or otherwise. Comparisons of results for current and any prior periods are not intended to express any future trends or indication of future performance, unless expressed as such, and should only be viewed as historical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Table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8"/>
                <w:szCs w:val="18"/>
                <w:color w:val="auto"/>
              </w:rPr>
              <w:t>Quarter Ended</w:t>
            </w:r>
          </w:p>
        </w:tc>
        <w:tc>
          <w:tcPr>
            <w:tcW w:w="8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580"/>
              <w:spacing w:after="0"/>
              <w:rPr>
                <w:sz w:val="20"/>
                <w:szCs w:val="20"/>
                <w:color w:val="auto"/>
              </w:rPr>
            </w:pPr>
            <w:r>
              <w:rPr>
                <w:rFonts w:ascii="Times New Roman" w:cs="Times New Roman" w:eastAsia="Times New Roman" w:hAnsi="Times New Roman"/>
                <w:sz w:val="18"/>
                <w:szCs w:val="18"/>
                <w:color w:val="auto"/>
              </w:rPr>
              <w:t>Year Ended*</w:t>
            </w:r>
          </w:p>
        </w:tc>
        <w:tc>
          <w:tcPr>
            <w:tcW w:w="8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color w:val="auto"/>
              </w:rPr>
              <w:t>November 30, 2024</w:t>
            </w:r>
          </w:p>
        </w:tc>
        <w:tc>
          <w:tcPr>
            <w:tcW w:w="80" w:type="dxa"/>
            <w:vAlign w:val="bottom"/>
          </w:tcPr>
          <w:p>
            <w:pPr>
              <w:spacing w:after="0"/>
              <w:rPr>
                <w:sz w:val="18"/>
                <w:szCs w:val="18"/>
                <w:color w:val="auto"/>
              </w:rPr>
            </w:pPr>
          </w:p>
        </w:tc>
        <w:tc>
          <w:tcPr>
            <w:tcW w:w="1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November 25, 2023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November 30, 2024</w:t>
            </w:r>
          </w:p>
        </w:tc>
        <w:tc>
          <w:tcPr>
            <w:tcW w:w="100" w:type="dxa"/>
            <w:vAlign w:val="bottom"/>
          </w:tcPr>
          <w:p>
            <w:pPr>
              <w:spacing w:after="0"/>
              <w:rPr>
                <w:sz w:val="18"/>
                <w:szCs w:val="18"/>
                <w:color w:val="auto"/>
              </w:rPr>
            </w:pPr>
          </w:p>
        </w:tc>
        <w:tc>
          <w:tcPr>
            <w:tcW w:w="166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November 25, 2023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Percent of</w:t>
            </w: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Percent of</w:t>
            </w:r>
          </w:p>
        </w:tc>
        <w:tc>
          <w:tcPr>
            <w:tcW w:w="2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Percent of</w:t>
            </w: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5" w:lineRule="exact"/>
              <w:rPr>
                <w:sz w:val="20"/>
                <w:szCs w:val="20"/>
                <w:color w:val="auto"/>
              </w:rPr>
            </w:pPr>
            <w:r>
              <w:rPr>
                <w:rFonts w:ascii="Times New Roman" w:cs="Times New Roman" w:eastAsia="Times New Roman" w:hAnsi="Times New Roman"/>
                <w:sz w:val="18"/>
                <w:szCs w:val="18"/>
                <w:color w:val="auto"/>
              </w:rPr>
              <w:t>Percent of</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14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Amount</w:t>
            </w: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Net Sales</w:t>
            </w:r>
          </w:p>
        </w:tc>
        <w:tc>
          <w:tcPr>
            <w:tcW w:w="8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8"/>
              </w:rPr>
              <w:t>Amount</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Net Sales</w:t>
            </w:r>
          </w:p>
        </w:tc>
        <w:tc>
          <w:tcPr>
            <w:tcW w:w="10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w w:val="94"/>
              </w:rPr>
              <w:t>Amount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Net Sales</w:t>
            </w:r>
          </w:p>
        </w:tc>
        <w:tc>
          <w:tcPr>
            <w:tcW w:w="0" w:type="dxa"/>
            <w:vAlign w:val="bottom"/>
          </w:tcPr>
          <w:p>
            <w:pPr>
              <w:spacing w:after="0"/>
              <w:rPr>
                <w:sz w:val="1"/>
                <w:szCs w:val="1"/>
                <w:color w:val="auto"/>
              </w:rPr>
            </w:pPr>
          </w:p>
        </w:tc>
      </w:tr>
      <w:tr>
        <w:trPr>
          <w:trHeight w:val="209"/>
        </w:trPr>
        <w:tc>
          <w:tcPr>
            <w:tcW w:w="32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 of furniture and accessories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94,702</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329,923</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390,136</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Cost of furniture and accessories sold</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36,645</w:t>
            </w:r>
          </w:p>
        </w:tc>
        <w:tc>
          <w:tcPr>
            <w:tcW w:w="14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43,288</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w:t>
            </w:r>
          </w:p>
        </w:tc>
        <w:tc>
          <w:tcPr>
            <w:tcW w:w="8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150,508</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19"/>
                <w:szCs w:val="19"/>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183,648</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47,695</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51,414</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179,415</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206,488</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45,386</w:t>
            </w: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w:t>
            </w:r>
          </w:p>
        </w:tc>
        <w:tc>
          <w:tcPr>
            <w:tcW w:w="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50,518</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187,527</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205,227</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Asset impairment charges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5,515</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contract abandonment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198"/>
        </w:trPr>
        <w:tc>
          <w:tcPr>
            <w:tcW w:w="3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Loss upon realization of cumulative</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translation adjustment</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14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20"/>
                <w:szCs w:val="20"/>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962</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charges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5,409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5,409</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198"/>
        </w:trPr>
        <w:tc>
          <w:tcPr>
            <w:tcW w:w="3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Gain on revaluation of contingent</w:t>
            </w:r>
          </w:p>
        </w:tc>
        <w:tc>
          <w:tcPr>
            <w:tcW w:w="100" w:type="dxa"/>
            <w:vAlign w:val="bottom"/>
            <w:shd w:val="clear" w:color="auto" w:fill="CCEEFF"/>
          </w:tcPr>
          <w:p>
            <w:pPr>
              <w:spacing w:after="0"/>
              <w:rPr>
                <w:sz w:val="17"/>
                <w:szCs w:val="17"/>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1,013</w:t>
            </w:r>
          </w:p>
        </w:tc>
        <w:tc>
          <w:tcPr>
            <w:tcW w:w="10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1"/>
        </w:trPr>
        <w:tc>
          <w:tcPr>
            <w:tcW w:w="3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consideration</w:t>
            </w:r>
          </w:p>
        </w:tc>
        <w:tc>
          <w:tcPr>
            <w:tcW w:w="10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(4,513)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(16,269)</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(3,135)</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2,673</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2,528</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162"/>
        </w:trPr>
        <w:tc>
          <w:tcPr>
            <w:tcW w:w="32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 net</w:t>
            </w: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shd w:val="clear" w:color="auto" w:fill="CCEEFF"/>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68"/>
        </w:trPr>
        <w:tc>
          <w:tcPr>
            <w:tcW w:w="324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680" w:type="dxa"/>
            <w:vAlign w:val="bottom"/>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1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20" w:type="dxa"/>
            <w:vAlign w:val="bottom"/>
            <w:gridSpan w:val="2"/>
            <w:shd w:val="clear" w:color="auto" w:fill="CCEEFF"/>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(500</w:t>
            </w:r>
          </w:p>
        </w:tc>
        <w:tc>
          <w:tcPr>
            <w:tcW w:w="11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40" w:type="dxa"/>
            <w:vAlign w:val="bottom"/>
            <w:gridSpan w:val="2"/>
            <w:shd w:val="clear" w:color="auto" w:fill="CCEEFF"/>
          </w:tcPr>
          <w:p>
            <w:pPr>
              <w:jc w:val="right"/>
              <w:ind w:right="160"/>
              <w:spacing w:after="0" w:line="68" w:lineRule="exact"/>
              <w:rPr>
                <w:sz w:val="20"/>
                <w:szCs w:val="20"/>
                <w:color w:val="auto"/>
              </w:rPr>
            </w:pPr>
            <w:r>
              <w:rPr>
                <w:rFonts w:ascii="Times New Roman" w:cs="Times New Roman" w:eastAsia="Times New Roman" w:hAnsi="Times New Roman"/>
                <w:sz w:val="7"/>
                <w:szCs w:val="7"/>
                <w:color w:val="auto"/>
              </w:rPr>
              <w:t>(774</w:t>
            </w:r>
          </w:p>
        </w:tc>
        <w:tc>
          <w:tcPr>
            <w:tcW w:w="110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820" w:type="dxa"/>
            <w:vAlign w:val="bottom"/>
            <w:gridSpan w:val="2"/>
            <w:shd w:val="clear" w:color="auto" w:fill="CCEEFF"/>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(1,881</w:t>
            </w:r>
          </w:p>
        </w:tc>
        <w:tc>
          <w:tcPr>
            <w:tcW w:w="10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4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(4,130)</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(14,370)</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(2,488)</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40" w:type="dxa"/>
            <w:vAlign w:val="bottom"/>
          </w:tcPr>
          <w:p>
            <w:pPr>
              <w:jc w:val="right"/>
              <w:ind w:right="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4"/>
                <w:szCs w:val="14"/>
                <w:color w:val="auto"/>
              </w:rPr>
            </w:pPr>
          </w:p>
        </w:tc>
        <w:tc>
          <w:tcPr>
            <w:tcW w:w="820" w:type="dxa"/>
            <w:vAlign w:val="bottom"/>
            <w:gridSpan w:val="2"/>
          </w:tcPr>
          <w:p>
            <w:pPr>
              <w:jc w:val="right"/>
              <w:ind w:right="8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tcPr>
          <w:p>
            <w:pPr>
              <w:spacing w:after="0"/>
              <w:rPr>
                <w:sz w:val="14"/>
                <w:szCs w:val="14"/>
                <w:color w:val="auto"/>
              </w:rPr>
            </w:pPr>
          </w:p>
        </w:tc>
        <w:tc>
          <w:tcPr>
            <w:tcW w:w="840" w:type="dxa"/>
            <w:vAlign w:val="bottom"/>
            <w:gridSpan w:val="2"/>
          </w:tcPr>
          <w:p>
            <w:pPr>
              <w:jc w:val="right"/>
              <w:ind w:right="10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4"/>
                <w:szCs w:val="14"/>
                <w:color w:val="auto"/>
              </w:rPr>
            </w:pPr>
          </w:p>
        </w:tc>
        <w:tc>
          <w:tcPr>
            <w:tcW w:w="8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683</w:t>
            </w:r>
          </w:p>
        </w:tc>
        <w:tc>
          <w:tcPr>
            <w:tcW w:w="10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68"/>
        </w:trPr>
        <w:tc>
          <w:tcPr>
            <w:tcW w:w="32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tcPr>
          <w:p>
            <w:pPr>
              <w:jc w:val="right"/>
              <w:ind w:right="140"/>
              <w:spacing w:after="0" w:line="68" w:lineRule="exact"/>
              <w:rPr>
                <w:sz w:val="20"/>
                <w:szCs w:val="20"/>
                <w:color w:val="auto"/>
              </w:rPr>
            </w:pPr>
            <w:r>
              <w:rPr>
                <w:rFonts w:ascii="Times New Roman" w:cs="Times New Roman" w:eastAsia="Times New Roman" w:hAnsi="Times New Roman"/>
                <w:sz w:val="7"/>
                <w:szCs w:val="7"/>
                <w:color w:val="auto"/>
              </w:rPr>
              <w:t>(28</w:t>
            </w:r>
          </w:p>
        </w:tc>
        <w:tc>
          <w:tcPr>
            <w:tcW w:w="11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gridSpan w:val="2"/>
          </w:tcPr>
          <w:p>
            <w:pPr>
              <w:jc w:val="right"/>
              <w:ind w:right="160"/>
              <w:spacing w:after="0" w:line="68" w:lineRule="exact"/>
              <w:rPr>
                <w:sz w:val="20"/>
                <w:szCs w:val="20"/>
                <w:color w:val="auto"/>
              </w:rPr>
            </w:pPr>
            <w:r>
              <w:rPr>
                <w:rFonts w:ascii="Times New Roman" w:cs="Times New Roman" w:eastAsia="Times New Roman" w:hAnsi="Times New Roman"/>
                <w:sz w:val="7"/>
                <w:szCs w:val="7"/>
                <w:color w:val="auto"/>
              </w:rPr>
              <w:t>(4,675</w:t>
            </w:r>
          </w:p>
        </w:tc>
        <w:tc>
          <w:tcPr>
            <w:tcW w:w="110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1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(4,102)</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(9,695)</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(3,171)</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196"/>
        </w:trPr>
        <w:tc>
          <w:tcPr>
            <w:tcW w:w="324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earnings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(0.47)</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(0.36)</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in fiscal 2024 versus 52 weeks in fiscal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Table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30, 2024</w:t>
            </w:r>
          </w:p>
        </w:tc>
        <w:tc>
          <w:tcPr>
            <w:tcW w:w="2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25, 2023</w:t>
            </w:r>
          </w:p>
        </w:tc>
      </w:tr>
      <w:tr>
        <w:trPr>
          <w:trHeight w:val="20"/>
        </w:trPr>
        <w:tc>
          <w:tcPr>
            <w:tcW w:w="480" w:type="dxa"/>
            <w:vAlign w:val="bottom"/>
            <w:tcBorders>
              <w:top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39,551</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52,407</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17,775</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13,181</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13,736</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54,965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62,982</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Recoverable income taxes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2,574</w:t>
            </w:r>
          </w:p>
        </w:tc>
      </w:tr>
      <w:tr>
        <w:trPr>
          <w:trHeight w:val="216"/>
        </w:trPr>
        <w:tc>
          <w:tcPr>
            <w:tcW w:w="800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141,539</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157,954</w:t>
            </w:r>
          </w:p>
        </w:tc>
      </w:tr>
      <w:tr>
        <w:trPr>
          <w:trHeight w:val="210"/>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77,047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83,981</w:t>
            </w: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Other long-term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4,645</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14,185</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16,067</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93,624</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100,888</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assets</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122,584</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8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c>
          <w:tcPr>
            <w:tcW w:w="5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80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480" w:type="dxa"/>
            <w:vAlign w:val="bottom"/>
            <w:tcBorders>
              <w:top w:val="single" w:sz="8" w:color="auto"/>
            </w:tcBorders>
          </w:tcPr>
          <w:p>
            <w:pPr>
              <w:spacing w:after="0" w:line="20" w:lineRule="exact"/>
              <w:rPr>
                <w:sz w:val="1"/>
                <w:szCs w:val="1"/>
                <w:color w:val="auto"/>
              </w:rPr>
            </w:pPr>
          </w:p>
        </w:tc>
        <w:tc>
          <w:tcPr>
            <w:tcW w:w="2300" w:type="dxa"/>
            <w:vAlign w:val="bottom"/>
            <w:tcBorders>
              <w:top w:val="single" w:sz="8" w:color="auto"/>
            </w:tcBorders>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16,338</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6,898</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8,934</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22,788</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obligations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18,827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accrued expenses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11,003</w:t>
            </w:r>
          </w:p>
        </w:tc>
        <w:tc>
          <w:tcPr>
            <w:tcW w:w="100" w:type="dxa"/>
            <w:vAlign w:val="bottom"/>
          </w:tcPr>
          <w:p>
            <w:pPr>
              <w:spacing w:after="0"/>
              <w:rPr>
                <w:sz w:val="18"/>
                <w:szCs w:val="18"/>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73,403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77,890</w:t>
            </w: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Post employment benefit obligations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10,882</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10,207</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obligations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88,395</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97,357</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tcPr>
          <w:p>
            <w:pPr>
              <w:spacing w:after="0"/>
              <w:rPr>
                <w:sz w:val="18"/>
                <w:szCs w:val="18"/>
                <w:color w:val="auto"/>
              </w:rPr>
            </w:pPr>
          </w:p>
        </w:tc>
      </w:tr>
      <w:tr>
        <w:trPr>
          <w:trHeight w:val="209"/>
        </w:trPr>
        <w:tc>
          <w:tcPr>
            <w:tcW w:w="8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100,440</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109,093</w:t>
            </w:r>
          </w:p>
        </w:tc>
      </w:tr>
      <w:tr>
        <w:trPr>
          <w:trHeight w:val="210"/>
        </w:trPr>
        <w:tc>
          <w:tcPr>
            <w:tcW w:w="480" w:type="dxa"/>
            <w:vAlign w:val="bottom"/>
            <w:tcBorders>
              <w:top w:val="single" w:sz="8" w:color="CCEEFF"/>
            </w:tcBorders>
          </w:tcPr>
          <w:p>
            <w:pPr>
              <w:spacing w:after="0"/>
              <w:rPr>
                <w:sz w:val="18"/>
                <w:szCs w:val="18"/>
                <w:color w:val="auto"/>
              </w:rPr>
            </w:pPr>
          </w:p>
        </w:tc>
        <w:tc>
          <w:tcPr>
            <w:tcW w:w="2300" w:type="dxa"/>
            <w:vAlign w:val="bottom"/>
            <w:tcBorders>
              <w:top w:val="single" w:sz="8" w:color="CCEEFF"/>
            </w:tcBorders>
          </w:tcPr>
          <w:p>
            <w:pPr>
              <w:spacing w:after="0"/>
              <w:rPr>
                <w:sz w:val="18"/>
                <w:szCs w:val="18"/>
                <w:color w:val="auto"/>
              </w:rPr>
            </w:pPr>
          </w:p>
        </w:tc>
        <w:tc>
          <w:tcPr>
            <w:tcW w:w="5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43,681</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43,842</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122,847</w:t>
            </w: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139,354</w:t>
            </w:r>
          </w:p>
        </w:tc>
      </w:tr>
      <w:tr>
        <w:trPr>
          <w:trHeight w:val="216"/>
        </w:trPr>
        <w:tc>
          <w:tcPr>
            <w:tcW w:w="80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0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167,327</w:t>
            </w:r>
          </w:p>
        </w:tc>
        <w:tc>
          <w:tcPr>
            <w:tcW w:w="2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183,441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341,170</w:t>
            </w:r>
          </w:p>
        </w:tc>
        <w:tc>
          <w:tcPr>
            <w:tcW w:w="6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370,424</w:t>
            </w:r>
          </w:p>
        </w:tc>
      </w:tr>
      <w:tr>
        <w:trPr>
          <w:trHeight w:val="20"/>
        </w:trPr>
        <w:tc>
          <w:tcPr>
            <w:tcW w:w="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4"/>
        </w:trPr>
        <w:tc>
          <w:tcPr>
            <w:tcW w:w="4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Table 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8"/>
                <w:szCs w:val="18"/>
                <w:color w:val="auto"/>
              </w:rPr>
              <w:t>Year Ended*</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November 30, 2024</w:t>
            </w:r>
          </w:p>
        </w:tc>
        <w:tc>
          <w:tcPr>
            <w:tcW w:w="80" w:type="dxa"/>
            <w:vAlign w:val="bottom"/>
          </w:tcPr>
          <w:p>
            <w:pPr>
              <w:spacing w:after="0"/>
              <w:rPr>
                <w:sz w:val="18"/>
                <w:szCs w:val="18"/>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8"/>
              </w:rPr>
              <w:t>November 25, 2023</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(9,695)</w:t>
            </w: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by (used in) operating activities:</w:t>
            </w: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9,918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10,141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Non-cash asset impairment charges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5,515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goodwill impairment charges</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5,409</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on sale of property and equipment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(1,013)</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Inventory valuation charges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5,001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4,626</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(2,442)</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831</w:t>
            </w:r>
          </w:p>
        </w:tc>
      </w:tr>
      <w:tr>
        <w:trPr>
          <w:trHeight w:val="216"/>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2,277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2,031</w:t>
            </w:r>
          </w:p>
        </w:tc>
      </w:tr>
      <w:tr>
        <w:trPr>
          <w:trHeight w:val="216"/>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555</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4,102</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3,016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17,869</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current and long-term assets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1,773</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Right of use assets under operating leases</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17,254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18,680</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Customer deposits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(13,175)</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(7,246)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(9,188)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(20,637)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(20,196)</w:t>
            </w:r>
          </w:p>
        </w:tc>
      </w:tr>
      <w:tr>
        <w:trPr>
          <w:trHeight w:val="210"/>
        </w:trPr>
        <w:tc>
          <w:tcPr>
            <w:tcW w:w="8000" w:type="dxa"/>
            <w:vAlign w:val="bottom"/>
            <w:tcBorders>
              <w:top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5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4,050</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18,724</w:t>
            </w:r>
          </w:p>
        </w:tc>
        <w:tc>
          <w:tcPr>
            <w:tcW w:w="100" w:type="dxa"/>
            <w:vAlign w:val="bottom"/>
            <w:tcBorders>
              <w:top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(5,211)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(17,489)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discontinued operations, net</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 certificates of deposit</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(2,585)</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(1,714)</w:t>
            </w:r>
          </w:p>
        </w:tc>
      </w:tr>
      <w:tr>
        <w:trPr>
          <w:trHeight w:val="20"/>
        </w:trPr>
        <w:tc>
          <w:tcPr>
            <w:tcW w:w="80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(8,768)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(17,763)</w:t>
            </w:r>
          </w:p>
        </w:tc>
      </w:tr>
      <w:tr>
        <w:trPr>
          <w:trHeight w:val="210"/>
        </w:trPr>
        <w:tc>
          <w:tcPr>
            <w:tcW w:w="80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dividends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(6,654)</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(5,982)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issuance of common stock</w:t>
            </w:r>
          </w:p>
        </w:tc>
        <w:tc>
          <w:tcPr>
            <w:tcW w:w="5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(1,420)</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(4,176)</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Repayments of finance lease obligations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r>
      <w:tr>
        <w:trPr>
          <w:trHeight w:val="20"/>
        </w:trPr>
        <w:tc>
          <w:tcPr>
            <w:tcW w:w="80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66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(8,117)</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(10,227)</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 and cash equivalents</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r>
      <w:tr>
        <w:trPr>
          <w:trHeight w:val="20"/>
        </w:trPr>
        <w:tc>
          <w:tcPr>
            <w:tcW w:w="800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5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(12,856)</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(9,218)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5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52,407</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61,625</w:t>
            </w:r>
          </w:p>
        </w:tc>
      </w:tr>
      <w:tr>
        <w:trPr>
          <w:trHeight w:val="210"/>
        </w:trPr>
        <w:tc>
          <w:tcPr>
            <w:tcW w:w="8000" w:type="dxa"/>
            <w:vAlign w:val="bottom"/>
            <w:tcBorders>
              <w:top w:val="single" w:sz="8" w:color="CCEEFF"/>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39,551</w:t>
            </w:r>
          </w:p>
        </w:tc>
        <w:tc>
          <w:tcPr>
            <w:tcW w:w="7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52,407</w:t>
            </w:r>
          </w:p>
        </w:tc>
      </w:tr>
      <w:tr>
        <w:trPr>
          <w:trHeight w:val="413"/>
        </w:trPr>
        <w:tc>
          <w:tcPr>
            <w:tcW w:w="80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*53 weeks in fiscal 2024 versus 52 weeks in fiscal 2023.</w:t>
            </w:r>
          </w:p>
        </w:tc>
        <w:tc>
          <w:tcPr>
            <w:tcW w:w="5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574"/>
        </w:trPr>
        <w:tc>
          <w:tcPr>
            <w:tcW w:w="8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Table 4</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BASSETT FURNITURE INDUSTRIES,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Segment Information -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6"/>
          </w:tcPr>
          <w:p>
            <w:pPr>
              <w:jc w:val="right"/>
              <w:ind w:right="1160"/>
              <w:spacing w:after="0"/>
              <w:rPr>
                <w:sz w:val="20"/>
                <w:szCs w:val="20"/>
                <w:color w:val="auto"/>
              </w:rPr>
            </w:pPr>
            <w:r>
              <w:rPr>
                <w:rFonts w:ascii="Times New Roman" w:cs="Times New Roman" w:eastAsia="Times New Roman" w:hAnsi="Times New Roman"/>
                <w:sz w:val="18"/>
                <w:szCs w:val="18"/>
                <w:color w:val="auto"/>
              </w:rPr>
              <w:t>Quarter Ended</w:t>
            </w:r>
          </w:p>
        </w:tc>
        <w:tc>
          <w:tcPr>
            <w:tcW w:w="120" w:type="dxa"/>
            <w:vAlign w:val="bottom"/>
          </w:tcPr>
          <w:p>
            <w:pPr>
              <w:spacing w:after="0"/>
              <w:rPr>
                <w:sz w:val="20"/>
                <w:szCs w:val="20"/>
                <w:color w:val="auto"/>
              </w:rPr>
            </w:pPr>
          </w:p>
        </w:tc>
        <w:tc>
          <w:tcPr>
            <w:tcW w:w="2880" w:type="dxa"/>
            <w:vAlign w:val="bottom"/>
            <w:gridSpan w:val="6"/>
          </w:tcPr>
          <w:p>
            <w:pPr>
              <w:jc w:val="right"/>
              <w:ind w:right="1080"/>
              <w:spacing w:after="0"/>
              <w:rPr>
                <w:sz w:val="20"/>
                <w:szCs w:val="20"/>
                <w:color w:val="auto"/>
              </w:rPr>
            </w:pPr>
            <w:r>
              <w:rPr>
                <w:rFonts w:ascii="Times New Roman" w:cs="Times New Roman" w:eastAsia="Times New Roman" w:hAnsi="Times New Roman"/>
                <w:sz w:val="18"/>
                <w:szCs w:val="18"/>
                <w:color w:val="auto"/>
              </w:rPr>
              <w:t>Year Ended*</w:t>
            </w:r>
          </w:p>
        </w:tc>
      </w:tr>
      <w:tr>
        <w:trPr>
          <w:trHeight w:val="191"/>
        </w:trPr>
        <w:tc>
          <w:tcPr>
            <w:tcW w:w="5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right"/>
              <w:ind w:right="320"/>
              <w:spacing w:after="0" w:line="191" w:lineRule="exact"/>
              <w:rPr>
                <w:sz w:val="20"/>
                <w:szCs w:val="20"/>
                <w:color w:val="auto"/>
              </w:rPr>
            </w:pPr>
            <w:r>
              <w:rPr>
                <w:rFonts w:ascii="Times New Roman" w:cs="Times New Roman" w:eastAsia="Times New Roman" w:hAnsi="Times New Roman"/>
                <w:sz w:val="18"/>
                <w:szCs w:val="18"/>
                <w:color w:val="auto"/>
              </w:rPr>
              <w:t>November 30,</w:t>
            </w: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November 25,</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gridSpan w:val="2"/>
          </w:tcPr>
          <w:p>
            <w:pPr>
              <w:jc w:val="right"/>
              <w:ind w:right="300"/>
              <w:spacing w:after="0" w:line="191" w:lineRule="exact"/>
              <w:rPr>
                <w:sz w:val="20"/>
                <w:szCs w:val="20"/>
                <w:color w:val="auto"/>
              </w:rPr>
            </w:pPr>
            <w:r>
              <w:rPr>
                <w:rFonts w:ascii="Times New Roman" w:cs="Times New Roman" w:eastAsia="Times New Roman" w:hAnsi="Times New Roman"/>
                <w:sz w:val="18"/>
                <w:szCs w:val="18"/>
                <w:color w:val="auto"/>
              </w:rPr>
              <w:t>November 30,</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November 25,</w:t>
            </w:r>
          </w:p>
        </w:tc>
        <w:tc>
          <w:tcPr>
            <w:tcW w:w="100" w:type="dxa"/>
            <w:vAlign w:val="bottom"/>
          </w:tcPr>
          <w:p>
            <w:pPr>
              <w:spacing w:after="0"/>
              <w:rPr>
                <w:sz w:val="16"/>
                <w:szCs w:val="16"/>
                <w:color w:val="auto"/>
              </w:rPr>
            </w:pPr>
          </w:p>
        </w:tc>
      </w:tr>
      <w:tr>
        <w:trPr>
          <w:trHeight w:val="234"/>
        </w:trPr>
        <w:tc>
          <w:tcPr>
            <w:tcW w:w="50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Pr>
          <w:p>
            <w:pPr>
              <w:spacing w:after="0"/>
              <w:rPr>
                <w:sz w:val="20"/>
                <w:szCs w:val="20"/>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Sales Revenue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Wholesale sales of furniture and accessories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52,324</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60,593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207,462</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248,911</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Sales to retail segment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(22,054)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(25,587)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(87,021)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(103,519)</w:t>
            </w:r>
          </w:p>
        </w:tc>
      </w:tr>
      <w:tr>
        <w:trPr>
          <w:trHeight w:val="20"/>
        </w:trPr>
        <w:tc>
          <w:tcPr>
            <w:tcW w:w="5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 sales to external customers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35,006</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120,441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145,392</w:t>
            </w: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 sales of furniture and accessories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57,936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204,563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235,940</w:t>
            </w:r>
          </w:p>
        </w:tc>
      </w:tr>
      <w:tr>
        <w:trPr>
          <w:trHeight w:val="216"/>
        </w:trPr>
        <w:tc>
          <w:tcPr>
            <w:tcW w:w="50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 xml:space="preserve">Corporate &amp; Other - Noa Home </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1,760</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8,804</w:t>
            </w:r>
          </w:p>
        </w:tc>
      </w:tr>
      <w:tr>
        <w:trPr>
          <w:trHeight w:val="20"/>
        </w:trPr>
        <w:tc>
          <w:tcPr>
            <w:tcW w:w="5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sales of furniture and accessories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84,340</w:t>
            </w:r>
          </w:p>
        </w:tc>
        <w:tc>
          <w:tcPr>
            <w:tcW w:w="16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94,702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329,923</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390,136</w:t>
            </w:r>
          </w:p>
        </w:tc>
      </w:tr>
      <w:tr>
        <w:trPr>
          <w:trHeight w:val="197"/>
        </w:trPr>
        <w:tc>
          <w:tcPr>
            <w:tcW w:w="50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5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Wholesale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8,471</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8,360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25,357</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30,699</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Retail</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(536)</w:t>
            </w:r>
          </w:p>
        </w:tc>
      </w:tr>
      <w:tr>
        <w:trPr>
          <w:trHeight w:val="216"/>
        </w:trPr>
        <w:tc>
          <w:tcPr>
            <w:tcW w:w="50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Net expenses - Corporate and other </w:t>
            </w:r>
            <w:r>
              <w:rPr>
                <w:rFonts w:ascii="Times New Roman" w:cs="Times New Roman" w:eastAsia="Times New Roman" w:hAnsi="Times New Roman"/>
                <w:sz w:val="25"/>
                <w:szCs w:val="25"/>
                <w:color w:val="auto"/>
                <w:vertAlign w:val="superscript"/>
              </w:rPr>
              <w:t>(1)</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(7,786)</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(29,926)</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Inter-company elimination</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1,024</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Asset impairment charges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contract abandonment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upon realization of cumulative translation adjustment</w:t>
            </w:r>
          </w:p>
        </w:tc>
        <w:tc>
          <w:tcPr>
            <w:tcW w:w="14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charges</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revaluation of contingent consideration</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 charge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(5,409)</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(5,409)</w:t>
            </w:r>
          </w:p>
        </w:tc>
      </w:tr>
      <w:tr>
        <w:trPr>
          <w:trHeight w:val="20"/>
        </w:trPr>
        <w:tc>
          <w:tcPr>
            <w:tcW w:w="5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income (loss) from operations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(4,513)</w:t>
            </w:r>
          </w:p>
        </w:tc>
        <w:tc>
          <w:tcPr>
            <w:tcW w:w="1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(16,269)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(3,135)</w:t>
            </w:r>
          </w:p>
        </w:tc>
      </w:tr>
      <w:tr>
        <w:trPr>
          <w:trHeight w:val="216"/>
        </w:trPr>
        <w:tc>
          <w:tcPr>
            <w:tcW w:w="5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883</w:t>
            </w:r>
          </w:p>
        </w:tc>
        <w:tc>
          <w:tcPr>
            <w:tcW w:w="1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2,528</w:t>
            </w: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loss, net</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(1,881)</w:t>
            </w:r>
          </w:p>
        </w:tc>
      </w:tr>
      <w:tr>
        <w:trPr>
          <w:trHeight w:val="20"/>
        </w:trPr>
        <w:tc>
          <w:tcPr>
            <w:tcW w:w="50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income (loss) before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(4,130)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(14,370)</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(2,488)</w:t>
            </w:r>
          </w:p>
        </w:tc>
      </w:tr>
      <w:tr>
        <w:trPr>
          <w:trHeight w:val="20"/>
        </w:trPr>
        <w:tc>
          <w:tcPr>
            <w:tcW w:w="5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*53 weeks in fiscal 2024 versus 52 weeks in fiscal 2023.</w:t>
      </w:r>
    </w:p>
    <w:p>
      <w:pPr>
        <w:spacing w:after="0" w:line="225" w:lineRule="exact"/>
        <w:rPr>
          <w:sz w:val="20"/>
          <w:szCs w:val="20"/>
          <w:color w:val="auto"/>
        </w:rPr>
      </w:pPr>
    </w:p>
    <w:p>
      <w:pPr>
        <w:ind w:left="340" w:right="2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includes the operations of Noa Home Inc. along with the shared Corporate costs that are benefiting both the Wholesale and Retail segments.</w:t>
      </w:r>
    </w:p>
    <w:sectPr>
      <w:pgSz w:w="11900" w:h="16838" w:orient="portrait"/>
      <w:cols w:equalWidth="0" w:num="1">
        <w:col w:w="11240"/>
      </w:cols>
      <w:pgMar w:left="320" w:top="5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2025-01-29T15:44:48Z</dcterms:created>
  <dcterms:modified xsi:type="dcterms:W3CDTF">2025-01-29T15:44:48Z</dcterms:modified>
</cp:coreProperties>
</file>