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254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217805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94"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199390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5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22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w:t>
      </w:r>
    </w:p>
    <w:p>
      <w:pPr>
        <w:spacing w:after="0" w:line="31"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SECURITIES EXCHANGE ACT OF 1934</w:t>
      </w:r>
    </w:p>
    <w:p>
      <w:pPr>
        <w:spacing w:after="0" w:line="203"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11,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191135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318"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32"/>
          <w:szCs w:val="32"/>
          <w:b w:val="1"/>
          <w:bCs w:val="1"/>
          <w:color w:val="auto"/>
        </w:rPr>
        <w:t>BASSETT FURNITURE INDUSTRIES, INCORPORATED</w:t>
      </w:r>
    </w:p>
    <w:p>
      <w:pPr>
        <w:spacing w:after="0" w:line="45" w:lineRule="exact"/>
        <w:rPr>
          <w:sz w:val="24"/>
          <w:szCs w:val="24"/>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175895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ectPr>
          <w:pgSz w:w="11900" w:h="16838" w:orient="portrait"/>
          <w:cols w:equalWidth="0" w:num="1">
            <w:col w:w="11080"/>
          </w:cols>
          <w:pgMar w:left="320" w:top="578" w:right="499" w:bottom="1440" w:gutter="0" w:footer="0" w:header="0"/>
        </w:sectPr>
      </w:pPr>
    </w:p>
    <w:p>
      <w:pPr>
        <w:spacing w:after="0" w:line="200" w:lineRule="exact"/>
        <w:rPr>
          <w:sz w:val="24"/>
          <w:szCs w:val="24"/>
          <w:color w:val="auto"/>
        </w:rPr>
      </w:pPr>
    </w:p>
    <w:p>
      <w:pPr>
        <w:spacing w:after="0" w:line="339" w:lineRule="exact"/>
        <w:rPr>
          <w:sz w:val="24"/>
          <w:szCs w:val="24"/>
          <w:color w:val="auto"/>
        </w:rPr>
      </w:pPr>
    </w:p>
    <w:p>
      <w:pPr>
        <w:ind w:left="1380"/>
        <w:spacing w:after="0"/>
        <w:rPr>
          <w:sz w:val="20"/>
          <w:szCs w:val="20"/>
          <w:color w:val="auto"/>
        </w:rPr>
      </w:pPr>
      <w:r>
        <w:rPr>
          <w:rFonts w:ascii="Times New Roman" w:cs="Times New Roman" w:eastAsia="Times New Roman" w:hAnsi="Times New Roman"/>
          <w:sz w:val="18"/>
          <w:szCs w:val="18"/>
          <w:b w:val="1"/>
          <w:bCs w:val="1"/>
          <w:color w:val="auto"/>
        </w:rPr>
        <w:t>VIRGINIA</w:t>
      </w:r>
    </w:p>
    <w:p>
      <w:pPr>
        <w:spacing w:after="0" w:line="31" w:lineRule="exact"/>
        <w:rPr>
          <w:sz w:val="24"/>
          <w:szCs w:val="24"/>
          <w:color w:val="auto"/>
        </w:rPr>
      </w:pPr>
    </w:p>
    <w:p>
      <w:pPr>
        <w:ind w:left="680"/>
        <w:spacing w:after="0"/>
        <w:rPr>
          <w:sz w:val="20"/>
          <w:szCs w:val="20"/>
          <w:color w:val="auto"/>
        </w:rPr>
      </w:pPr>
      <w:r>
        <w:rPr>
          <w:rFonts w:ascii="Times New Roman" w:cs="Times New Roman" w:eastAsia="Times New Roman" w:hAnsi="Times New Roman"/>
          <w:sz w:val="18"/>
          <w:szCs w:val="18"/>
          <w:b w:val="1"/>
          <w:bCs w:val="1"/>
          <w:color w:val="auto"/>
        </w:rPr>
        <w:t>(State or other jurisdiction of</w:t>
      </w:r>
    </w:p>
    <w:p>
      <w:pPr>
        <w:spacing w:after="0" w:line="9" w:lineRule="exact"/>
        <w:rPr>
          <w:sz w:val="24"/>
          <w:szCs w:val="24"/>
          <w:color w:val="auto"/>
        </w:rPr>
      </w:pPr>
    </w:p>
    <w:p>
      <w:pPr>
        <w:ind w:left="64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000-00209</w:t>
      </w:r>
    </w:p>
    <w:p>
      <w:pPr>
        <w:spacing w:after="0" w:line="31" w:lineRule="exact"/>
        <w:rPr>
          <w:sz w:val="24"/>
          <w:szCs w:val="24"/>
          <w:color w:val="auto"/>
        </w:rPr>
      </w:pPr>
    </w:p>
    <w:p>
      <w:pPr>
        <w:jc w:val="center"/>
        <w:ind w:right="1520"/>
        <w:spacing w:after="0"/>
        <w:rPr>
          <w:sz w:val="20"/>
          <w:szCs w:val="20"/>
          <w:color w:val="auto"/>
        </w:rPr>
      </w:pPr>
      <w:r>
        <w:rPr>
          <w:rFonts w:ascii="Times New Roman" w:cs="Times New Roman" w:eastAsia="Times New Roman" w:hAnsi="Times New Roman"/>
          <w:sz w:val="18"/>
          <w:szCs w:val="18"/>
          <w:b w:val="1"/>
          <w:bCs w:val="1"/>
          <w:color w:val="auto"/>
        </w:rPr>
        <w:t>(Commission File No.)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1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54-0135270</w:t>
      </w:r>
    </w:p>
    <w:p>
      <w:pPr>
        <w:spacing w:after="0" w:line="31"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8"/>
          <w:szCs w:val="18"/>
          <w:b w:val="1"/>
          <w:bCs w:val="1"/>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Times New Roman" w:cs="Times New Roman" w:eastAsia="Times New Roman" w:hAnsi="Times New Roman"/>
          <w:sz w:val="17"/>
          <w:szCs w:val="17"/>
          <w:b w:val="1"/>
          <w:bCs w:val="1"/>
          <w:color w:val="auto"/>
        </w:rPr>
        <w:t>Identification No.)</w:t>
      </w:r>
    </w:p>
    <w:p>
      <w:pPr>
        <w:spacing w:after="0" w:line="200" w:lineRule="exact"/>
        <w:rPr>
          <w:sz w:val="24"/>
          <w:szCs w:val="24"/>
          <w:color w:val="auto"/>
        </w:rPr>
      </w:pPr>
    </w:p>
    <w:p>
      <w:pPr>
        <w:sectPr>
          <w:pgSz w:w="11900" w:h="16838" w:orient="portrait"/>
          <w:cols w:equalWidth="0" w:num="3">
            <w:col w:w="4060" w:space="720"/>
            <w:col w:w="3240" w:space="720"/>
            <w:col w:w="2340"/>
          </w:cols>
          <w:pgMar w:left="320" w:top="578" w:right="499" w:bottom="1440" w:gutter="0" w:footer="0" w:header="0"/>
          <w:type w:val="continuous"/>
        </w:sectPr>
      </w:pPr>
    </w:p>
    <w:p>
      <w:pPr>
        <w:spacing w:after="0" w:line="14"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7"/>
          <w:szCs w:val="17"/>
          <w:b w:val="1"/>
          <w:bCs w:val="1"/>
          <w:color w:val="auto"/>
        </w:rPr>
        <w:t>3525 FAIRYSTONE PARK HIGHWAY</w:t>
      </w:r>
    </w:p>
    <w:p>
      <w:pPr>
        <w:spacing w:after="0" w:line="43"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BASSETT, VIRGINIA</w:t>
      </w:r>
    </w:p>
    <w:p>
      <w:pPr>
        <w:spacing w:after="0" w:line="9" w:lineRule="exact"/>
        <w:rPr>
          <w:sz w:val="24"/>
          <w:szCs w:val="24"/>
          <w:color w:val="auto"/>
        </w:rPr>
      </w:pPr>
    </w:p>
    <w:p>
      <w:pPr>
        <w:jc w:val="center"/>
        <w:ind w:right="740"/>
        <w:spacing w:after="0"/>
        <w:rPr>
          <w:sz w:val="20"/>
          <w:szCs w:val="20"/>
          <w:color w:val="auto"/>
        </w:rPr>
      </w:pPr>
      <w:r>
        <w:rPr>
          <w:rFonts w:ascii="Times New Roman" w:cs="Times New Roman" w:eastAsia="Times New Roman" w:hAnsi="Times New Roman"/>
          <w:sz w:val="18"/>
          <w:szCs w:val="18"/>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10"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24055</w:t>
      </w:r>
    </w:p>
    <w:p>
      <w:pPr>
        <w:spacing w:after="0" w:line="31" w:lineRule="exact"/>
        <w:rPr>
          <w:sz w:val="24"/>
          <w:szCs w:val="24"/>
          <w:color w:val="auto"/>
        </w:rPr>
      </w:pPr>
    </w:p>
    <w:p>
      <w:pPr>
        <w:jc w:val="center"/>
        <w:ind w:right="1220"/>
        <w:spacing w:after="0"/>
        <w:rPr>
          <w:sz w:val="20"/>
          <w:szCs w:val="20"/>
          <w:color w:val="auto"/>
        </w:rPr>
      </w:pPr>
      <w:r>
        <w:rPr>
          <w:rFonts w:ascii="Times New Roman" w:cs="Times New Roman" w:eastAsia="Times New Roman" w:hAnsi="Times New Roman"/>
          <w:sz w:val="18"/>
          <w:szCs w:val="18"/>
          <w:b w:val="1"/>
          <w:bCs w:val="1"/>
          <w:color w:val="auto"/>
        </w:rPr>
        <w:t>(Zip Code)</w:t>
      </w:r>
    </w:p>
    <w:p>
      <w:pPr>
        <w:spacing w:after="0" w:line="200" w:lineRule="exact"/>
        <w:rPr>
          <w:sz w:val="24"/>
          <w:szCs w:val="24"/>
          <w:color w:val="auto"/>
        </w:rPr>
      </w:pPr>
    </w:p>
    <w:p>
      <w:pPr>
        <w:sectPr>
          <w:pgSz w:w="11900" w:h="16838" w:orient="portrait"/>
          <w:cols w:equalWidth="0" w:num="2">
            <w:col w:w="8300" w:space="720"/>
            <w:col w:w="2060"/>
          </w:cols>
          <w:pgMar w:left="320" w:top="578" w:right="499" w:bottom="1440" w:gutter="0" w:footer="0" w:header="0"/>
          <w:type w:val="continuous"/>
        </w:sectPr>
      </w:pPr>
    </w:p>
    <w:p>
      <w:pPr>
        <w:spacing w:after="0" w:line="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Registrant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 telephone number, including area code (276) 629-6000</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(Former name or former address, if changed since last report)</w:t>
      </w:r>
    </w:p>
    <w:p>
      <w:pPr>
        <w:spacing w:after="0" w:line="22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 below):</w:t>
      </w:r>
    </w:p>
    <w:p>
      <w:pPr>
        <w:spacing w:after="0" w:line="162"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820" w:firstLine="8"/>
        <w:spacing w:after="0" w:line="500" w:lineRule="auto"/>
        <w:tabs>
          <w:tab w:leader="none" w:pos="216"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2" w:lineRule="exact"/>
        <w:rPr>
          <w:sz w:val="24"/>
          <w:szCs w:val="24"/>
          <w:color w:val="auto"/>
        </w:rPr>
      </w:pPr>
    </w:p>
    <w:tbl>
      <w:tblPr>
        <w:tblLayout w:type="fixed"/>
        <w:tblInd w:w="300" w:type="dxa"/>
        <w:tblCellMar>
          <w:top w:w="0" w:type="dxa"/>
          <w:left w:w="0" w:type="dxa"/>
          <w:bottom w:w="0" w:type="dxa"/>
          <w:right w:w="0" w:type="dxa"/>
        </w:tblCellMar>
      </w:tblPr>
      <w:tr>
        <w:trPr>
          <w:trHeight w:val="234"/>
        </w:trPr>
        <w:tc>
          <w:tcPr>
            <w:tcW w:w="38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8"/>
              </w:rPr>
              <w:t>Title of each class</w:t>
            </w:r>
          </w:p>
        </w:tc>
        <w:tc>
          <w:tcPr>
            <w:tcW w:w="320" w:type="dxa"/>
            <w:vAlign w:val="bottom"/>
          </w:tcPr>
          <w:p>
            <w:pPr>
              <w:spacing w:after="0"/>
              <w:rPr>
                <w:sz w:val="20"/>
                <w:szCs w:val="20"/>
                <w:color w:val="auto"/>
              </w:rPr>
            </w:pPr>
          </w:p>
        </w:tc>
        <w:tc>
          <w:tcPr>
            <w:tcW w:w="2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Trading Symbol</w:t>
            </w:r>
          </w:p>
        </w:tc>
        <w:tc>
          <w:tcPr>
            <w:tcW w:w="320" w:type="dxa"/>
            <w:vAlign w:val="bottom"/>
          </w:tcPr>
          <w:p>
            <w:pPr>
              <w:spacing w:after="0"/>
              <w:rPr>
                <w:sz w:val="20"/>
                <w:szCs w:val="20"/>
                <w:color w:val="auto"/>
              </w:rPr>
            </w:pPr>
          </w:p>
        </w:tc>
        <w:tc>
          <w:tcPr>
            <w:tcW w:w="37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Name of exchange on which registered</w:t>
            </w:r>
          </w:p>
        </w:tc>
      </w:tr>
      <w:tr>
        <w:trPr>
          <w:trHeight w:val="228"/>
        </w:trPr>
        <w:tc>
          <w:tcPr>
            <w:tcW w:w="38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Common Stock ($5.00 par value)</w:t>
            </w:r>
          </w:p>
        </w:tc>
        <w:tc>
          <w:tcPr>
            <w:tcW w:w="320" w:type="dxa"/>
            <w:vAlign w:val="bottom"/>
          </w:tcPr>
          <w:p>
            <w:pPr>
              <w:spacing w:after="0"/>
              <w:rPr>
                <w:sz w:val="19"/>
                <w:szCs w:val="19"/>
                <w:color w:val="auto"/>
              </w:rPr>
            </w:pPr>
          </w:p>
        </w:tc>
        <w:tc>
          <w:tcPr>
            <w:tcW w:w="2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BSET</w:t>
            </w:r>
          </w:p>
        </w:tc>
        <w:tc>
          <w:tcPr>
            <w:tcW w:w="320" w:type="dxa"/>
            <w:vAlign w:val="bottom"/>
          </w:tcPr>
          <w:p>
            <w:pPr>
              <w:spacing w:after="0"/>
              <w:rPr>
                <w:sz w:val="19"/>
                <w:szCs w:val="19"/>
                <w:color w:val="auto"/>
              </w:rPr>
            </w:pPr>
          </w:p>
        </w:tc>
        <w:tc>
          <w:tcPr>
            <w:tcW w:w="37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NASDAQ</w:t>
            </w:r>
          </w:p>
        </w:tc>
      </w:tr>
    </w:tbl>
    <w:p>
      <w:pPr>
        <w:spacing w:after="0" w:line="179" w:lineRule="exact"/>
        <w:rPr>
          <w:sz w:val="24"/>
          <w:szCs w:val="24"/>
          <w:color w:val="auto"/>
        </w:rPr>
      </w:pPr>
    </w:p>
    <w:p>
      <w:pPr>
        <w:jc w:val="both"/>
        <w:ind w:right="1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or Rule 12b-2 of the Securities Exchange Act of 1934.</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196850</wp:posOffset>
            </wp:positionV>
            <wp:extent cx="713232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540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617220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578" w:right="49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t>Item 5.07.Submission of Matters to a Vote of Security Holders</w:t>
      </w:r>
    </w:p>
    <w:p>
      <w:pPr>
        <w:spacing w:after="0" w:line="225" w:lineRule="exact"/>
        <w:rPr>
          <w:sz w:val="20"/>
          <w:szCs w:val="20"/>
          <w:color w:val="auto"/>
        </w:rPr>
      </w:pPr>
    </w:p>
    <w:p>
      <w:pPr>
        <w:ind w:right="440"/>
        <w:spacing w:after="0" w:line="312" w:lineRule="auto"/>
        <w:rPr>
          <w:sz w:val="20"/>
          <w:szCs w:val="20"/>
          <w:color w:val="auto"/>
        </w:rPr>
      </w:pPr>
      <w:r>
        <w:rPr>
          <w:rFonts w:ascii="Times New Roman" w:cs="Times New Roman" w:eastAsia="Times New Roman" w:hAnsi="Times New Roman"/>
          <w:sz w:val="17"/>
          <w:szCs w:val="17"/>
          <w:color w:val="auto"/>
        </w:rPr>
        <w:t>The Company’s 2026 annual meeting of shareholders was held on March 11, 2026. As of the record date for the meeting, the Company had 8,686,117 shares of common stock outstanding, each of which is entitled to one vote. According to the final voting results, all director nominees were elected.</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voting tabulation was as follows:</w:t>
            </w: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5240" w:type="dxa"/>
            <w:vAlign w:val="bottom"/>
            <w:gridSpan w:val="2"/>
          </w:tcPr>
          <w:p>
            <w:pPr>
              <w:ind w:left="2240"/>
              <w:spacing w:after="0"/>
              <w:rPr>
                <w:sz w:val="20"/>
                <w:szCs w:val="20"/>
                <w:color w:val="auto"/>
              </w:rPr>
            </w:pPr>
            <w:r>
              <w:rPr>
                <w:rFonts w:ascii="Times New Roman" w:cs="Times New Roman" w:eastAsia="Times New Roman" w:hAnsi="Times New Roman"/>
                <w:sz w:val="18"/>
                <w:szCs w:val="18"/>
                <w:b w:val="1"/>
                <w:bCs w:val="1"/>
                <w:color w:val="auto"/>
              </w:rPr>
              <w:t>Nominee</w:t>
            </w:r>
          </w:p>
        </w:tc>
        <w:tc>
          <w:tcPr>
            <w:tcW w:w="140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42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Votes Withheld</w:t>
            </w:r>
          </w:p>
        </w:tc>
        <w:tc>
          <w:tcPr>
            <w:tcW w:w="1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rPr>
              <w:t>Votes Abstain</w:t>
            </w:r>
          </w:p>
        </w:tc>
        <w:tc>
          <w:tcPr>
            <w:tcW w:w="126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4"/>
              </w:rPr>
              <w:t>Vote</w:t>
            </w:r>
          </w:p>
        </w:tc>
      </w:tr>
      <w:tr>
        <w:trPr>
          <w:trHeight w:val="209"/>
        </w:trPr>
        <w:tc>
          <w:tcPr>
            <w:tcW w:w="5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Emma S. Battle</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5,323,136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52,286</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1,779,361</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John R. Belk</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5,325,038</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50,384</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1,779,361</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Kristina Cashman</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5,211,026</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164,396</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1,779,361</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James E. Goergen</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5,329,744</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45,678</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1,779,361</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Virginia W. Hamlet</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5,278,221</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97,201</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1,779,361</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J. Walter McDowell</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5,320,999</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54,423</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1,779,361</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Robert H. Spilman, Jr.</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5,310,310</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65,112</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1,779,361</w:t>
            </w:r>
          </w:p>
        </w:tc>
      </w:tr>
      <w:tr>
        <w:trPr>
          <w:trHeight w:val="216"/>
        </w:trPr>
        <w:tc>
          <w:tcPr>
            <w:tcW w:w="52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William C. Wampler, Jr.</w:t>
            </w:r>
          </w:p>
        </w:tc>
        <w:tc>
          <w:tcPr>
            <w:tcW w:w="140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5,039,435</w:t>
            </w:r>
          </w:p>
        </w:tc>
        <w:tc>
          <w:tcPr>
            <w:tcW w:w="142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335,987</w:t>
            </w:r>
          </w:p>
        </w:tc>
        <w:tc>
          <w:tcPr>
            <w:tcW w:w="13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1,779,361</w:t>
            </w:r>
          </w:p>
        </w:tc>
      </w:tr>
      <w:tr>
        <w:trPr>
          <w:trHeight w:val="216"/>
        </w:trPr>
        <w:tc>
          <w:tcPr>
            <w:tcW w:w="5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William C. Warden, Jr.</w:t>
            </w:r>
          </w:p>
        </w:tc>
        <w:tc>
          <w:tcPr>
            <w:tcW w:w="140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5,142,859</w:t>
            </w:r>
          </w:p>
        </w:tc>
        <w:tc>
          <w:tcPr>
            <w:tcW w:w="1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232,563</w:t>
            </w:r>
          </w:p>
        </w:tc>
        <w:tc>
          <w:tcPr>
            <w:tcW w:w="1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1,779,361</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At the annual meeting, the shareholders also voted on three proposals:</w:t>
      </w:r>
    </w:p>
    <w:p>
      <w:pPr>
        <w:spacing w:after="0" w:line="225" w:lineRule="exact"/>
        <w:rPr>
          <w:sz w:val="20"/>
          <w:szCs w:val="20"/>
          <w:color w:val="auto"/>
        </w:rPr>
      </w:pPr>
    </w:p>
    <w:p>
      <w:pPr>
        <w:ind w:left="660" w:right="240" w:hanging="328"/>
        <w:spacing w:after="0" w:line="282" w:lineRule="auto"/>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Ratification of Grant Thornton LLP as the Company’s Independent Registered Public Accounting Firm for the fiscal year ending November 28, 2026.</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final tabulation was as follows: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Broker Non-</w:t>
            </w:r>
          </w:p>
        </w:tc>
      </w:tr>
      <w:tr>
        <w:trPr>
          <w:trHeight w:val="238"/>
        </w:trPr>
        <w:tc>
          <w:tcPr>
            <w:tcW w:w="598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122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Vote</w:t>
            </w:r>
          </w:p>
        </w:tc>
      </w:tr>
      <w:tr>
        <w:trPr>
          <w:trHeight w:val="210"/>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Ratification of Grant Thornton LLP</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7,029,411</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101,931</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23,441</w:t>
            </w:r>
          </w:p>
        </w:tc>
        <w:tc>
          <w:tcPr>
            <w:tcW w:w="12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ind w:right="2100" w:firstLine="332"/>
        <w:spacing w:after="0" w:line="514" w:lineRule="auto"/>
        <w:tabs>
          <w:tab w:leader="none" w:pos="648"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consider and act on an advisory vote regarding the approval of the compensation paid to certain executive officers. The final tabulation was as follows:</w:t>
      </w:r>
    </w:p>
    <w:tbl>
      <w:tblPr>
        <w:tblLayout w:type="fixed"/>
        <w:tblInd w:w="0" w:type="dxa"/>
        <w:tblCellMar>
          <w:top w:w="0" w:type="dxa"/>
          <w:left w:w="0" w:type="dxa"/>
          <w:bottom w:w="0" w:type="dxa"/>
          <w:right w:w="0" w:type="dxa"/>
        </w:tblCellMar>
      </w:tblPr>
      <w:tr>
        <w:trPr>
          <w:trHeight w:val="216"/>
        </w:trPr>
        <w:tc>
          <w:tcPr>
            <w:tcW w:w="5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598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Vote</w:t>
            </w:r>
          </w:p>
        </w:tc>
      </w:tr>
      <w:tr>
        <w:trPr>
          <w:trHeight w:val="209"/>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Approval of Officer Compensation</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5,166,388</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156,209</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52,825</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1,779,361</w:t>
            </w:r>
          </w:p>
        </w:tc>
      </w:tr>
    </w:tbl>
    <w:p>
      <w:pPr>
        <w:spacing w:after="0" w:line="198" w:lineRule="exact"/>
        <w:rPr>
          <w:sz w:val="20"/>
          <w:szCs w:val="20"/>
          <w:color w:val="auto"/>
        </w:rPr>
      </w:pPr>
    </w:p>
    <w:p>
      <w:pPr>
        <w:ind w:left="660" w:right="420" w:hanging="328"/>
        <w:spacing w:after="0" w:line="282" w:lineRule="auto"/>
        <w:tabs>
          <w:tab w:leader="none" w:pos="6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approve an amendment to the Company’s 2017 Employee Stock Purchase Plan, to increase the number of shares available for issuance by 200,000.</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9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final tabulation was as follows:</w:t>
            </w:r>
          </w:p>
        </w:tc>
        <w:tc>
          <w:tcPr>
            <w:tcW w:w="1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5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gridSpan w:val="2"/>
          </w:tcPr>
          <w:p>
            <w:pPr>
              <w:ind w:left="80"/>
              <w:spacing w:after="0"/>
              <w:rPr>
                <w:sz w:val="20"/>
                <w:szCs w:val="20"/>
                <w:color w:val="auto"/>
              </w:rPr>
            </w:pPr>
            <w:r>
              <w:rPr>
                <w:rFonts w:ascii="Times New Roman" w:cs="Times New Roman" w:eastAsia="Times New Roman" w:hAnsi="Times New Roman"/>
                <w:sz w:val="18"/>
                <w:szCs w:val="18"/>
                <w:b w:val="1"/>
                <w:bCs w:val="1"/>
                <w:color w:val="auto"/>
              </w:rPr>
              <w:t>Broker Non-</w:t>
            </w:r>
          </w:p>
        </w:tc>
      </w:tr>
      <w:tr>
        <w:trPr>
          <w:trHeight w:val="238"/>
        </w:trPr>
        <w:tc>
          <w:tcPr>
            <w:tcW w:w="5980" w:type="dxa"/>
            <w:vAlign w:val="bottom"/>
            <w:gridSpan w:val="2"/>
          </w:tcPr>
          <w:p>
            <w:pPr>
              <w:ind w:left="2600"/>
              <w:spacing w:after="0"/>
              <w:rPr>
                <w:sz w:val="20"/>
                <w:szCs w:val="20"/>
                <w:color w:val="auto"/>
              </w:rPr>
            </w:pPr>
            <w:r>
              <w:rPr>
                <w:rFonts w:ascii="Times New Roman" w:cs="Times New Roman" w:eastAsia="Times New Roman" w:hAnsi="Times New Roman"/>
                <w:sz w:val="18"/>
                <w:szCs w:val="18"/>
                <w:b w:val="1"/>
                <w:bCs w:val="1"/>
                <w:color w:val="auto"/>
              </w:rPr>
              <w:t>Proposal</w:t>
            </w:r>
          </w:p>
        </w:tc>
        <w:tc>
          <w:tcPr>
            <w:tcW w:w="1380" w:type="dxa"/>
            <w:vAlign w:val="bottom"/>
            <w:gridSpan w:val="2"/>
          </w:tcPr>
          <w:p>
            <w:pPr>
              <w:jc w:val="right"/>
              <w:ind w:right="440"/>
              <w:spacing w:after="0"/>
              <w:rPr>
                <w:sz w:val="20"/>
                <w:szCs w:val="20"/>
                <w:color w:val="auto"/>
              </w:rPr>
            </w:pPr>
            <w:r>
              <w:rPr>
                <w:rFonts w:ascii="Times New Roman" w:cs="Times New Roman" w:eastAsia="Times New Roman" w:hAnsi="Times New Roman"/>
                <w:sz w:val="18"/>
                <w:szCs w:val="18"/>
                <w:b w:val="1"/>
                <w:bCs w:val="1"/>
                <w:color w:val="auto"/>
              </w:rPr>
              <w:t>Votes For</w:t>
            </w:r>
          </w:p>
        </w:tc>
        <w:tc>
          <w:tcPr>
            <w:tcW w:w="13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b w:val="1"/>
                <w:bCs w:val="1"/>
                <w:color w:val="auto"/>
                <w:w w:val="99"/>
              </w:rPr>
              <w:t>Votes Against</w:t>
            </w:r>
          </w:p>
        </w:tc>
        <w:tc>
          <w:tcPr>
            <w:tcW w:w="13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b w:val="1"/>
                <w:bCs w:val="1"/>
                <w:color w:val="auto"/>
                <w:w w:val="98"/>
              </w:rPr>
              <w:t>Votes Abstain</w:t>
            </w:r>
          </w:p>
        </w:tc>
        <w:tc>
          <w:tcPr>
            <w:tcW w:w="1220" w:type="dxa"/>
            <w:vAlign w:val="bottom"/>
            <w:gridSpan w:val="2"/>
          </w:tcPr>
          <w:p>
            <w:pPr>
              <w:ind w:left="380"/>
              <w:spacing w:after="0"/>
              <w:rPr>
                <w:sz w:val="20"/>
                <w:szCs w:val="20"/>
                <w:color w:val="auto"/>
              </w:rPr>
            </w:pPr>
            <w:r>
              <w:rPr>
                <w:rFonts w:ascii="Times New Roman" w:cs="Times New Roman" w:eastAsia="Times New Roman" w:hAnsi="Times New Roman"/>
                <w:sz w:val="18"/>
                <w:szCs w:val="18"/>
                <w:b w:val="1"/>
                <w:bCs w:val="1"/>
                <w:color w:val="auto"/>
              </w:rPr>
              <w:t>Vote</w:t>
            </w:r>
          </w:p>
        </w:tc>
      </w:tr>
      <w:tr>
        <w:trPr>
          <w:trHeight w:val="209"/>
        </w:trPr>
        <w:tc>
          <w:tcPr>
            <w:tcW w:w="58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98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ESPP shares 200,000</w:t>
            </w:r>
          </w:p>
        </w:tc>
        <w:tc>
          <w:tcPr>
            <w:tcW w:w="13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5,271,115</w:t>
            </w:r>
          </w:p>
        </w:tc>
        <w:tc>
          <w:tcPr>
            <w:tcW w:w="134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70,617</w:t>
            </w:r>
          </w:p>
        </w:tc>
        <w:tc>
          <w:tcPr>
            <w:tcW w:w="13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33,690</w:t>
            </w:r>
          </w:p>
        </w:tc>
        <w:tc>
          <w:tcPr>
            <w:tcW w:w="122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1,779,361</w:t>
            </w:r>
          </w:p>
        </w:tc>
      </w:tr>
      <w:tr>
        <w:trPr>
          <w:trHeight w:val="574"/>
        </w:trPr>
        <w:tc>
          <w:tcPr>
            <w:tcW w:w="58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8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07" w:lineRule="exact"/>
        <w:rPr>
          <w:sz w:val="20"/>
          <w:szCs w:val="20"/>
          <w:color w:val="auto"/>
        </w:rPr>
      </w:pPr>
    </w:p>
    <w:p>
      <w:pPr>
        <w:spacing w:after="0"/>
        <w:tabs>
          <w:tab w:leader="none" w:pos="700" w:val="left"/>
        </w:tabs>
        <w:rPr>
          <w:sz w:val="20"/>
          <w:szCs w:val="20"/>
          <w:color w:val="auto"/>
        </w:rPr>
      </w:pPr>
      <w:r>
        <w:rPr>
          <w:rFonts w:ascii="Times New Roman" w:cs="Times New Roman" w:eastAsia="Times New Roman" w:hAnsi="Times New Roman"/>
          <w:sz w:val="18"/>
          <w:szCs w:val="18"/>
          <w:color w:val="auto"/>
        </w:rPr>
        <w:t>104</w:t>
      </w:r>
      <w:r>
        <w:rPr>
          <w:sz w:val="20"/>
          <w:szCs w:val="20"/>
          <w:color w:val="auto"/>
        </w:rPr>
        <w:tab/>
      </w:r>
      <w:r>
        <w:rPr>
          <w:rFonts w:ascii="Times New Roman" w:cs="Times New Roman" w:eastAsia="Times New Roman" w:hAnsi="Times New Roman"/>
          <w:sz w:val="18"/>
          <w:szCs w:val="18"/>
          <w:color w:val="auto"/>
        </w:rPr>
        <w:t>Cover Page Interactive Data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377190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76" w:right="1440" w:bottom="1440" w:gutter="0" w:footer="0" w:header="0"/>
        </w:sectPr>
      </w:pPr>
    </w:p>
    <w:bookmarkStart w:id="3" w:name="page4"/>
    <w:bookmarkEnd w:id="3"/>
    <w:p>
      <w:pPr>
        <w:jc w:val="center"/>
        <w:ind w:right="-319"/>
        <w:spacing w:after="0"/>
        <w:rPr>
          <w:sz w:val="20"/>
          <w:szCs w:val="20"/>
          <w:color w:val="auto"/>
        </w:rPr>
      </w:pPr>
      <w:r>
        <w:rPr>
          <w:rFonts w:ascii="Times New Roman" w:cs="Times New Roman" w:eastAsia="Times New Roman" w:hAnsi="Times New Roman"/>
          <w:sz w:val="18"/>
          <w:szCs w:val="18"/>
          <w:color w:val="auto"/>
        </w:rPr>
        <w:t>Signatures</w:t>
      </w:r>
    </w:p>
    <w:p>
      <w:pPr>
        <w:spacing w:after="0" w:line="225"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BASSETT FURNITURE INDUSTRIES, INCORPORATED</w:t>
      </w:r>
    </w:p>
    <w:p>
      <w:pPr>
        <w:spacing w:after="0" w:line="27" w:lineRule="exact"/>
        <w:rPr>
          <w:sz w:val="20"/>
          <w:szCs w:val="20"/>
          <w:color w:val="auto"/>
        </w:rPr>
      </w:pPr>
    </w:p>
    <w:p>
      <w:pPr>
        <w:ind w:left="5640" w:right="3460" w:hanging="5966"/>
        <w:spacing w:after="0" w:line="258" w:lineRule="auto"/>
        <w:tabs>
          <w:tab w:leader="none" w:pos="5620" w:val="left"/>
        </w:tabs>
        <w:rPr>
          <w:sz w:val="20"/>
          <w:szCs w:val="20"/>
          <w:color w:val="auto"/>
        </w:rPr>
      </w:pPr>
      <w:r>
        <w:rPr>
          <w:rFonts w:ascii="Times New Roman" w:cs="Times New Roman" w:eastAsia="Times New Roman" w:hAnsi="Times New Roman"/>
          <w:sz w:val="18"/>
          <w:szCs w:val="18"/>
          <w:color w:val="auto"/>
        </w:rPr>
        <w:t>Date: March 12, 2026</w:t>
      </w:r>
      <w:r>
        <w:rPr>
          <w:sz w:val="20"/>
          <w:szCs w:val="20"/>
          <w:color w:val="auto"/>
        </w:rPr>
        <w:tab/>
      </w:r>
      <w:r>
        <w:rPr>
          <w:rFonts w:ascii="Times New Roman" w:cs="Times New Roman" w:eastAsia="Times New Roman" w:hAnsi="Times New Roman"/>
          <w:sz w:val="18"/>
          <w:szCs w:val="18"/>
          <w:color w:val="auto"/>
        </w:rPr>
        <w:t>By: /s/ J. Michael Daniel J. Michael Daniel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3794125</wp:posOffset>
            </wp:positionH>
            <wp:positionV relativeFrom="paragraph">
              <wp:posOffset>-144780</wp:posOffset>
            </wp:positionV>
            <wp:extent cx="249428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ind w:left="5980"/>
        <w:spacing w:after="0"/>
        <w:tabs>
          <w:tab w:leader="none" w:pos="6560" w:val="left"/>
        </w:tabs>
        <w:rPr>
          <w:sz w:val="20"/>
          <w:szCs w:val="20"/>
          <w:color w:val="auto"/>
        </w:rPr>
      </w:pPr>
      <w:r>
        <w:rPr>
          <w:rFonts w:ascii="Times New Roman" w:cs="Times New Roman" w:eastAsia="Times New Roman" w:hAnsi="Times New Roman"/>
          <w:sz w:val="18"/>
          <w:szCs w:val="18"/>
          <w:color w:val="auto"/>
        </w:rPr>
        <w:t>Title:</w:t>
        <w:tab/>
        <w:t>Senior Vice President - Chief Financial</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Officer</w:t>
      </w:r>
    </w:p>
    <w:sectPr>
      <w:pgSz w:w="11900" w:h="16838" w:orient="portrait"/>
      <w:cols w:equalWidth="0" w:num="1">
        <w:col w:w="10920"/>
      </w:cols>
      <w:pgMar w:left="320" w:top="58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2026-03-12T14:25:30Z</dcterms:created>
  <dcterms:modified xsi:type="dcterms:W3CDTF">2026-03-12T14:25:30Z</dcterms:modified>
</cp:coreProperties>
</file>