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70203104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40" w:right="9160" w:hanging="7"/>
        <w:spacing w:after="0" w:line="268" w:lineRule="exact"/>
        <w:tabs>
          <w:tab w:leader="none" w:pos="10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24"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70203104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20" w:hanging="575"/>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w:t>
      </w:r>
    </w:p>
    <w:p>
      <w:pPr>
        <w:spacing w:after="0" w:line="206" w:lineRule="exact"/>
        <w:rPr>
          <w:rFonts w:ascii="Times New Roman" w:cs="Times New Roman" w:eastAsia="Times New Roman" w:hAnsi="Times New Roman"/>
          <w:sz w:val="18"/>
          <w:szCs w:val="18"/>
          <w:color w:val="auto"/>
        </w:rPr>
      </w:pPr>
    </w:p>
    <w:p>
      <w:pPr>
        <w:ind w:left="920" w:right="8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Aegis Financial Corporation 54-1712996</w:t>
      </w:r>
    </w:p>
    <w:p>
      <w:pPr>
        <w:spacing w:after="0" w:line="161"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20" w:right="7700" w:hanging="575"/>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11430</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-433705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-708025</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-845185</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-1256665</wp:posOffset>
            </wp:positionV>
            <wp:extent cx="6557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800" w:type="dxa"/>
            <w:vAlign w:val="bottom"/>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476,643</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80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800" w:type="dxa"/>
            <w:vAlign w:val="bottom"/>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80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right="7440" w:hanging="562"/>
        <w:spacing w:after="0" w:line="258" w:lineRule="auto"/>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476,643</w:t>
      </w:r>
    </w:p>
    <w:p>
      <w:pPr>
        <w:spacing w:after="0" w:line="196" w:lineRule="exact"/>
        <w:rPr>
          <w:rFonts w:ascii="Times New Roman" w:cs="Times New Roman" w:eastAsia="Times New Roman" w:hAnsi="Times New Roman"/>
          <w:sz w:val="18"/>
          <w:szCs w:val="18"/>
          <w:color w:val="auto"/>
        </w:rPr>
      </w:pPr>
    </w:p>
    <w:p>
      <w:pPr>
        <w:ind w:left="920" w:right="5520" w:hanging="575"/>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476,643</w:t>
      </w:r>
    </w:p>
    <w:p>
      <w:pPr>
        <w:spacing w:after="0" w:line="201" w:lineRule="exact"/>
        <w:rPr>
          <w:rFonts w:ascii="Times New Roman" w:cs="Times New Roman" w:eastAsia="Times New Roman" w:hAnsi="Times New Roman"/>
          <w:sz w:val="18"/>
          <w:szCs w:val="18"/>
          <w:color w:val="auto"/>
        </w:rPr>
      </w:pPr>
    </w:p>
    <w:p>
      <w:pPr>
        <w:ind w:left="920" w:hanging="575"/>
        <w:spacing w:after="0" w:line="207" w:lineRule="exact"/>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920" w:right="6540" w:hanging="575"/>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-1179830</wp:posOffset>
            </wp:positionV>
            <wp:extent cx="5915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28575</wp:posOffset>
            </wp:positionV>
            <wp:extent cx="65576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-433705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-708025</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23" w:lineRule="exact"/>
        <w:rPr>
          <w:sz w:val="20"/>
          <w:szCs w:val="20"/>
          <w:color w:val="auto"/>
        </w:rPr>
      </w:pPr>
    </w:p>
    <w:p>
      <w:pPr>
        <w:ind w:left="340"/>
        <w:spacing w:after="0"/>
        <w:tabs>
          <w:tab w:leader="none" w:pos="900" w:val="left"/>
          <w:tab w:leader="none" w:pos="44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r>
        <w:rPr>
          <w:sz w:val="20"/>
          <w:szCs w:val="20"/>
          <w:color w:val="auto"/>
        </w:rPr>
        <w:tab/>
      </w: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68580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70203104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20" w:hanging="57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20" w:right="6140"/>
        <w:spacing w:after="0" w:line="5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Scott L. Barbee</w:t>
      </w:r>
    </w:p>
    <w:p>
      <w:pPr>
        <w:spacing w:after="0" w:line="45"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20" w:right="7700" w:hanging="575"/>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11430</wp:posOffset>
            </wp:positionV>
            <wp:extent cx="6557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-433705</wp:posOffset>
            </wp:positionV>
            <wp:extent cx="65576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-708025</wp:posOffset>
            </wp:positionV>
            <wp:extent cx="6197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-845185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-1256665</wp:posOffset>
            </wp:positionV>
            <wp:extent cx="65576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800" w:type="dxa"/>
            <w:vAlign w:val="bottom"/>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476,643</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80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800" w:type="dxa"/>
            <w:vAlign w:val="bottom"/>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80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right="7440" w:hanging="562"/>
        <w:spacing w:after="0" w:line="258" w:lineRule="auto"/>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476,643</w:t>
      </w:r>
    </w:p>
    <w:p>
      <w:pPr>
        <w:spacing w:after="0" w:line="196" w:lineRule="exact"/>
        <w:rPr>
          <w:rFonts w:ascii="Times New Roman" w:cs="Times New Roman" w:eastAsia="Times New Roman" w:hAnsi="Times New Roman"/>
          <w:sz w:val="18"/>
          <w:szCs w:val="18"/>
          <w:color w:val="auto"/>
        </w:rPr>
      </w:pPr>
    </w:p>
    <w:p>
      <w:pPr>
        <w:ind w:left="920" w:right="5520" w:hanging="575"/>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476,643</w:t>
      </w:r>
    </w:p>
    <w:p>
      <w:pPr>
        <w:spacing w:after="0" w:line="201" w:lineRule="exact"/>
        <w:rPr>
          <w:rFonts w:ascii="Times New Roman" w:cs="Times New Roman" w:eastAsia="Times New Roman" w:hAnsi="Times New Roman"/>
          <w:sz w:val="18"/>
          <w:szCs w:val="18"/>
          <w:color w:val="auto"/>
        </w:rPr>
      </w:pPr>
    </w:p>
    <w:p>
      <w:pPr>
        <w:ind w:left="920" w:hanging="575"/>
        <w:spacing w:after="0" w:line="207" w:lineRule="exact"/>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920" w:right="6540" w:hanging="575"/>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-1179830</wp:posOffset>
            </wp:positionV>
            <wp:extent cx="5915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28575</wp:posOffset>
            </wp:positionV>
            <wp:extent cx="6557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-433705</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-708025</wp:posOffset>
            </wp:positionV>
            <wp:extent cx="65576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23" w:lineRule="exact"/>
        <w:rPr>
          <w:sz w:val="20"/>
          <w:szCs w:val="20"/>
          <w:color w:val="auto"/>
        </w:rPr>
      </w:pPr>
    </w:p>
    <w:p>
      <w:pPr>
        <w:ind w:left="340"/>
        <w:spacing w:after="0"/>
        <w:tabs>
          <w:tab w:leader="none" w:pos="900" w:val="left"/>
          <w:tab w:leader="none" w:pos="44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r>
        <w:rPr>
          <w:sz w:val="20"/>
          <w:szCs w:val="20"/>
          <w:color w:val="auto"/>
        </w:rPr>
        <w:tab/>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68580</wp:posOffset>
            </wp:positionV>
            <wp:extent cx="6557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ind w:left="1380" w:hanging="468"/>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Furniture Industries, Inc</w:t>
      </w:r>
    </w:p>
    <w:p>
      <w:pPr>
        <w:spacing w:after="0" w:line="220"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3525 Fairystone Park Highway, Bassett, Virginia 24055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142875</wp:posOffset>
            </wp:positionV>
            <wp:extent cx="6266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-276225</wp:posOffset>
            </wp:positionV>
            <wp:extent cx="6266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1380" w:hanging="468"/>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9" w:lineRule="exact"/>
        <w:rPr>
          <w:rFonts w:ascii="Times New Roman" w:cs="Times New Roman" w:eastAsia="Times New Roman" w:hAnsi="Times New Roman"/>
          <w:sz w:val="18"/>
          <w:szCs w:val="18"/>
          <w:color w:val="auto"/>
        </w:rPr>
      </w:pPr>
    </w:p>
    <w:p>
      <w:pPr>
        <w:ind w:left="1580" w:hanging="209"/>
        <w:spacing w:after="0"/>
        <w:tabs>
          <w:tab w:leader="none" w:pos="1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Aegis Financial Corporation ("AFC")</w:t>
      </w:r>
    </w:p>
    <w:p>
      <w:pPr>
        <w:spacing w:after="0" w:line="9" w:lineRule="exact"/>
        <w:rPr>
          <w:rFonts w:ascii="Times New Roman" w:cs="Times New Roman" w:eastAsia="Times New Roman" w:hAnsi="Times New Roman"/>
          <w:sz w:val="18"/>
          <w:szCs w:val="18"/>
          <w:color w:val="auto"/>
        </w:rPr>
      </w:pPr>
    </w:p>
    <w:p>
      <w:pPr>
        <w:ind w:left="1640" w:hanging="269"/>
        <w:spacing w:after="0"/>
        <w:tabs>
          <w:tab w:leader="none" w:pos="1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L. Barbee ("Barbee")</w:t>
      </w:r>
    </w:p>
    <w:p>
      <w:pPr>
        <w:spacing w:after="0" w:line="220" w:lineRule="exact"/>
        <w:rPr>
          <w:rFonts w:ascii="Times New Roman" w:cs="Times New Roman" w:eastAsia="Times New Roman" w:hAnsi="Times New Roman"/>
          <w:sz w:val="18"/>
          <w:szCs w:val="18"/>
          <w:color w:val="auto"/>
        </w:rPr>
      </w:pPr>
    </w:p>
    <w:p>
      <w:pPr>
        <w:ind w:left="1380" w:right="5600" w:hanging="468"/>
        <w:spacing w:after="0" w:line="261"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6862 Elm Street, Suite 830</w:t>
      </w: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McLean, Virginia 22101</w:t>
      </w:r>
    </w:p>
    <w:p>
      <w:pPr>
        <w:spacing w:after="0" w:line="220" w:lineRule="exact"/>
        <w:rPr>
          <w:rFonts w:ascii="Times New Roman" w:cs="Times New Roman" w:eastAsia="Times New Roman" w:hAnsi="Times New Roman"/>
          <w:sz w:val="18"/>
          <w:szCs w:val="18"/>
          <w:color w:val="auto"/>
        </w:rPr>
      </w:pPr>
    </w:p>
    <w:p>
      <w:pPr>
        <w:ind w:left="1380" w:hanging="468"/>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580" w:hanging="209"/>
        <w:spacing w:after="0"/>
        <w:tabs>
          <w:tab w:leader="none" w:pos="1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AFC: Delaware</w:t>
      </w:r>
    </w:p>
    <w:p>
      <w:pPr>
        <w:spacing w:after="0" w:line="9" w:lineRule="exact"/>
        <w:rPr>
          <w:rFonts w:ascii="Times New Roman" w:cs="Times New Roman" w:eastAsia="Times New Roman" w:hAnsi="Times New Roman"/>
          <w:sz w:val="18"/>
          <w:szCs w:val="18"/>
          <w:color w:val="auto"/>
        </w:rPr>
      </w:pPr>
    </w:p>
    <w:p>
      <w:pPr>
        <w:ind w:left="1640" w:hanging="269"/>
        <w:spacing w:after="0"/>
        <w:tabs>
          <w:tab w:leader="none" w:pos="1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Barbee: United States</w:t>
      </w:r>
    </w:p>
    <w:p>
      <w:pPr>
        <w:spacing w:after="0" w:line="220" w:lineRule="exact"/>
        <w:rPr>
          <w:rFonts w:ascii="Times New Roman" w:cs="Times New Roman" w:eastAsia="Times New Roman" w:hAnsi="Times New Roman"/>
          <w:sz w:val="18"/>
          <w:szCs w:val="18"/>
          <w:color w:val="auto"/>
        </w:rPr>
      </w:pPr>
    </w:p>
    <w:p>
      <w:pPr>
        <w:ind w:left="1380" w:right="7900" w:hanging="468"/>
        <w:spacing w:after="0" w:line="282"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75" w:lineRule="exact"/>
        <w:rPr>
          <w:rFonts w:ascii="Times New Roman" w:cs="Times New Roman" w:eastAsia="Times New Roman" w:hAnsi="Times New Roman"/>
          <w:sz w:val="18"/>
          <w:szCs w:val="18"/>
          <w:color w:val="auto"/>
        </w:rPr>
      </w:pPr>
    </w:p>
    <w:p>
      <w:pPr>
        <w:ind w:left="1380" w:right="8680" w:hanging="468"/>
        <w:spacing w:after="0" w:line="312" w:lineRule="auto"/>
        <w:tabs>
          <w:tab w:leader="none" w:pos="1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70203104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100330</wp:posOffset>
            </wp:positionV>
            <wp:extent cx="6266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-318770</wp:posOffset>
            </wp:positionV>
            <wp:extent cx="6266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-739140</wp:posOffset>
            </wp:positionV>
            <wp:extent cx="6266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-1296035</wp:posOffset>
            </wp:positionV>
            <wp:extent cx="6266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-1853565</wp:posOffset>
            </wp:positionV>
            <wp:extent cx="62661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3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40" w:lineRule="exact"/>
        <w:rPr>
          <w:sz w:val="20"/>
          <w:szCs w:val="20"/>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9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7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7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7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7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7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76"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76" w:lineRule="exact"/>
        <w:rPr>
          <w:rFonts w:ascii="Times New Roman" w:cs="Times New Roman" w:eastAsia="Times New Roman" w:hAnsi="Times New Roman"/>
          <w:sz w:val="18"/>
          <w:szCs w:val="18"/>
          <w:color w:val="auto"/>
        </w:rPr>
      </w:pPr>
    </w:p>
    <w:p>
      <w:pPr>
        <w:ind w:left="1820" w:right="180" w:hanging="908"/>
        <w:spacing w:after="0" w:line="236" w:lineRule="exact"/>
        <w:tabs>
          <w:tab w:leader="none" w:pos="1374"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18"/>
          <w:szCs w:val="18"/>
          <w:color w:val="auto"/>
        </w:rPr>
      </w:pPr>
    </w:p>
    <w:p>
      <w:pPr>
        <w:ind w:left="1380" w:hanging="468"/>
        <w:spacing w:after="0" w:line="207" w:lineRule="exact"/>
        <w:tabs>
          <w:tab w:leader="none" w:pos="13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(k)   </w:t>
            </w:r>
            <w:r>
              <w:rPr>
                <w:rFonts w:ascii="MS PGothic" w:cs="MS PGothic" w:eastAsia="MS PGothic" w:hAnsi="MS PGothic"/>
                <w:sz w:val="18"/>
                <w:szCs w:val="18"/>
                <w:color w:val="auto"/>
              </w:rPr>
              <w:t>☐</w:t>
            </w: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Group, in accordance with § 240.13d–1(b)(1)(ii)(K). If filing as a non-U.S. institution in accordance with  § 240.13d–1(b)(1)(ii)</w:t>
            </w:r>
          </w:p>
        </w:tc>
      </w:tr>
      <w:tr>
        <w:trPr>
          <w:trHeight w:val="234"/>
        </w:trPr>
        <w:tc>
          <w:tcPr>
            <w:tcW w:w="1680" w:type="dxa"/>
            <w:vAlign w:val="bottom"/>
          </w:tcPr>
          <w:p>
            <w:pPr>
              <w:spacing w:after="0"/>
              <w:rPr>
                <w:sz w:val="20"/>
                <w:szCs w:val="20"/>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 please specify the type of institution:____________________________</w:t>
            </w:r>
          </w:p>
        </w:tc>
      </w:tr>
      <w:tr>
        <w:trPr>
          <w:trHeight w:val="695"/>
        </w:trPr>
        <w:tc>
          <w:tcPr>
            <w:tcW w:w="168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79" w:lineRule="exact"/>
        <w:rPr>
          <w:sz w:val="20"/>
          <w:szCs w:val="20"/>
          <w:color w:val="auto"/>
        </w:rPr>
      </w:pPr>
    </w:p>
    <w:p>
      <w:pPr>
        <w:ind w:left="1480" w:hanging="460"/>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4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476,643 shares may be deemed beneficially owned within the meaning of Rule 13d-3 of the Act by (1) Aegis Financial Corporation by virtue of its investment discretion and/or voting authority granted by certain clients; and (2) Scott L. Barbee by virtue of his control of Aegis Financial Corporation.</w:t>
      </w:r>
    </w:p>
    <w:p>
      <w:pPr>
        <w:spacing w:after="0" w:line="18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Barbee disclaims beneficial ownership of any shares reported on the Schedule.</w:t>
      </w:r>
    </w:p>
    <w:p>
      <w:pPr>
        <w:spacing w:after="0" w:line="76"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274"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on voting and dispositive power with respect to the above listed shares, see Items 5-9 on the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154305</wp:posOffset>
            </wp:positionV>
            <wp:extent cx="6197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-436245</wp:posOffset>
            </wp:positionV>
            <wp:extent cx="6197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-890905</wp:posOffset>
            </wp:positionV>
            <wp:extent cx="6197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clients of Aegis Financial Corporation, a registered investment adviser, including one investment company registered under the Investment Company Act of 1940 and other managed accounts, have the right to receive or the power to direct the receipt of dividends and proceeds from the sale of shares included on this Schedule. The Aegis Value Fund, a registered investment company, owns 456,855 shares or 5.2% of the class of securities reported herein. To the best of Aegis Financial Corporation's knowledge, no other account owns more than 5% of the outstanding stock.</w:t>
      </w:r>
    </w:p>
    <w:p>
      <w:pPr>
        <w:spacing w:after="0" w:line="176" w:lineRule="exact"/>
        <w:rPr>
          <w:sz w:val="20"/>
          <w:szCs w:val="20"/>
          <w:color w:val="auto"/>
        </w:rPr>
      </w:pPr>
    </w:p>
    <w:p>
      <w:pPr>
        <w:ind w:left="1020" w:right="40" w:hanging="101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certify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Aegis Financial Corporation</w:t>
            </w:r>
          </w:p>
        </w:tc>
      </w:tr>
      <w:tr>
        <w:trPr>
          <w:trHeight w:val="44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Justin P. Harrison</w:t>
            </w:r>
          </w:p>
        </w:tc>
      </w:tr>
      <w:tr>
        <w:trPr>
          <w:trHeight w:val="178"/>
        </w:trPr>
        <w:tc>
          <w:tcPr>
            <w:tcW w:w="3660" w:type="dxa"/>
            <w:vAlign w:val="bottom"/>
          </w:tcPr>
          <w:p>
            <w:pPr>
              <w:spacing w:after="0"/>
              <w:rPr>
                <w:sz w:val="15"/>
                <w:szCs w:val="15"/>
                <w:color w:val="auto"/>
              </w:rPr>
            </w:pPr>
          </w:p>
        </w:tc>
        <w:tc>
          <w:tcPr>
            <w:tcW w:w="2300" w:type="dxa"/>
            <w:vAlign w:val="bottom"/>
          </w:tcPr>
          <w:p>
            <w:pPr>
              <w:ind w:left="1980"/>
              <w:spacing w:after="0" w:line="177" w:lineRule="exact"/>
              <w:rPr>
                <w:sz w:val="20"/>
                <w:szCs w:val="20"/>
                <w:color w:val="auto"/>
              </w:rPr>
            </w:pPr>
            <w:r>
              <w:rPr>
                <w:rFonts w:ascii="Times New Roman" w:cs="Times New Roman" w:eastAsia="Times New Roman" w:hAnsi="Times New Roman"/>
                <w:sz w:val="18"/>
                <w:szCs w:val="18"/>
                <w:color w:val="auto"/>
                <w:w w:val="71"/>
              </w:rPr>
              <w:t>Justin</w:t>
            </w:r>
          </w:p>
        </w:tc>
        <w:tc>
          <w:tcPr>
            <w:tcW w:w="52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P. Harrison</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3660" w:type="dxa"/>
            <w:vAlign w:val="bottom"/>
          </w:tcPr>
          <w:p>
            <w:pPr>
              <w:spacing w:after="0"/>
              <w:rPr>
                <w:sz w:val="24"/>
                <w:szCs w:val="24"/>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Scott L. Barbee</w:t>
            </w:r>
          </w:p>
        </w:tc>
      </w:tr>
      <w:tr>
        <w:trPr>
          <w:trHeight w:val="44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Scott L. Barbee</w:t>
            </w:r>
          </w:p>
        </w:tc>
      </w:tr>
      <w:tr>
        <w:trPr>
          <w:trHeight w:val="228"/>
        </w:trPr>
        <w:tc>
          <w:tcPr>
            <w:tcW w:w="3660" w:type="dxa"/>
            <w:vAlign w:val="bottom"/>
          </w:tcPr>
          <w:p>
            <w:pPr>
              <w:spacing w:after="0"/>
              <w:rPr>
                <w:sz w:val="19"/>
                <w:szCs w:val="19"/>
                <w:color w:val="auto"/>
              </w:rPr>
            </w:pPr>
          </w:p>
        </w:tc>
        <w:tc>
          <w:tcPr>
            <w:tcW w:w="230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0"/>
              </w:rPr>
              <w:t>Scott</w:t>
            </w:r>
          </w:p>
        </w:tc>
        <w:tc>
          <w:tcPr>
            <w:tcW w:w="5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 Barbee</w:t>
            </w:r>
          </w:p>
        </w:tc>
      </w:tr>
      <w:tr>
        <w:trPr>
          <w:trHeight w:val="616"/>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6</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 AMONG AEGIS FINANCIAL CORPORATION, AND SCOTT L. BARBEE</w:t>
      </w:r>
    </w:p>
    <w:p>
      <w:pPr>
        <w:spacing w:after="0" w:line="22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 under the Securities and Exchange Act of 1934 (the "Act"), only one joint statement and any amendments thereto need to be filed whenever one or more persons are required to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Aegis Financial Corporation, AND SCOTT L. BARBEE hereby agree, in accordance with Rule 13d-1(k) under the Act, to file a statement on Schedule 13G relating to their ownership of Common Stock of the Issuer and do hereby further agree that said statement shall be filed on behalf of each of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Aegis Financial Corporation</w:t>
            </w:r>
          </w:p>
        </w:tc>
      </w:tr>
      <w:tr>
        <w:trPr>
          <w:trHeight w:val="44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Justin P. Harrison</w:t>
            </w:r>
          </w:p>
        </w:tc>
      </w:tr>
      <w:tr>
        <w:trPr>
          <w:trHeight w:val="178"/>
        </w:trPr>
        <w:tc>
          <w:tcPr>
            <w:tcW w:w="3680" w:type="dxa"/>
            <w:vAlign w:val="bottom"/>
          </w:tcPr>
          <w:p>
            <w:pPr>
              <w:spacing w:after="0"/>
              <w:rPr>
                <w:sz w:val="15"/>
                <w:szCs w:val="15"/>
                <w:color w:val="auto"/>
              </w:rPr>
            </w:pPr>
          </w:p>
        </w:tc>
        <w:tc>
          <w:tcPr>
            <w:tcW w:w="2280" w:type="dxa"/>
            <w:vAlign w:val="bottom"/>
          </w:tcPr>
          <w:p>
            <w:pPr>
              <w:ind w:left="1960"/>
              <w:spacing w:after="0" w:line="177" w:lineRule="exact"/>
              <w:rPr>
                <w:sz w:val="20"/>
                <w:szCs w:val="20"/>
                <w:color w:val="auto"/>
              </w:rPr>
            </w:pPr>
            <w:r>
              <w:rPr>
                <w:rFonts w:ascii="Times New Roman" w:cs="Times New Roman" w:eastAsia="Times New Roman" w:hAnsi="Times New Roman"/>
                <w:sz w:val="18"/>
                <w:szCs w:val="18"/>
                <w:color w:val="auto"/>
                <w:w w:val="71"/>
              </w:rPr>
              <w:t>Justin</w:t>
            </w:r>
          </w:p>
        </w:tc>
        <w:tc>
          <w:tcPr>
            <w:tcW w:w="52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P. Harrison</w:t>
            </w:r>
          </w:p>
        </w:tc>
      </w:t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3680" w:type="dxa"/>
            <w:vAlign w:val="bottom"/>
          </w:tcPr>
          <w:p>
            <w:pPr>
              <w:spacing w:after="0"/>
              <w:rPr>
                <w:sz w:val="24"/>
                <w:szCs w:val="24"/>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Scott L. Barbee</w:t>
            </w:r>
          </w:p>
        </w:tc>
      </w:tr>
      <w:tr>
        <w:trPr>
          <w:trHeight w:val="44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Scott L. Barbee</w:t>
            </w:r>
          </w:p>
        </w:tc>
      </w:tr>
      <w:tr>
        <w:trPr>
          <w:trHeight w:val="228"/>
        </w:trPr>
        <w:tc>
          <w:tcPr>
            <w:tcW w:w="3680" w:type="dxa"/>
            <w:vAlign w:val="bottom"/>
          </w:tcPr>
          <w:p>
            <w:pPr>
              <w:spacing w:after="0"/>
              <w:rPr>
                <w:sz w:val="19"/>
                <w:szCs w:val="19"/>
                <w:color w:val="auto"/>
              </w:rPr>
            </w:pP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80"/>
              </w:rPr>
              <w:t>Scott</w:t>
            </w:r>
          </w:p>
        </w:tc>
        <w:tc>
          <w:tcPr>
            <w:tcW w:w="5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 Barbee</w:t>
            </w:r>
          </w:p>
        </w:tc>
      </w:tr>
    </w:tbl>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057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8"/>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decimal"/>
      <w:start w:val="8"/>
    </w:lvl>
  </w:abstractNum>
  <w:abstractNum w:abstractNumId="6">
    <w:nsid w:val="5BD062C2"/>
    <w:multiLevelType w:val="hybridMultilevel"/>
    <w:lvl w:ilvl="0">
      <w:lvlJc w:val="left"/>
      <w:lvlText w:val="%1."/>
      <w:numFmt w:val="decimal"/>
      <w:start w:val="9"/>
    </w:lvl>
    <w:lvl w:ilvl="1">
      <w:lvlJc w:val="left"/>
      <w:lvlText w:val="%2"/>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2024-02-08T05:39:38Z</dcterms:created>
  <dcterms:modified xsi:type="dcterms:W3CDTF">2024-02-08T05:39:38Z</dcterms:modified>
</cp:coreProperties>
</file>