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BASSETT JOHN E III</w:t>
              </w:r>
            </w:hyperlink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BASSETT FURNITURE INDUSTRIES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4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3525 FAIRYSTONE PARK HWY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01/12/2022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 O BOX 626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SVP, Chief Operations Officer</w:t>
      </w:r>
    </w:p>
    <w:p>
      <w:pPr>
        <w:spacing w:after="0" w:line="4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1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VA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24055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42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2. Transaction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</w:tcPr>
          <w:p>
            <w:pPr>
              <w:ind w:left="6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40" w:type="dxa"/>
            <w:vAlign w:val="bottom"/>
            <w:gridSpan w:val="7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01/12/2022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FF"/>
                <w:w w:val="88"/>
                <w:vertAlign w:val="subscript"/>
              </w:rPr>
              <w:t>2,400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(1)(2)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15.82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4"/>
                <w:vertAlign w:val="superscript"/>
              </w:rPr>
              <w:t>(3)</w:t>
            </w: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47,131.9745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9"/>
                <w:vertAlign w:val="superscript"/>
              </w:rPr>
              <w:t>(4)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3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Code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4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6"/>
              </w:rPr>
              <w:t>1. Restricted stock granted under the 2021 Stock Incentive Plan which is a Rule 16b-3 plan; vests ratably over three years.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2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5"/>
              </w:rPr>
              <w:t>2. Risk of forfeiture until vesting and subject to stock ownership guidelines.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8"/>
              </w:rPr>
              <w:t>3. Price of Bassett Furniture Industries Stock at the close of business 01/12/2021.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300" w:type="dxa"/>
            <w:vAlign w:val="bottom"/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6"/>
              </w:rPr>
              <w:t>4. Includes shares acquired under the 2000 and 2017 Employee Stock Purchase Plans in transactions exempt under Rule 16-3(A).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/s/ John E. Bassett III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01/14/2022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4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-2999105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017057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2022-01-14T16:06:01Z</dcterms:created>
  <dcterms:modified xsi:type="dcterms:W3CDTF">2022-01-14T16:06:01Z</dcterms:modified>
</cp:coreProperties>
</file>