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167005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BASSETT FURNITURE INDUSTRIES, INCORPORATED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000-00209</w:t>
      </w:r>
    </w:p>
    <w:p>
      <w:pPr>
        <w:spacing w:after="0" w:line="31"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54-0135270</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00" w:lineRule="exact"/>
        <w:rPr>
          <w:sz w:val="24"/>
          <w:szCs w:val="24"/>
          <w:color w:val="auto"/>
        </w:rPr>
      </w:pPr>
    </w:p>
    <w:p>
      <w:pPr>
        <w:sectPr>
          <w:pgSz w:w="11900" w:h="16838" w:orient="portrait"/>
          <w:cols w:equalWidth="0" w:num="3">
            <w:col w:w="4060" w:space="720"/>
            <w:col w:w="3240" w:space="720"/>
            <w:col w:w="2500"/>
          </w:cols>
          <w:pgMar w:left="320" w:top="416" w:right="339" w:bottom="1440" w:gutter="0" w:footer="0" w:header="0"/>
          <w:type w:val="continuous"/>
        </w:sectPr>
      </w:pPr>
    </w:p>
    <w:p>
      <w:pPr>
        <w:spacing w:after="0" w:line="1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3525 FAIRYSTONE PARK HIGHWAY</w:t>
      </w:r>
    </w:p>
    <w:p>
      <w:pPr>
        <w:spacing w:after="0" w:line="43"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24055</w:t>
      </w:r>
    </w:p>
    <w:p>
      <w:pPr>
        <w:spacing w:after="0" w:line="31"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8480" w:space="720"/>
            <w:col w:w="2040"/>
          </w:cols>
          <w:pgMar w:left="320" w:top="41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(276) 629-6000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0" w:lineRule="auto"/>
        <w:tabs>
          <w:tab w:leader="none" w:pos="21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2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320" w:type="dxa"/>
            <w:vAlign w:val="bottom"/>
          </w:tcPr>
          <w:p>
            <w:pPr>
              <w:spacing w:after="0"/>
              <w:rPr>
                <w:sz w:val="20"/>
                <w:szCs w:val="20"/>
                <w:color w:val="auto"/>
              </w:rPr>
            </w:pP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28"/>
        </w:trPr>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32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320" w:type="dxa"/>
            <w:vAlign w:val="bottom"/>
          </w:tcPr>
          <w:p>
            <w:pPr>
              <w:spacing w:after="0"/>
              <w:rPr>
                <w:sz w:val="19"/>
                <w:szCs w:val="19"/>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bl>
    <w:p>
      <w:pPr>
        <w:spacing w:after="0" w:line="17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4.01 Changes in 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Certifying Accountant.</w:t>
      </w:r>
    </w:p>
    <w:p>
      <w:pPr>
        <w:spacing w:after="0" w:line="229" w:lineRule="exact"/>
        <w:rPr>
          <w:sz w:val="20"/>
          <w:szCs w:val="20"/>
          <w:color w:val="auto"/>
        </w:rPr>
      </w:pPr>
    </w:p>
    <w:p>
      <w:pPr>
        <w:ind w:right="40"/>
        <w:spacing w:after="0" w:line="312" w:lineRule="auto"/>
        <w:rPr>
          <w:sz w:val="20"/>
          <w:szCs w:val="20"/>
          <w:color w:val="auto"/>
        </w:rPr>
      </w:pPr>
      <w:r>
        <w:rPr>
          <w:rFonts w:ascii="Times New Roman" w:cs="Times New Roman" w:eastAsia="Times New Roman" w:hAnsi="Times New Roman"/>
          <w:sz w:val="17"/>
          <w:szCs w:val="17"/>
          <w:color w:val="auto"/>
        </w:rPr>
        <w:t>The Audit Committee (the “Committee”) of the Board of Directors of Bassett Furniture Industries, Incorporated (the “Company”), concluded a competitive selection process to determine the Company’s independent registered public accounting firm for the Company’s fiscal year ending November 29, 2025.</w:t>
      </w:r>
    </w:p>
    <w:p>
      <w:pPr>
        <w:spacing w:after="0" w:line="138"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Previous Independent Registered Accounting Firm</w:t>
      </w:r>
    </w:p>
    <w:p>
      <w:pPr>
        <w:spacing w:after="0" w:line="22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Committee, effective as of April 7, 2025, dismissed Ernst &amp; Young LLP (“Ernst &amp; Young”) as the Company’s current independent registered public accounting firm. The reports of Ernst &amp; Young on the Company’s consolidated financial statements for the fiscal years ended November 30, 2024 and November 25, 2023 did not contain an adverse opinion or disclaimer of opinion and were not qualified or modified as to uncertainty, audit scope or accounting principles.</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connection with the audits of the Company’s consolidated financial statements for the fiscal years ended November 30, 2024 and November 25, 2023, and in the subsequent interim period from December 1, 2024 through April 7, 2025, there were no disagreements (as defined in Item 304(a)(1)(iv) of Regulation S-K and the related instructions thereto) with Ernst &amp; Young on any matters of accounting principles or practices, financial statement disclosure or auditing scope and procedures which, if not resolved to the satisfaction of Ernst &amp; Young, would have caused Ernst &amp; Young to make reference to the matter in its reports on the Company’s consolidated financial statements for such fiscal years. In addition, there were no reportable events (as that term is described in Item 304(a)(1)(v) of Regulation S-K) during the two fiscal years ended November 30, 2024 and November 25, 2023, or in the subsequent period from December 1, 2024 through April 7, 2025.</w:t>
      </w:r>
    </w:p>
    <w:p>
      <w:pPr>
        <w:spacing w:after="0" w:line="189"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has provided a copy of the foregoing disclosures to Ernst &amp; Young and requested that Ernst &amp; Young furnish it with a letter addressed to the Securities and Exchange Commission stating whether Ernst &amp; Young agrees with the above statements and, if not, stating the respects in which it does not agree. A copy of Ernst &amp; Young’s letter, dated April 9, 2025, is filed as Exhibit 16.1 to this Form 8-K.</w:t>
      </w:r>
    </w:p>
    <w:p>
      <w:pPr>
        <w:spacing w:after="0" w:line="174"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Independent Registered Public Accounting Firm</w:t>
      </w:r>
    </w:p>
    <w:p>
      <w:pPr>
        <w:spacing w:after="0" w:line="227"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Committee, effective as of April 7, 2025, approved the appointment of Grant Thornton LLP as the Company’s independent registered public accounting firm for the fiscal year ending November 29, 2025.</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two most recent fiscal years ended November 30, 2024 and November 25, 2023, and in the subsequent interim period from December 1, 2024 through April 7, 2025, neither the Company nor anyone on its behalf has consulted with Grant Thornton LLP regarding (i) the application of accounting principles to a specified transaction, either completed or proposed, or the type of audit opinion that might be rendered on the Company’s consolidated financial statements, and neither a written report nor oral advice was provided to the Company that Grant Thornton LLP concluded was an important factor considered by the Company in reaching a decision as to any accounting, auditing, or financial reporting issue, (ii) any matter that was either the subject of a disagreement (as defined in Item 304(a)(1)(iv) of Regulation S-K and the related instruction thereto), or (iii) any reportable event (as described in Item 304(a)(1)(v) of Regulation 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7"/>
          <w:szCs w:val="17"/>
          <w:u w:val="single" w:color="auto"/>
          <w:color w:val="0000EE"/>
        </w:rPr>
        <w:t>Letter from Ernst &amp; Young LLP to the Securities and Exchange Commission dated April 9, 2025</w:t>
      </w:r>
    </w:p>
    <w:p>
      <w:pPr>
        <w:spacing w:after="0" w:line="22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BASSETT FURNITURE INDUSTRIES,</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INCORPORATED</w:t>
      </w:r>
    </w:p>
    <w:p>
      <w:pPr>
        <w:spacing w:after="0" w:line="9" w:lineRule="exact"/>
        <w:rPr>
          <w:sz w:val="20"/>
          <w:szCs w:val="20"/>
          <w:color w:val="auto"/>
        </w:rPr>
      </w:pPr>
    </w:p>
    <w:p>
      <w:pPr>
        <w:ind w:left="5640" w:right="3480" w:hanging="5628"/>
        <w:spacing w:after="0" w:line="258" w:lineRule="auto"/>
        <w:tabs>
          <w:tab w:leader="none" w:pos="5620" w:val="left"/>
        </w:tabs>
        <w:rPr>
          <w:sz w:val="20"/>
          <w:szCs w:val="20"/>
          <w:color w:val="auto"/>
        </w:rPr>
      </w:pPr>
      <w:r>
        <w:rPr>
          <w:rFonts w:ascii="Times New Roman" w:cs="Times New Roman" w:eastAsia="Times New Roman" w:hAnsi="Times New Roman"/>
          <w:sz w:val="18"/>
          <w:szCs w:val="18"/>
          <w:color w:val="auto"/>
        </w:rPr>
        <w:t>Date: April 11, 2025</w:t>
      </w:r>
      <w:r>
        <w:rPr>
          <w:sz w:val="20"/>
          <w:szCs w:val="20"/>
          <w:color w:val="auto"/>
        </w:rPr>
        <w:tab/>
      </w:r>
      <w:r>
        <w:rPr>
          <w:rFonts w:ascii="Times New Roman" w:cs="Times New Roman" w:eastAsia="Times New Roman" w:hAnsi="Times New Roman"/>
          <w:sz w:val="18"/>
          <w:szCs w:val="18"/>
          <w:color w:val="auto"/>
        </w:rPr>
        <w:t>By: /s/ J. Michael Daniel J. Michael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-144780</wp:posOffset>
            </wp:positionV>
            <wp:extent cx="27089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Title: Senior Vice President - Chief Financial Officer</w:t>
      </w:r>
    </w:p>
    <w:p>
      <w:pPr>
        <w:sectPr>
          <w:pgSz w:w="11900" w:h="16838" w:orient="portrait"/>
          <w:cols w:equalWidth="0" w:num="1">
            <w:col w:w="10920"/>
          </w:cols>
          <w:pgMar w:left="320" w:top="580" w:right="6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Exhibit 16.1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9,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read Item 4.01 of Form 8-K dated April 8, 2025, of Bassett Furniture Industries, Incorporated and are in agreement with the statements contained in the second and third paragraphs therein. We have no basis to agree or disagree with other statements of the registrant contained therein.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sectPr>
      <w:pgSz w:w="11900" w:h="16838" w:orient="portrait"/>
      <w:cols w:equalWidth="0" w:num="1">
        <w:col w:w="11120"/>
      </w:cols>
      <w:pgMar w:left="320" w:top="337"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2025-04-11T14:48:00Z</dcterms:created>
  <dcterms:modified xsi:type="dcterms:W3CDTF">2025-04-11T14:48:00Z</dcterms:modified>
</cp:coreProperties>
</file>