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956310</wp:posOffset>
            </wp:positionV>
            <wp:extent cx="7772400" cy="7319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7319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5700"/>
        <w:spacing w:after="0"/>
        <w:rPr>
          <w:sz w:val="20"/>
          <w:szCs w:val="20"/>
          <w:color w:val="auto"/>
        </w:rPr>
      </w:pPr>
      <w:r>
        <w:rPr>
          <w:rFonts w:ascii="Arial" w:cs="Arial" w:eastAsia="Arial" w:hAnsi="Arial"/>
          <w:sz w:val="24"/>
          <w:szCs w:val="24"/>
          <w:color w:val="auto"/>
        </w:rPr>
        <w:t>2 0 2 5 A N N U A L R E P O R T</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295910</wp:posOffset>
            </wp:positionH>
            <wp:positionV relativeFrom="page">
              <wp:posOffset>937260</wp:posOffset>
            </wp:positionV>
            <wp:extent cx="4437380" cy="5916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37380" cy="591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FINANCIAL SUMMARY</w:t>
      </w:r>
    </w:p>
    <w:p>
      <w:pPr>
        <w:spacing w:after="0" w:line="200" w:lineRule="exact"/>
        <w:rPr>
          <w:sz w:val="20"/>
          <w:szCs w:val="20"/>
          <w:color w:val="auto"/>
        </w:rPr>
      </w:pPr>
    </w:p>
    <w:p>
      <w:pPr>
        <w:spacing w:after="0" w:line="358" w:lineRule="exact"/>
        <w:rPr>
          <w:sz w:val="20"/>
          <w:szCs w:val="20"/>
          <w:color w:val="auto"/>
        </w:rPr>
      </w:pPr>
    </w:p>
    <w:p>
      <w:pPr>
        <w:ind w:left="9080"/>
        <w:spacing w:after="0"/>
        <w:rPr>
          <w:sz w:val="20"/>
          <w:szCs w:val="20"/>
          <w:color w:val="auto"/>
        </w:rPr>
      </w:pPr>
      <w:r>
        <w:rPr>
          <w:rFonts w:ascii="Arial" w:cs="Arial" w:eastAsia="Arial" w:hAnsi="Arial"/>
          <w:sz w:val="10"/>
          <w:szCs w:val="10"/>
          <w:color w:val="auto"/>
        </w:rPr>
        <w:t>Fiscal years ended November</w:t>
      </w:r>
    </w:p>
    <w:p>
      <w:pPr>
        <w:spacing w:after="0" w:line="214" w:lineRule="exact"/>
        <w:rPr>
          <w:sz w:val="20"/>
          <w:szCs w:val="20"/>
          <w:color w:val="auto"/>
        </w:rPr>
      </w:pPr>
    </w:p>
    <w:tbl>
      <w:tblPr>
        <w:tblLayout w:type="fixed"/>
        <w:tblInd w:w="6940" w:type="dxa"/>
        <w:tblCellMar>
          <w:top w:w="0" w:type="dxa"/>
          <w:left w:w="0" w:type="dxa"/>
          <w:bottom w:w="0" w:type="dxa"/>
          <w:right w:w="0" w:type="dxa"/>
        </w:tblCellMar>
      </w:tblPr>
      <w:tr>
        <w:trPr>
          <w:trHeight w:val="229"/>
        </w:trPr>
        <w:tc>
          <w:tcPr>
            <w:tcW w:w="2140" w:type="dxa"/>
            <w:vAlign w:val="bottom"/>
          </w:tcPr>
          <w:p>
            <w:pPr>
              <w:spacing w:after="0"/>
              <w:rPr>
                <w:sz w:val="19"/>
                <w:szCs w:val="19"/>
                <w:color w:val="auto"/>
              </w:rPr>
            </w:pPr>
          </w:p>
        </w:tc>
        <w:tc>
          <w:tcPr>
            <w:tcW w:w="280" w:type="dxa"/>
            <w:vAlign w:val="bottom"/>
            <w:shd w:val="clear" w:color="auto" w:fill="000000"/>
          </w:tcPr>
          <w:p>
            <w:pPr>
              <w:spacing w:after="0"/>
              <w:rPr>
                <w:sz w:val="19"/>
                <w:szCs w:val="19"/>
                <w:color w:val="auto"/>
              </w:rPr>
            </w:pPr>
          </w:p>
        </w:tc>
        <w:tc>
          <w:tcPr>
            <w:tcW w:w="740" w:type="dxa"/>
            <w:vAlign w:val="bottom"/>
            <w:shd w:val="clear" w:color="auto" w:fill="000000"/>
          </w:tcPr>
          <w:p>
            <w:pPr>
              <w:jc w:val="right"/>
              <w:ind w:right="234"/>
              <w:spacing w:after="0"/>
              <w:rPr>
                <w:sz w:val="20"/>
                <w:szCs w:val="20"/>
                <w:color w:val="auto"/>
              </w:rPr>
            </w:pPr>
            <w:r>
              <w:rPr>
                <w:rFonts w:ascii="Arial" w:cs="Arial" w:eastAsia="Arial" w:hAnsi="Arial"/>
                <w:sz w:val="16"/>
                <w:szCs w:val="16"/>
                <w:color w:val="FFFFFF"/>
              </w:rPr>
              <w:t>2025</w:t>
            </w:r>
          </w:p>
        </w:tc>
        <w:tc>
          <w:tcPr>
            <w:tcW w:w="220" w:type="dxa"/>
            <w:vAlign w:val="bottom"/>
          </w:tcPr>
          <w:p>
            <w:pPr>
              <w:spacing w:after="0"/>
              <w:rPr>
                <w:sz w:val="19"/>
                <w:szCs w:val="19"/>
                <w:color w:val="auto"/>
              </w:rPr>
            </w:pPr>
          </w:p>
        </w:tc>
        <w:tc>
          <w:tcPr>
            <w:tcW w:w="740" w:type="dxa"/>
            <w:vAlign w:val="bottom"/>
          </w:tcPr>
          <w:p>
            <w:pPr>
              <w:jc w:val="right"/>
              <w:ind w:right="234"/>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9"/>
                <w:szCs w:val="19"/>
                <w:color w:val="auto"/>
              </w:rPr>
            </w:pPr>
          </w:p>
        </w:tc>
        <w:tc>
          <w:tcPr>
            <w:tcW w:w="740" w:type="dxa"/>
            <w:vAlign w:val="bottom"/>
          </w:tcPr>
          <w:p>
            <w:pPr>
              <w:jc w:val="right"/>
              <w:ind w:right="254"/>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9"/>
                <w:szCs w:val="19"/>
                <w:color w:val="auto"/>
              </w:rPr>
            </w:pPr>
          </w:p>
        </w:tc>
        <w:tc>
          <w:tcPr>
            <w:tcW w:w="720" w:type="dxa"/>
            <w:vAlign w:val="bottom"/>
          </w:tcPr>
          <w:p>
            <w:pPr>
              <w:jc w:val="right"/>
              <w:ind w:right="254"/>
              <w:spacing w:after="0"/>
              <w:rPr>
                <w:sz w:val="20"/>
                <w:szCs w:val="20"/>
                <w:color w:val="auto"/>
              </w:rPr>
            </w:pPr>
            <w:r>
              <w:rPr>
                <w:rFonts w:ascii="Arial" w:cs="Arial" w:eastAsia="Arial" w:hAnsi="Arial"/>
                <w:sz w:val="16"/>
                <w:szCs w:val="16"/>
                <w:color w:val="auto"/>
              </w:rPr>
              <w:t>2021</w:t>
            </w:r>
          </w:p>
        </w:tc>
      </w:tr>
      <w:tr>
        <w:trPr>
          <w:trHeight w:val="58"/>
        </w:trPr>
        <w:tc>
          <w:tcPr>
            <w:tcW w:w="2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shd w:val="clear" w:color="auto" w:fill="000000"/>
          </w:tcPr>
          <w:p>
            <w:pPr>
              <w:spacing w:after="0"/>
              <w:rPr>
                <w:sz w:val="5"/>
                <w:szCs w:val="5"/>
                <w:color w:val="auto"/>
              </w:rPr>
            </w:pPr>
          </w:p>
        </w:tc>
        <w:tc>
          <w:tcPr>
            <w:tcW w:w="740" w:type="dxa"/>
            <w:vAlign w:val="bottom"/>
            <w:tcBorders>
              <w:bottom w:val="single" w:sz="8" w:color="auto"/>
            </w:tcBorders>
            <w:shd w:val="clear" w:color="auto" w:fill="000000"/>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05"/>
        </w:trPr>
        <w:tc>
          <w:tcPr>
            <w:tcW w:w="2140" w:type="dxa"/>
            <w:vAlign w:val="bottom"/>
          </w:tcPr>
          <w:p>
            <w:pPr>
              <w:spacing w:after="0"/>
              <w:rPr>
                <w:sz w:val="20"/>
                <w:szCs w:val="20"/>
                <w:color w:val="auto"/>
              </w:rPr>
            </w:pPr>
            <w:r>
              <w:rPr>
                <w:rFonts w:ascii="Arial" w:cs="Arial" w:eastAsia="Arial" w:hAnsi="Arial"/>
                <w:sz w:val="13"/>
                <w:szCs w:val="13"/>
                <w:color w:val="auto"/>
              </w:rPr>
              <w:t>INCOME STATEMENT DATA</w:t>
            </w:r>
          </w:p>
        </w:tc>
        <w:tc>
          <w:tcPr>
            <w:tcW w:w="280" w:type="dxa"/>
            <w:vAlign w:val="bottom"/>
            <w:shd w:val="clear" w:color="auto" w:fill="000000"/>
          </w:tcPr>
          <w:p>
            <w:pPr>
              <w:spacing w:after="0"/>
              <w:rPr>
                <w:sz w:val="17"/>
                <w:szCs w:val="17"/>
                <w:color w:val="auto"/>
              </w:rPr>
            </w:pPr>
          </w:p>
        </w:tc>
        <w:tc>
          <w:tcPr>
            <w:tcW w:w="7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64"/>
        </w:trPr>
        <w:tc>
          <w:tcPr>
            <w:tcW w:w="2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shd w:val="clear" w:color="auto" w:fill="000000"/>
          </w:tcPr>
          <w:p>
            <w:pPr>
              <w:spacing w:after="0"/>
              <w:rPr>
                <w:sz w:val="5"/>
                <w:szCs w:val="5"/>
                <w:color w:val="auto"/>
              </w:rPr>
            </w:pPr>
          </w:p>
        </w:tc>
        <w:tc>
          <w:tcPr>
            <w:tcW w:w="740" w:type="dxa"/>
            <w:vAlign w:val="bottom"/>
            <w:tcBorders>
              <w:bottom w:val="single" w:sz="8" w:color="auto"/>
            </w:tcBorders>
            <w:shd w:val="clear" w:color="auto" w:fill="000000"/>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13"/>
                <w:szCs w:val="13"/>
                <w:color w:val="auto"/>
              </w:rPr>
              <w:t>Net Sales</w:t>
            </w:r>
          </w:p>
        </w:tc>
        <w:tc>
          <w:tcPr>
            <w:tcW w:w="280" w:type="dxa"/>
            <w:vAlign w:val="bottom"/>
            <w:shd w:val="clear" w:color="auto" w:fill="000000"/>
          </w:tcPr>
          <w:p>
            <w:pPr>
              <w:jc w:val="right"/>
              <w:ind w:right="15"/>
              <w:spacing w:after="0"/>
              <w:rPr>
                <w:sz w:val="20"/>
                <w:szCs w:val="20"/>
                <w:color w:val="auto"/>
              </w:rPr>
            </w:pPr>
            <w:r>
              <w:rPr>
                <w:rFonts w:ascii="Arial" w:cs="Arial" w:eastAsia="Arial" w:hAnsi="Arial"/>
                <w:sz w:val="13"/>
                <w:szCs w:val="13"/>
                <w:color w:val="FFFFFF"/>
              </w:rPr>
              <w:t>$</w:t>
            </w:r>
          </w:p>
        </w:tc>
        <w:tc>
          <w:tcPr>
            <w:tcW w:w="740" w:type="dxa"/>
            <w:vAlign w:val="bottom"/>
            <w:shd w:val="clear" w:color="auto" w:fill="000000"/>
          </w:tcPr>
          <w:p>
            <w:pPr>
              <w:jc w:val="right"/>
              <w:ind w:right="34"/>
              <w:spacing w:after="0"/>
              <w:rPr>
                <w:sz w:val="20"/>
                <w:szCs w:val="20"/>
                <w:color w:val="auto"/>
              </w:rPr>
            </w:pPr>
            <w:r>
              <w:rPr>
                <w:rFonts w:ascii="Arial" w:cs="Arial" w:eastAsia="Arial" w:hAnsi="Arial"/>
                <w:sz w:val="13"/>
                <w:szCs w:val="13"/>
                <w:color w:val="FFFFFF"/>
              </w:rPr>
              <w:t>335,280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329,923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390,136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485,601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430,886</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Income (Loss) from Operations</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34"/>
              <w:spacing w:after="0"/>
              <w:rPr>
                <w:sz w:val="20"/>
                <w:szCs w:val="20"/>
                <w:color w:val="auto"/>
              </w:rPr>
            </w:pPr>
            <w:r>
              <w:rPr>
                <w:rFonts w:ascii="Arial" w:cs="Arial" w:eastAsia="Arial" w:hAnsi="Arial"/>
                <w:sz w:val="13"/>
                <w:szCs w:val="13"/>
                <w:color w:val="FFFFFF"/>
              </w:rPr>
              <w:t>7,827</w:t>
            </w:r>
          </w:p>
        </w:tc>
        <w:tc>
          <w:tcPr>
            <w:tcW w:w="2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(16,269)</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(3,135)</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34,865</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24,257</w:t>
            </w:r>
          </w:p>
        </w:tc>
      </w:tr>
      <w:tr>
        <w:trPr>
          <w:trHeight w:val="233"/>
        </w:trPr>
        <w:tc>
          <w:tcPr>
            <w:tcW w:w="2140" w:type="dxa"/>
            <w:vAlign w:val="bottom"/>
          </w:tcPr>
          <w:p>
            <w:pPr>
              <w:spacing w:after="0"/>
              <w:rPr>
                <w:sz w:val="20"/>
                <w:szCs w:val="20"/>
                <w:color w:val="auto"/>
              </w:rPr>
            </w:pPr>
            <w:r>
              <w:rPr>
                <w:rFonts w:ascii="Arial" w:cs="Arial" w:eastAsia="Arial" w:hAnsi="Arial"/>
                <w:sz w:val="12"/>
                <w:szCs w:val="12"/>
                <w:color w:val="auto"/>
                <w:w w:val="96"/>
              </w:rPr>
              <w:t>Adjusted Income (Loss) From Operations</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34"/>
              <w:spacing w:after="0"/>
              <w:rPr>
                <w:sz w:val="20"/>
                <w:szCs w:val="20"/>
                <w:color w:val="auto"/>
              </w:rPr>
            </w:pPr>
            <w:r>
              <w:rPr>
                <w:rFonts w:ascii="Arial" w:cs="Arial" w:eastAsia="Arial" w:hAnsi="Arial"/>
                <w:sz w:val="13"/>
                <w:szCs w:val="13"/>
                <w:color w:val="FFFFFF"/>
              </w:rPr>
              <w:t>8,325</w:t>
            </w:r>
          </w:p>
        </w:tc>
        <w:tc>
          <w:tcPr>
            <w:tcW w:w="2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(8,112)</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1,261</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30,270</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24,257</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Net Income (Loss)</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34"/>
              <w:spacing w:after="0"/>
              <w:rPr>
                <w:sz w:val="20"/>
                <w:szCs w:val="20"/>
                <w:color w:val="auto"/>
              </w:rPr>
            </w:pPr>
            <w:r>
              <w:rPr>
                <w:rFonts w:ascii="Arial" w:cs="Arial" w:eastAsia="Arial" w:hAnsi="Arial"/>
                <w:sz w:val="13"/>
                <w:szCs w:val="13"/>
                <w:color w:val="FFFFFF"/>
              </w:rPr>
              <w:t>6,100</w:t>
            </w:r>
          </w:p>
        </w:tc>
        <w:tc>
          <w:tcPr>
            <w:tcW w:w="2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(9,695)</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(3,171)</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65,345</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18,042</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Adjusted Net Income (Loss)</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6,473</w:t>
            </w:r>
          </w:p>
        </w:tc>
        <w:tc>
          <w:tcPr>
            <w:tcW w:w="2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(5,159)</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1,225</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21,960</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18,042</w:t>
            </w:r>
          </w:p>
        </w:tc>
      </w:tr>
      <w:tr>
        <w:trPr>
          <w:trHeight w:val="182"/>
        </w:trPr>
        <w:tc>
          <w:tcPr>
            <w:tcW w:w="2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000000"/>
          </w:tcPr>
          <w:p>
            <w:pPr>
              <w:spacing w:after="0"/>
              <w:rPr>
                <w:sz w:val="15"/>
                <w:szCs w:val="15"/>
                <w:color w:val="auto"/>
              </w:rPr>
            </w:pPr>
          </w:p>
        </w:tc>
        <w:tc>
          <w:tcPr>
            <w:tcW w:w="740" w:type="dxa"/>
            <w:vAlign w:val="bottom"/>
            <w:tcBorders>
              <w:bottom w:val="single" w:sz="8" w:color="auto"/>
            </w:tcBorders>
            <w:shd w:val="clear" w:color="auto" w:fill="000000"/>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3"/>
                <w:szCs w:val="13"/>
                <w:color w:val="auto"/>
              </w:rPr>
              <w:t>PER SHARE DATA</w:t>
            </w:r>
          </w:p>
        </w:tc>
        <w:tc>
          <w:tcPr>
            <w:tcW w:w="280" w:type="dxa"/>
            <w:vAlign w:val="bottom"/>
            <w:shd w:val="clear" w:color="auto" w:fill="000000"/>
          </w:tcPr>
          <w:p>
            <w:pPr>
              <w:spacing w:after="0"/>
              <w:rPr>
                <w:sz w:val="17"/>
                <w:szCs w:val="17"/>
                <w:color w:val="auto"/>
              </w:rPr>
            </w:pPr>
          </w:p>
        </w:tc>
        <w:tc>
          <w:tcPr>
            <w:tcW w:w="7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69"/>
        </w:trPr>
        <w:tc>
          <w:tcPr>
            <w:tcW w:w="2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shd w:val="clear" w:color="auto" w:fill="000000"/>
          </w:tcPr>
          <w:p>
            <w:pPr>
              <w:spacing w:after="0"/>
              <w:rPr>
                <w:sz w:val="6"/>
                <w:szCs w:val="6"/>
                <w:color w:val="auto"/>
              </w:rPr>
            </w:pPr>
          </w:p>
        </w:tc>
        <w:tc>
          <w:tcPr>
            <w:tcW w:w="740" w:type="dxa"/>
            <w:vAlign w:val="bottom"/>
            <w:tcBorders>
              <w:bottom w:val="single" w:sz="8" w:color="auto"/>
            </w:tcBorders>
            <w:shd w:val="clear" w:color="auto" w:fill="000000"/>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r>
        <w:trPr>
          <w:trHeight w:val="291"/>
        </w:trPr>
        <w:tc>
          <w:tcPr>
            <w:tcW w:w="2140" w:type="dxa"/>
            <w:vAlign w:val="bottom"/>
          </w:tcPr>
          <w:p>
            <w:pPr>
              <w:spacing w:after="0"/>
              <w:rPr>
                <w:sz w:val="20"/>
                <w:szCs w:val="20"/>
                <w:color w:val="auto"/>
              </w:rPr>
            </w:pPr>
            <w:r>
              <w:rPr>
                <w:rFonts w:ascii="Arial" w:cs="Arial" w:eastAsia="Arial" w:hAnsi="Arial"/>
                <w:sz w:val="13"/>
                <w:szCs w:val="13"/>
                <w:color w:val="auto"/>
              </w:rPr>
              <w:t>Diluted Income (Loss)</w:t>
            </w:r>
          </w:p>
        </w:tc>
        <w:tc>
          <w:tcPr>
            <w:tcW w:w="280" w:type="dxa"/>
            <w:vAlign w:val="bottom"/>
            <w:shd w:val="clear" w:color="auto" w:fill="000000"/>
          </w:tcPr>
          <w:p>
            <w:pPr>
              <w:jc w:val="right"/>
              <w:ind w:right="15"/>
              <w:spacing w:after="0"/>
              <w:rPr>
                <w:sz w:val="20"/>
                <w:szCs w:val="20"/>
                <w:color w:val="auto"/>
              </w:rPr>
            </w:pPr>
            <w:r>
              <w:rPr>
                <w:rFonts w:ascii="Arial" w:cs="Arial" w:eastAsia="Arial" w:hAnsi="Arial"/>
                <w:sz w:val="13"/>
                <w:szCs w:val="13"/>
                <w:color w:val="FFFFFF"/>
              </w:rPr>
              <w:t>$</w:t>
            </w:r>
          </w:p>
        </w:tc>
        <w:tc>
          <w:tcPr>
            <w:tcW w:w="740" w:type="dxa"/>
            <w:vAlign w:val="bottom"/>
            <w:shd w:val="clear" w:color="auto" w:fill="000000"/>
          </w:tcPr>
          <w:p>
            <w:pPr>
              <w:jc w:val="right"/>
              <w:ind w:right="34"/>
              <w:spacing w:after="0"/>
              <w:rPr>
                <w:sz w:val="20"/>
                <w:szCs w:val="20"/>
                <w:color w:val="auto"/>
              </w:rPr>
            </w:pPr>
            <w:r>
              <w:rPr>
                <w:rFonts w:ascii="Arial" w:cs="Arial" w:eastAsia="Arial" w:hAnsi="Arial"/>
                <w:sz w:val="13"/>
                <w:szCs w:val="13"/>
                <w:color w:val="FFFFFF"/>
              </w:rPr>
              <w:t>0.70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(1.11)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(0.36)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6.95</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1.83</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Adjusted Diluted Income (Loss)</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0.74</w:t>
            </w:r>
          </w:p>
        </w:tc>
        <w:tc>
          <w:tcPr>
            <w:tcW w:w="2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(0.59)</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0.14</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6.59</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1.83</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Cash Dividends</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0.80</w:t>
            </w:r>
          </w:p>
        </w:tc>
        <w:tc>
          <w:tcPr>
            <w:tcW w:w="2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0.76</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0.68</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2.10</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0.78</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Book Value</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19.09</w:t>
            </w:r>
          </w:p>
        </w:tc>
        <w:tc>
          <w:tcPr>
            <w:tcW w:w="2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19.15</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20.92</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21.85</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16.67</w:t>
            </w:r>
          </w:p>
        </w:tc>
      </w:tr>
      <w:tr>
        <w:trPr>
          <w:trHeight w:val="246"/>
        </w:trPr>
        <w:tc>
          <w:tcPr>
            <w:tcW w:w="2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000000"/>
          </w:tcPr>
          <w:p>
            <w:pPr>
              <w:spacing w:after="0"/>
              <w:rPr>
                <w:sz w:val="21"/>
                <w:szCs w:val="21"/>
                <w:color w:val="auto"/>
              </w:rPr>
            </w:pPr>
          </w:p>
        </w:tc>
        <w:tc>
          <w:tcPr>
            <w:tcW w:w="740" w:type="dxa"/>
            <w:vAlign w:val="bottom"/>
            <w:tcBorders>
              <w:bottom w:val="single" w:sz="8" w:color="auto"/>
            </w:tcBorders>
            <w:shd w:val="clear" w:color="auto" w:fill="000000"/>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3"/>
                <w:szCs w:val="13"/>
                <w:color w:val="auto"/>
              </w:rPr>
              <w:t>BALANCE SHEET DATA</w:t>
            </w:r>
          </w:p>
        </w:tc>
        <w:tc>
          <w:tcPr>
            <w:tcW w:w="280" w:type="dxa"/>
            <w:vAlign w:val="bottom"/>
            <w:shd w:val="clear" w:color="auto" w:fill="000000"/>
          </w:tcPr>
          <w:p>
            <w:pPr>
              <w:spacing w:after="0"/>
              <w:rPr>
                <w:sz w:val="17"/>
                <w:szCs w:val="17"/>
                <w:color w:val="auto"/>
              </w:rPr>
            </w:pPr>
          </w:p>
        </w:tc>
        <w:tc>
          <w:tcPr>
            <w:tcW w:w="7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69"/>
        </w:trPr>
        <w:tc>
          <w:tcPr>
            <w:tcW w:w="2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shd w:val="clear" w:color="auto" w:fill="000000"/>
          </w:tcPr>
          <w:p>
            <w:pPr>
              <w:spacing w:after="0"/>
              <w:rPr>
                <w:sz w:val="6"/>
                <w:szCs w:val="6"/>
                <w:color w:val="auto"/>
              </w:rPr>
            </w:pPr>
          </w:p>
        </w:tc>
        <w:tc>
          <w:tcPr>
            <w:tcW w:w="740" w:type="dxa"/>
            <w:vAlign w:val="bottom"/>
            <w:tcBorders>
              <w:bottom w:val="single" w:sz="8" w:color="auto"/>
            </w:tcBorders>
            <w:shd w:val="clear" w:color="auto" w:fill="000000"/>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r>
        <w:trPr>
          <w:trHeight w:val="259"/>
        </w:trPr>
        <w:tc>
          <w:tcPr>
            <w:tcW w:w="214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280" w:type="dxa"/>
            <w:vAlign w:val="bottom"/>
            <w:shd w:val="clear" w:color="auto" w:fill="000000"/>
          </w:tcPr>
          <w:p>
            <w:pPr>
              <w:jc w:val="right"/>
              <w:ind w:right="15"/>
              <w:spacing w:after="0"/>
              <w:rPr>
                <w:sz w:val="20"/>
                <w:szCs w:val="20"/>
                <w:color w:val="auto"/>
              </w:rPr>
            </w:pPr>
            <w:r>
              <w:rPr>
                <w:rFonts w:ascii="Arial" w:cs="Arial" w:eastAsia="Arial" w:hAnsi="Arial"/>
                <w:sz w:val="13"/>
                <w:szCs w:val="13"/>
                <w:color w:val="FFFFFF"/>
              </w:rPr>
              <w:t>$</w:t>
            </w: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41,277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39,551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52,407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61,625</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34,374</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Investments</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17,963</w:t>
            </w:r>
          </w:p>
        </w:tc>
        <w:tc>
          <w:tcPr>
            <w:tcW w:w="2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20,360</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17,775</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17,715</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17,715</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Total Assets</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323,819</w:t>
            </w:r>
          </w:p>
        </w:tc>
        <w:tc>
          <w:tcPr>
            <w:tcW w:w="2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342,165</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370,424</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406,273</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421,660</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Long-Term Debt</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w:t>
            </w:r>
          </w:p>
        </w:tc>
        <w:tc>
          <w:tcPr>
            <w:tcW w:w="2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33"/>
        </w:trPr>
        <w:tc>
          <w:tcPr>
            <w:tcW w:w="2140" w:type="dxa"/>
            <w:vAlign w:val="bottom"/>
          </w:tcPr>
          <w:p>
            <w:pPr>
              <w:spacing w:after="0"/>
              <w:rPr>
                <w:sz w:val="20"/>
                <w:szCs w:val="20"/>
                <w:color w:val="auto"/>
              </w:rPr>
            </w:pPr>
            <w:r>
              <w:rPr>
                <w:rFonts w:ascii="Arial" w:cs="Arial" w:eastAsia="Arial" w:hAnsi="Arial"/>
                <w:sz w:val="13"/>
                <w:szCs w:val="13"/>
                <w:color w:val="auto"/>
              </w:rPr>
              <w:t>Stockholders’ Equity</w:t>
            </w:r>
          </w:p>
        </w:tc>
        <w:tc>
          <w:tcPr>
            <w:tcW w:w="280" w:type="dxa"/>
            <w:vAlign w:val="bottom"/>
            <w:shd w:val="clear" w:color="auto" w:fill="000000"/>
          </w:tcPr>
          <w:p>
            <w:pPr>
              <w:spacing w:after="0"/>
              <w:rPr>
                <w:sz w:val="20"/>
                <w:szCs w:val="20"/>
                <w:color w:val="auto"/>
              </w:rPr>
            </w:pPr>
          </w:p>
        </w:tc>
        <w:tc>
          <w:tcPr>
            <w:tcW w:w="740" w:type="dxa"/>
            <w:vAlign w:val="bottom"/>
            <w:shd w:val="clear" w:color="auto" w:fill="000000"/>
          </w:tcPr>
          <w:p>
            <w:pPr>
              <w:jc w:val="right"/>
              <w:ind w:right="74"/>
              <w:spacing w:after="0"/>
              <w:rPr>
                <w:sz w:val="20"/>
                <w:szCs w:val="20"/>
                <w:color w:val="auto"/>
              </w:rPr>
            </w:pPr>
            <w:r>
              <w:rPr>
                <w:rFonts w:ascii="Arial" w:cs="Arial" w:eastAsia="Arial" w:hAnsi="Arial"/>
                <w:sz w:val="13"/>
                <w:szCs w:val="13"/>
                <w:color w:val="FFFFFF"/>
              </w:rPr>
              <w:t>165,107</w:t>
            </w:r>
          </w:p>
        </w:tc>
        <w:tc>
          <w:tcPr>
            <w:tcW w:w="22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167,327</w:t>
            </w:r>
          </w:p>
        </w:tc>
        <w:tc>
          <w:tcPr>
            <w:tcW w:w="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183,441</w:t>
            </w:r>
          </w:p>
        </w:tc>
        <w:tc>
          <w:tcPr>
            <w:tcW w:w="2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195,609</w:t>
            </w:r>
          </w:p>
        </w:tc>
        <w:tc>
          <w:tcPr>
            <w:tcW w:w="24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162,732</w:t>
            </w:r>
          </w:p>
        </w:tc>
      </w:tr>
      <w:tr>
        <w:trPr>
          <w:trHeight w:val="74"/>
        </w:trPr>
        <w:tc>
          <w:tcPr>
            <w:tcW w:w="2140" w:type="dxa"/>
            <w:vAlign w:val="bottom"/>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5901055</wp:posOffset>
                </wp:positionH>
                <wp:positionV relativeFrom="paragraph">
                  <wp:posOffset>-1977390</wp:posOffset>
                </wp:positionV>
                <wp:extent cx="38481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810" cy="4763"/>
                        </a:xfrm>
                        <a:prstGeom prst="line">
                          <a:avLst/>
                        </a:prstGeom>
                        <a:solidFill>
                          <a:srgbClr val="FFFFFF"/>
                        </a:solidFill>
                        <a:ln w="4114">
                          <a:solidFill>
                            <a:srgbClr val="FFFFFF"/>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65pt,-155.6999pt" to="494.95pt,-155.6999pt" o:allowincell="f" strokecolor="#FFFFFF" strokeweight="0.3239pt"/>
            </w:pict>
          </mc:Fallback>
        </mc:AlternateContent>
        <mc:AlternateContent>
          <mc:Choice Requires="wps">
            <w:drawing>
              <wp:anchor simplePos="0" relativeHeight="251657728" behindDoc="1" locked="0" layoutInCell="0" allowOverlap="1">
                <wp:simplePos x="0" y="0"/>
                <wp:positionH relativeFrom="column">
                  <wp:posOffset>5901055</wp:posOffset>
                </wp:positionH>
                <wp:positionV relativeFrom="paragraph">
                  <wp:posOffset>-3039745</wp:posOffset>
                </wp:positionV>
                <wp:extent cx="3848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810" cy="4763"/>
                        </a:xfrm>
                        <a:prstGeom prst="line">
                          <a:avLst/>
                        </a:prstGeom>
                        <a:solidFill>
                          <a:srgbClr val="FFFFFF"/>
                        </a:solidFill>
                        <a:ln w="4114">
                          <a:solidFill>
                            <a:srgbClr val="FFFFFF"/>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65pt,-239.3499pt" to="494.95pt,-239.3499pt" o:allowincell="f" strokecolor="#FFFFFF" strokeweight="0.3239pt"/>
            </w:pict>
          </mc:Fallback>
        </mc:AlternateContent>
        <mc:AlternateContent>
          <mc:Choice Requires="wps">
            <w:drawing>
              <wp:anchor simplePos="0" relativeHeight="251657728" behindDoc="1" locked="0" layoutInCell="0" allowOverlap="1">
                <wp:simplePos x="0" y="0"/>
                <wp:positionH relativeFrom="column">
                  <wp:posOffset>5901055</wp:posOffset>
                </wp:positionH>
                <wp:positionV relativeFrom="paragraph">
                  <wp:posOffset>-2856230</wp:posOffset>
                </wp:positionV>
                <wp:extent cx="38481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810" cy="4763"/>
                        </a:xfrm>
                        <a:prstGeom prst="line">
                          <a:avLst/>
                        </a:prstGeom>
                        <a:solidFill>
                          <a:srgbClr val="FFFFFF"/>
                        </a:solidFill>
                        <a:ln w="4114">
                          <a:solidFill>
                            <a:srgbClr val="FFFFF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65pt,-224.8999pt" to="494.95pt,-224.8999pt" o:allowincell="f" strokecolor="#FFFFFF" strokeweight="0.3239pt"/>
            </w:pict>
          </mc:Fallback>
        </mc:AlternateContent>
        <mc:AlternateContent>
          <mc:Choice Requires="wps">
            <w:drawing>
              <wp:anchor simplePos="0" relativeHeight="251657728" behindDoc="1" locked="0" layoutInCell="0" allowOverlap="1">
                <wp:simplePos x="0" y="0"/>
                <wp:positionH relativeFrom="column">
                  <wp:posOffset>5901055</wp:posOffset>
                </wp:positionH>
                <wp:positionV relativeFrom="paragraph">
                  <wp:posOffset>-1790065</wp:posOffset>
                </wp:positionV>
                <wp:extent cx="38481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810" cy="4763"/>
                        </a:xfrm>
                        <a:prstGeom prst="line">
                          <a:avLst/>
                        </a:prstGeom>
                        <a:solidFill>
                          <a:srgbClr val="FFFFFF"/>
                        </a:solidFill>
                        <a:ln w="4114">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65pt,-140.9499pt" to="494.95pt,-140.9499pt" o:allowincell="f" strokecolor="#FFFFFF" strokeweight="0.3239pt"/>
            </w:pict>
          </mc:Fallback>
        </mc:AlternateContent>
        <mc:AlternateContent>
          <mc:Choice Requires="wps">
            <w:drawing>
              <wp:anchor simplePos="0" relativeHeight="251657728" behindDoc="1" locked="0" layoutInCell="0" allowOverlap="1">
                <wp:simplePos x="0" y="0"/>
                <wp:positionH relativeFrom="column">
                  <wp:posOffset>5901055</wp:posOffset>
                </wp:positionH>
                <wp:positionV relativeFrom="paragraph">
                  <wp:posOffset>-1000760</wp:posOffset>
                </wp:positionV>
                <wp:extent cx="38481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810" cy="4763"/>
                        </a:xfrm>
                        <a:prstGeom prst="line">
                          <a:avLst/>
                        </a:prstGeom>
                        <a:solidFill>
                          <a:srgbClr val="FFFFFF"/>
                        </a:solidFill>
                        <a:ln w="4114">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65pt,-78.7999pt" to="494.95pt,-78.7999pt" o:allowincell="f" strokecolor="#FFFFFF" strokeweight="0.3239pt"/>
            </w:pict>
          </mc:Fallback>
        </mc:AlternateContent>
        <mc:AlternateContent>
          <mc:Choice Requires="wps">
            <w:drawing>
              <wp:anchor simplePos="0" relativeHeight="251657728" behindDoc="1" locked="0" layoutInCell="0" allowOverlap="1">
                <wp:simplePos x="0" y="0"/>
                <wp:positionH relativeFrom="column">
                  <wp:posOffset>5901055</wp:posOffset>
                </wp:positionH>
                <wp:positionV relativeFrom="paragraph">
                  <wp:posOffset>-805180</wp:posOffset>
                </wp:positionV>
                <wp:extent cx="38481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810" cy="4763"/>
                        </a:xfrm>
                        <a:prstGeom prst="line">
                          <a:avLst/>
                        </a:prstGeom>
                        <a:solidFill>
                          <a:srgbClr val="FFFFFF"/>
                        </a:solidFill>
                        <a:ln w="4114">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65pt,-63.3999pt" to="494.95pt,-63.3999pt" o:allowincell="f" strokecolor="#FFFFFF" strokeweight="0.3239pt"/>
            </w:pict>
          </mc:Fallback>
        </mc:AlternateContent>
      </w:r>
    </w:p>
    <w:p>
      <w:pPr>
        <w:sectPr>
          <w:pgSz w:w="15840" w:h="12240" w:orient="landscape"/>
          <w:cols w:equalWidth="0" w:num="1">
            <w:col w:w="13940"/>
          </w:cols>
          <w:pgMar w:left="1440" w:top="1440" w:right="46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 Our Shareholders</w:t>
      </w:r>
    </w:p>
    <w:p>
      <w:pPr>
        <w:spacing w:after="0" w:line="292" w:lineRule="exact"/>
        <w:rPr>
          <w:sz w:val="20"/>
          <w:szCs w:val="20"/>
          <w:color w:val="auto"/>
        </w:rPr>
      </w:pPr>
    </w:p>
    <w:p>
      <w:pPr>
        <w:jc w:val="both"/>
        <w:ind w:left="420" w:right="3000"/>
        <w:spacing w:after="0" w:line="412" w:lineRule="auto"/>
        <w:rPr>
          <w:sz w:val="20"/>
          <w:szCs w:val="20"/>
          <w:color w:val="auto"/>
        </w:rPr>
      </w:pPr>
      <w:r>
        <w:rPr>
          <w:rFonts w:ascii="Arial" w:cs="Arial" w:eastAsia="Arial" w:hAnsi="Arial"/>
          <w:sz w:val="12"/>
          <w:szCs w:val="12"/>
          <w:color w:val="auto"/>
        </w:rPr>
        <w:t>In 2025, we navigated a complicated economic environment. The housing market languished at historically low levels. Tariffs impacted supply chains. U.S. consumer sentiment indexes fell. We adapted to operational changes. Yet, despite the headwinds, the Bassett team was resilient. We posted markedly improved results in 2025 and we remain committed to continuing on that trajectory at the start of a new business year.</w:t>
      </w:r>
    </w:p>
    <w:p>
      <w:pPr>
        <w:spacing w:after="0" w:line="209" w:lineRule="exact"/>
        <w:rPr>
          <w:sz w:val="20"/>
          <w:szCs w:val="20"/>
          <w:color w:val="auto"/>
        </w:rPr>
      </w:pPr>
    </w:p>
    <w:p>
      <w:pPr>
        <w:jc w:val="both"/>
        <w:ind w:left="420" w:right="3000"/>
        <w:spacing w:after="0" w:line="411" w:lineRule="auto"/>
        <w:rPr>
          <w:sz w:val="20"/>
          <w:szCs w:val="20"/>
          <w:color w:val="auto"/>
        </w:rPr>
      </w:pPr>
      <w:r>
        <w:rPr>
          <w:rFonts w:ascii="Arial" w:cs="Arial" w:eastAsia="Arial" w:hAnsi="Arial"/>
          <w:sz w:val="12"/>
          <w:szCs w:val="12"/>
          <w:color w:val="auto"/>
        </w:rPr>
        <w:t>Net sales of $335.3 million represented a 1.6% gain versus last year and a 3.2% increase on continuing operations. Normalizing for 52 weeks in fiscal 2025 as compared to 53 weeks in fiscal 2024, sales increased 5.1%. We delivered operating profit of $7.8 million compared to last year’s loss of ($16.3) million, and $8.3 million of operating profit contrasted favorably to a 2024 loss of ($8.1) million on an adjusted basis. Net income of $6.1 million in 2025 marked a return to after-tax profitability.</w:t>
      </w:r>
    </w:p>
    <w:p>
      <w:pPr>
        <w:spacing w:after="0" w:line="210" w:lineRule="exact"/>
        <w:rPr>
          <w:sz w:val="20"/>
          <w:szCs w:val="20"/>
          <w:color w:val="auto"/>
        </w:rPr>
      </w:pPr>
    </w:p>
    <w:p>
      <w:pPr>
        <w:jc w:val="both"/>
        <w:ind w:left="420" w:right="3000"/>
        <w:spacing w:after="0" w:line="409" w:lineRule="auto"/>
        <w:rPr>
          <w:sz w:val="20"/>
          <w:szCs w:val="20"/>
          <w:color w:val="auto"/>
        </w:rPr>
      </w:pPr>
      <w:r>
        <w:rPr>
          <w:rFonts w:ascii="Arial" w:cs="Arial" w:eastAsia="Arial" w:hAnsi="Arial"/>
          <w:sz w:val="12"/>
          <w:szCs w:val="12"/>
          <w:color w:val="auto"/>
        </w:rPr>
        <w:t>Bassett is 125 years old and our brand is recognized for its quality. To continue to survive and be successful, we must be flexible, be open to change and shift with consumers’ needs and tastes. Last year at this time, we noted that our 2024 restructuring plan was mostly complete. Running a leaner, smarter business remains fundamental in today’s competitive environment. So we’re still at it – taking costs out, driving operating efficiencies, integrating technology, emphasizing new product innovation, and adapting to a changing marketplace. We handled the disruption of reciprocal tariffs well and, for the time being at least, have adjusted our sourcing strategies to fit the latest pronouncements. We are hopeful to see some stability in this regard going forward.</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420"/>
        <w:spacing w:after="0" w:line="414" w:lineRule="auto"/>
        <w:rPr>
          <w:sz w:val="20"/>
          <w:szCs w:val="20"/>
          <w:color w:val="auto"/>
        </w:rPr>
      </w:pPr>
      <w:r>
        <w:rPr>
          <w:rFonts w:ascii="Arial" w:cs="Arial" w:eastAsia="Arial" w:hAnsi="Arial"/>
          <w:sz w:val="12"/>
          <w:szCs w:val="12"/>
          <w:color w:val="auto"/>
        </w:rPr>
        <w:t>Led by the success of our Copenhagen collection, we reinvigorated Bassett Casegoods in 2025. We added two new whole home collections to the mix, strategically incorporated new materials into our accent furniture, and recommitted to the home office category with our new HomeWork product range. We introduced our US-made HideAway solid wood dining collection; an array of new tables, chairs, and finishes. The best-selling HideAway table has quickly become our #1 dining table in terms of unit sales.</w:t>
      </w:r>
    </w:p>
    <w:p>
      <w:pPr>
        <w:spacing w:after="0" w:line="200" w:lineRule="exact"/>
        <w:rPr>
          <w:sz w:val="20"/>
          <w:szCs w:val="20"/>
          <w:color w:val="auto"/>
        </w:rPr>
      </w:pPr>
    </w:p>
    <w:p>
      <w:pPr>
        <w:spacing w:after="0" w:line="230" w:lineRule="exact"/>
        <w:rPr>
          <w:sz w:val="20"/>
          <w:szCs w:val="20"/>
          <w:color w:val="auto"/>
        </w:rPr>
      </w:pPr>
    </w:p>
    <w:p>
      <w:pPr>
        <w:jc w:val="both"/>
        <w:ind w:right="420"/>
        <w:spacing w:after="0" w:line="409" w:lineRule="auto"/>
        <w:rPr>
          <w:sz w:val="20"/>
          <w:szCs w:val="20"/>
          <w:color w:val="auto"/>
        </w:rPr>
      </w:pPr>
      <w:r>
        <w:rPr>
          <w:rFonts w:ascii="Arial" w:cs="Arial" w:eastAsia="Arial" w:hAnsi="Arial"/>
          <w:sz w:val="12"/>
          <w:szCs w:val="12"/>
          <w:color w:val="auto"/>
        </w:rPr>
        <w:t>We had a nice year in True Custom and Magnificent Motion, with both of these highly customizable upholstery programs posting year-over-year growth. Our assortment of 52 Italian leathers is becoming a larger factor in almost all of our upholstery categories – custom, motion, recliners and accent chairs. New additions to our Club Level motion program in 2025 retailed well. Based on the reception to our new styles at the High Point Furniture Market in October, Club Level motion is poised for further growth in 2026. And we are excited about the innovation behind our Z4 sleeper program featuring European hardware that makes for easy-opening and produces an industry oxymoron – a truly comfortable sleeper sofa.</w:t>
      </w:r>
    </w:p>
    <w:p>
      <w:pPr>
        <w:spacing w:after="0" w:line="211" w:lineRule="exact"/>
        <w:rPr>
          <w:sz w:val="20"/>
          <w:szCs w:val="20"/>
          <w:color w:val="auto"/>
        </w:rPr>
      </w:pPr>
    </w:p>
    <w:p>
      <w:pPr>
        <w:jc w:val="both"/>
        <w:ind w:right="420"/>
        <w:spacing w:after="0" w:line="411" w:lineRule="auto"/>
        <w:rPr>
          <w:sz w:val="20"/>
          <w:szCs w:val="20"/>
          <w:color w:val="auto"/>
        </w:rPr>
      </w:pPr>
      <w:r>
        <w:rPr>
          <w:rFonts w:ascii="Arial" w:cs="Arial" w:eastAsia="Arial" w:hAnsi="Arial"/>
          <w:sz w:val="12"/>
          <w:szCs w:val="12"/>
          <w:color w:val="auto"/>
        </w:rPr>
        <w:t>Retail revenue grew by 8.0% as adjusted for one less week in the fiscal calendar as compared to 2024. The combination of our innovative lines and our design services set us apart in the market. We consistently receive an outpouring of favorable feedback from customers about our designers in our post-purchase surveys. Our training and communication programs coupled with our hallmark of superior service provide the foundation for taking good care of our customers. Our merchandising team spent two</w:t>
      </w:r>
    </w:p>
    <w:p>
      <w:pPr>
        <w:spacing w:after="0" w:line="48" w:lineRule="exact"/>
        <w:rPr>
          <w:sz w:val="20"/>
          <w:szCs w:val="20"/>
          <w:color w:val="auto"/>
        </w:rPr>
      </w:pPr>
    </w:p>
    <w:p>
      <w:pPr>
        <w:ind w:left="3580"/>
        <w:spacing w:after="0"/>
        <w:rPr>
          <w:sz w:val="20"/>
          <w:szCs w:val="20"/>
          <w:color w:val="auto"/>
        </w:rPr>
      </w:pPr>
      <w:r>
        <w:rPr>
          <w:rFonts w:ascii="Arial" w:cs="Arial" w:eastAsia="Arial" w:hAnsi="Arial"/>
          <w:sz w:val="12"/>
          <w:szCs w:val="12"/>
          <w:i w:val="1"/>
          <w:iCs w:val="1"/>
          <w:color w:val="auto"/>
        </w:rPr>
        <w:t>(continued)</w:t>
      </w:r>
    </w:p>
    <w:p>
      <w:pPr>
        <w:sectPr>
          <w:pgSz w:w="15840" w:h="12240" w:orient="landscape"/>
          <w:cols w:equalWidth="0" w:num="2">
            <w:col w:w="7620" w:space="720"/>
            <w:col w:w="4620"/>
          </w:cols>
          <w:pgMar w:left="1440" w:top="1440"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420" w:right="2960"/>
        <w:spacing w:after="0" w:line="424" w:lineRule="auto"/>
        <w:rPr>
          <w:sz w:val="20"/>
          <w:szCs w:val="20"/>
          <w:color w:val="auto"/>
        </w:rPr>
      </w:pPr>
      <w:r>
        <w:rPr>
          <w:rFonts w:ascii="Arial" w:cs="Arial" w:eastAsia="Arial" w:hAnsi="Arial"/>
          <w:sz w:val="12"/>
          <w:szCs w:val="12"/>
          <w:color w:val="auto"/>
        </w:rPr>
        <w:t>years implementing a new visual scheme across the fleet and the stores look better than ever. We will add two new locations in 2026 and relocate one existing store.</w:t>
      </w:r>
    </w:p>
    <w:p>
      <w:pPr>
        <w:spacing w:after="0" w:line="200" w:lineRule="exact"/>
        <w:rPr>
          <w:sz w:val="20"/>
          <w:szCs w:val="20"/>
          <w:color w:val="auto"/>
        </w:rPr>
      </w:pPr>
    </w:p>
    <w:p>
      <w:pPr>
        <w:jc w:val="both"/>
        <w:ind w:left="420" w:right="2960"/>
        <w:spacing w:after="0" w:line="416" w:lineRule="auto"/>
        <w:rPr>
          <w:sz w:val="20"/>
          <w:szCs w:val="20"/>
          <w:color w:val="auto"/>
        </w:rPr>
      </w:pPr>
      <w:r>
        <w:rPr>
          <w:rFonts w:ascii="Arial" w:cs="Arial" w:eastAsia="Arial" w:hAnsi="Arial"/>
          <w:sz w:val="12"/>
          <w:szCs w:val="12"/>
          <w:color w:val="auto"/>
        </w:rPr>
        <w:t>AI is changing the world, and we’ve been evaluating how AI can be leveraged in several areas within Bassett. We already implemented it – into our sales and business intelligence platform. Our product designers are using AI in creating new products. Our team continues to enhance the consumer–facing e-commerce site through improvements in navigational logic. Increased rates of conversion drove e-commerce sales up 27% in 2025.</w:t>
      </w:r>
    </w:p>
    <w:p>
      <w:pPr>
        <w:spacing w:after="0" w:line="200" w:lineRule="exact"/>
        <w:rPr>
          <w:sz w:val="20"/>
          <w:szCs w:val="20"/>
          <w:color w:val="auto"/>
        </w:rPr>
      </w:pPr>
    </w:p>
    <w:p>
      <w:pPr>
        <w:spacing w:after="0" w:line="229" w:lineRule="exact"/>
        <w:rPr>
          <w:sz w:val="20"/>
          <w:szCs w:val="20"/>
          <w:color w:val="auto"/>
        </w:rPr>
      </w:pPr>
    </w:p>
    <w:p>
      <w:pPr>
        <w:jc w:val="both"/>
        <w:ind w:left="420" w:right="2960"/>
        <w:spacing w:after="0" w:line="414" w:lineRule="auto"/>
        <w:rPr>
          <w:sz w:val="20"/>
          <w:szCs w:val="20"/>
          <w:color w:val="auto"/>
        </w:rPr>
      </w:pPr>
      <w:r>
        <w:rPr>
          <w:rFonts w:ascii="Arial" w:cs="Arial" w:eastAsia="Arial" w:hAnsi="Arial"/>
          <w:sz w:val="12"/>
          <w:szCs w:val="12"/>
          <w:color w:val="auto"/>
        </w:rPr>
        <w:t>Wholesale sales in the competitive market outside of the store network remain crucial to our ongoing strategy. The nationwide generational trend of the retirement of independent furniture store operators has picked up steam in recent years and contributed to the decline in this channel last year. The lifeblood of our open market strategy is our dedicated distribution concepts – The Bassett Design Center (BDC) and The Bassett Custom Studio (BCS). We were excited to sign five new BDC and twenty new BCS partners in 2025.</w:t>
      </w:r>
    </w:p>
    <w:p>
      <w:pPr>
        <w:spacing w:after="0" w:line="200" w:lineRule="exact"/>
        <w:rPr>
          <w:sz w:val="20"/>
          <w:szCs w:val="20"/>
          <w:color w:val="auto"/>
        </w:rPr>
      </w:pPr>
    </w:p>
    <w:p>
      <w:pPr>
        <w:spacing w:after="0" w:line="230" w:lineRule="exact"/>
        <w:rPr>
          <w:sz w:val="20"/>
          <w:szCs w:val="20"/>
          <w:color w:val="auto"/>
        </w:rPr>
      </w:pPr>
    </w:p>
    <w:p>
      <w:pPr>
        <w:jc w:val="both"/>
        <w:ind w:left="420" w:right="2960"/>
        <w:spacing w:after="0" w:line="414" w:lineRule="auto"/>
        <w:rPr>
          <w:sz w:val="20"/>
          <w:szCs w:val="20"/>
          <w:color w:val="auto"/>
        </w:rPr>
      </w:pPr>
      <w:r>
        <w:rPr>
          <w:rFonts w:ascii="Arial" w:cs="Arial" w:eastAsia="Arial" w:hAnsi="Arial"/>
          <w:sz w:val="12"/>
          <w:szCs w:val="12"/>
          <w:color w:val="auto"/>
        </w:rPr>
        <w:t>Another important element of our strategy is our accelerating pursuit of America’s robust interior design channel. We have implemented new programs to address the needs of the design trade and this is a priority in 2026. In a similar vein, we have started a new division, Bassett Hospitality, to enhance sales we’ve been building in the boutique hotel, country club and senior living sales channels. Under experienced leadership, we are building a portfolio of “table stakes” assets to address this business properly.</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460"/>
        <w:spacing w:after="0" w:line="410" w:lineRule="auto"/>
        <w:rPr>
          <w:sz w:val="20"/>
          <w:szCs w:val="20"/>
          <w:color w:val="auto"/>
        </w:rPr>
      </w:pPr>
      <w:r>
        <w:rPr>
          <w:rFonts w:ascii="Arial" w:cs="Arial" w:eastAsia="Arial" w:hAnsi="Arial"/>
          <w:sz w:val="12"/>
          <w:szCs w:val="12"/>
          <w:color w:val="auto"/>
        </w:rPr>
        <w:t>We have now been in the outdoor furniture business for eight years with the ownership of our Lane Venture division. After careful analysis, we have made the decision to fold our Bassett Outdoor stand-alone product line into Lane Venture. This will eliminate the need for a separate product and fabric inventory and focus all of our attention towards the further growth and success of the Lane Venture division, which will appear in Bassett stores in February. The combination of domestic upholstery capabilities, our global materials sourcing footprint, and our domestically produced powder-coated aluminum outdoor products give us tremendous breadth under the umbrella of one of the outdoor industry’s best known brands – Lane Venture.</w:t>
      </w:r>
    </w:p>
    <w:p>
      <w:pPr>
        <w:spacing w:after="0" w:line="200" w:lineRule="exact"/>
        <w:rPr>
          <w:sz w:val="20"/>
          <w:szCs w:val="20"/>
          <w:color w:val="auto"/>
        </w:rPr>
      </w:pPr>
    </w:p>
    <w:p>
      <w:pPr>
        <w:spacing w:after="0" w:line="238" w:lineRule="exact"/>
        <w:rPr>
          <w:sz w:val="20"/>
          <w:szCs w:val="20"/>
          <w:color w:val="auto"/>
        </w:rPr>
      </w:pPr>
    </w:p>
    <w:p>
      <w:pPr>
        <w:jc w:val="both"/>
        <w:ind w:right="460"/>
        <w:spacing w:after="0" w:line="409" w:lineRule="auto"/>
        <w:rPr>
          <w:sz w:val="20"/>
          <w:szCs w:val="20"/>
          <w:color w:val="auto"/>
        </w:rPr>
      </w:pPr>
      <w:r>
        <w:rPr>
          <w:rFonts w:ascii="Arial" w:cs="Arial" w:eastAsia="Arial" w:hAnsi="Arial"/>
          <w:sz w:val="12"/>
          <w:szCs w:val="12"/>
          <w:color w:val="auto"/>
        </w:rPr>
        <w:t>We made meaningful progress in 2025 on positioning Bassett to weather a marketplace where discretionary demand has moderated. We provided appropriate stewardship of the balance sheet, generating free cash flow in a tough business climate. Innovation, change and operating discipline remain critical in our thinking. We have crafted a well-defined strategic plan to grow and take market share in 2026, in this environment where housing activity remains slow. We will also accomplish this objective with a smaller dedicated team. After reducing headcount by 11% early in 2025, we ended the year with another 4% fewer associates. Importantly, we have added new talent over the past few years to drive improved performance and to continue our transformation.</w:t>
      </w:r>
    </w:p>
    <w:p>
      <w:pPr>
        <w:spacing w:after="0" w:line="209" w:lineRule="exact"/>
        <w:rPr>
          <w:sz w:val="20"/>
          <w:szCs w:val="20"/>
          <w:color w:val="auto"/>
        </w:rPr>
      </w:pPr>
    </w:p>
    <w:p>
      <w:pPr>
        <w:jc w:val="both"/>
        <w:ind w:right="460"/>
        <w:spacing w:after="0" w:line="443" w:lineRule="auto"/>
        <w:rPr>
          <w:sz w:val="20"/>
          <w:szCs w:val="20"/>
          <w:color w:val="auto"/>
        </w:rPr>
      </w:pPr>
      <w:r>
        <w:rPr>
          <w:rFonts w:ascii="Arial" w:cs="Arial" w:eastAsia="Arial" w:hAnsi="Arial"/>
          <w:sz w:val="12"/>
          <w:szCs w:val="12"/>
          <w:color w:val="auto"/>
        </w:rPr>
        <w:t>We appreciate the support of our associates, our customers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54610</wp:posOffset>
            </wp:positionV>
            <wp:extent cx="1371600" cy="364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1371600"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20"/>
        <w:spacing w:after="0"/>
        <w:rPr>
          <w:sz w:val="20"/>
          <w:szCs w:val="20"/>
          <w:color w:val="auto"/>
        </w:rPr>
      </w:pPr>
      <w:r>
        <w:rPr>
          <w:rFonts w:ascii="Arial" w:cs="Arial" w:eastAsia="Arial" w:hAnsi="Arial"/>
          <w:sz w:val="12"/>
          <w:szCs w:val="12"/>
          <w:color w:val="auto"/>
        </w:rPr>
        <w:t>Rob Spilman</w:t>
      </w:r>
    </w:p>
    <w:p>
      <w:pPr>
        <w:sectPr>
          <w:pgSz w:w="15840" w:h="12240" w:orient="landscape"/>
          <w:cols w:equalWidth="0" w:num="2">
            <w:col w:w="7580" w:space="720"/>
            <w:col w:w="4660"/>
          </w:cols>
          <w:pgMar w:left="1440" w:top="1440" w:right="1440" w:bottom="1440" w:gutter="0" w:footer="0" w:header="0"/>
        </w:sectPr>
      </w:pPr>
    </w:p>
    <w:bookmarkStart w:id="4" w:name="page5"/>
    <w:bookmarkEnd w:id="4"/>
    <w:p>
      <w:pPr>
        <w:ind w:right="228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w:t>
      </w:r>
      <w:r>
        <w:rPr>
          <w:rFonts w:ascii="Times New Roman" w:cs="Times New Roman" w:eastAsia="Times New Roman" w:hAnsi="Times New Roman"/>
          <w:sz w:val="13"/>
          <w:szCs w:val="13"/>
          <w:color w:val="auto"/>
        </w:rPr>
        <w:t>(Amounts in thousands except share and 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08"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Bassett is a leading retailer, manufacturer and marketer of branded home furnishings. We were founded in 1902 and incorporated under the laws of Virginia in 1930. Our rich 123-year history has instilled the principles of quality, value, and integrity in everything we do, while simultaneously providing us with the expertise to respond to ever-changing consumer tastes and meet the demands of a global economy.</w:t>
      </w:r>
    </w:p>
    <w:p>
      <w:pPr>
        <w:spacing w:after="0" w:line="76"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13"/>
          <w:szCs w:val="13"/>
          <w:color w:val="auto"/>
        </w:rPr>
        <w:t>Approximately 60% of our wholesale sales arise from our network of 86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79" w:lineRule="exact"/>
        <w:rPr>
          <w:sz w:val="20"/>
          <w:szCs w:val="20"/>
          <w:color w:val="auto"/>
        </w:rPr>
      </w:pPr>
    </w:p>
    <w:p>
      <w:pPr>
        <w:jc w:val="both"/>
        <w:ind w:right="760"/>
        <w:spacing w:after="0" w:line="245" w:lineRule="auto"/>
        <w:rPr>
          <w:sz w:val="20"/>
          <w:szCs w:val="20"/>
          <w:color w:val="auto"/>
        </w:rPr>
      </w:pPr>
      <w:r>
        <w:rPr>
          <w:rFonts w:ascii="Times New Roman" w:cs="Times New Roman" w:eastAsia="Times New Roman" w:hAnsi="Times New Roman"/>
          <w:sz w:val="13"/>
          <w:szCs w:val="13"/>
          <w:color w:val="auto"/>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a network of over 30 independent sales representatives who have stated geographical territories. These sales representatives are compensated based on a standard commission rate.</w:t>
      </w:r>
    </w:p>
    <w:p>
      <w:pPr>
        <w:spacing w:after="0" w:line="81" w:lineRule="exact"/>
        <w:rPr>
          <w:sz w:val="20"/>
          <w:szCs w:val="20"/>
          <w:color w:val="auto"/>
        </w:rPr>
      </w:pPr>
    </w:p>
    <w:p>
      <w:pPr>
        <w:jc w:val="both"/>
        <w:ind w:right="760"/>
        <w:spacing w:after="0" w:line="245" w:lineRule="auto"/>
        <w:rPr>
          <w:sz w:val="20"/>
          <w:szCs w:val="20"/>
          <w:color w:val="auto"/>
        </w:rPr>
      </w:pPr>
      <w:r>
        <w:rPr>
          <w:rFonts w:ascii="Times New Roman" w:cs="Times New Roman" w:eastAsia="Times New Roman" w:hAnsi="Times New Roman"/>
          <w:sz w:val="13"/>
          <w:szCs w:val="13"/>
          <w:color w:val="auto"/>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strategies have been the primary vehicle for brand advertising and customer acquisition. We began supplementing the digital outreach strategy with added direct mail and television late in 2024 and expect to continue with a balanced blend of both digital and traditional direct mail and television in 2026.</w:t>
      </w:r>
    </w:p>
    <w:p>
      <w:pPr>
        <w:spacing w:after="0" w:line="81"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13"/>
          <w:szCs w:val="13"/>
          <w:color w:val="auto"/>
        </w:rPr>
        <w:t>We introduced a new web platform late in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While traffic to the website decreased 8% during 2025, sales conversion rates increased 28% resulting in a 25% increase in total web sales. Although e-commerce sales continue to be small relative to in-store sales, we will continue to invest in ongoing improvements to the aesthetics and user experience on our website while not compromising on our in-store experience or the quality of our in-home makeover capabilities.</w:t>
      </w:r>
    </w:p>
    <w:p>
      <w:pPr>
        <w:spacing w:after="0" w:line="79"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2"/>
          <w:szCs w:val="12"/>
          <w:color w:val="auto"/>
        </w:rPr>
        <w:t>During the fourth quarter of fiscal 2022 we acquired Noa Home Inc. (“Noa Home”). A mid-priced e-commerce furniture retailer headquartered in Montreal, Canada, Noa Home had operations in Canada, Australia, Singapore and the United Kingdom. After nearly two years of operating losses, we concluded during the second quarter of 2024 that Noa Home was not likely to achieve profitability at any time in the foreseeable future and decided to cease operations by selling the inventory in an orderly fashion. As of the end of 2024, we had substantially completed the liquidation of Noa Home’s assets and liabilities. In the second quarter of 2024 we recognized non-cash charges totaling $2,401 related to the impairment of certain long-lived assets of Noa Home and the establishment of a reserve against Noa Home’s remaining inventory at that time. Upon substantially completing the liquidation of Noa Home at the end of the fourth quarter of 2024, we recognized a charge of $962 associated with the transfer of the cumulative translation losses out of accumulated other comprehensive income.</w:t>
      </w:r>
    </w:p>
    <w:p>
      <w:pPr>
        <w:spacing w:after="0" w:line="67"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We have factories in Newton, North Carolina that manufacture both stationary and motion upholstered furniture for inside the home along with our outdoor furniture offerings. We have a factory in Martinsville, Virginia that assembles and finishes our custom bedroom and dining offerings. We also have a facility in Haleyville, Alabama where we manufacture aluminum frames for our outdoor furniture.</w:t>
      </w:r>
    </w:p>
    <w:p>
      <w:pPr>
        <w:spacing w:after="0" w:line="77"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In addition to the furniture that we manufacture domestically, we source most of our formal bedroom and dining room furniture (casegoods) and certain leather upholstery offerings from several foreign plants, primarily in Vietnam. Over 75% of our wholesale revenues are derived from products that are manufactured in the United States using a mix of domestic and globally sourced components and raw materials.</w:t>
      </w:r>
    </w:p>
    <w:p>
      <w:pPr>
        <w:spacing w:after="0" w:line="39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ind w:right="80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Analysis of Continuing Operations</w:t>
      </w:r>
    </w:p>
    <w:p>
      <w:pPr>
        <w:spacing w:after="0" w:line="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following discussion provides an analysis of our results of operations and reasons for material changes therein for fiscal year 2025 as compared to fiscal year 2024. For additional analysis of the fiscal year 2024 results as compared to fiscal year 2023, see “Analysis of Continuing Operations” in Part II, Item 7, Management’s Discussion and Analysis of Financial Condition and Results of Operations in the Company’s 2024 Annual Report on Form 10-K, filed with the SEC on February 10, 2025.</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Net sales revenue, cost of furniture and accessories sold, selling, general and administrative (“SG&amp;A”) expense, other charges, and income from operations were as follows for the years ended November 29, 2025, November 30, 2024 and November 25, 2023:</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Comparative Change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right"/>
              <w:ind w:right="248"/>
              <w:spacing w:after="0"/>
              <w:rPr>
                <w:sz w:val="20"/>
                <w:szCs w:val="20"/>
                <w:color w:val="auto"/>
              </w:rPr>
            </w:pPr>
            <w:r>
              <w:rPr>
                <w:rFonts w:ascii="Times New Roman" w:cs="Times New Roman" w:eastAsia="Times New Roman" w:hAnsi="Times New Roman"/>
                <w:sz w:val="10"/>
                <w:szCs w:val="10"/>
                <w:b w:val="1"/>
                <w:bCs w:val="1"/>
                <w:color w:val="auto"/>
              </w:rPr>
              <w:t>2025 vs 2024</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2024 vs 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16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Net sales</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335,280</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100.0 %</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99"/>
              </w:rPr>
              <w:t>$ 329,923</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100.0 %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390,136</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100.0 %</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5,357</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1.6 %</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 (60,213 )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-15.4 %</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Cost of goods sold</w:t>
            </w:r>
          </w:p>
        </w:tc>
        <w:tc>
          <w:tcPr>
            <w:tcW w:w="60" w:type="dxa"/>
            <w:vAlign w:val="bottom"/>
          </w:tcPr>
          <w:p>
            <w:pPr>
              <w:spacing w:after="0"/>
              <w:rPr>
                <w:sz w:val="12"/>
                <w:szCs w:val="12"/>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146,598</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43.7 %</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150,508</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45.6 %</w:t>
            </w:r>
          </w:p>
        </w:tc>
        <w:tc>
          <w:tcPr>
            <w:tcW w:w="60" w:type="dxa"/>
            <w:vAlign w:val="bottom"/>
          </w:tcPr>
          <w:p>
            <w:pPr>
              <w:spacing w:after="0"/>
              <w:rPr>
                <w:sz w:val="12"/>
                <w:szCs w:val="12"/>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183,648</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47.1 %</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(3,910 )</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-2.6 %</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(33,140 )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-18.0 %</w:t>
            </w:r>
          </w:p>
        </w:tc>
        <w:tc>
          <w:tcPr>
            <w:tcW w:w="0" w:type="dxa"/>
            <w:vAlign w:val="bottom"/>
          </w:tcPr>
          <w:p>
            <w:pPr>
              <w:spacing w:after="0"/>
              <w:rPr>
                <w:sz w:val="1"/>
                <w:szCs w:val="1"/>
                <w:color w:val="auto"/>
              </w:rPr>
            </w:pPr>
          </w:p>
        </w:tc>
      </w:tr>
      <w:tr>
        <w:trPr>
          <w:trHeight w:val="136"/>
        </w:trPr>
        <w:tc>
          <w:tcPr>
            <w:tcW w:w="1440" w:type="dxa"/>
            <w:vAlign w:val="bottom"/>
          </w:tcPr>
          <w:p>
            <w:pPr>
              <w:ind w:left="120"/>
              <w:spacing w:after="0" w:line="111" w:lineRule="exact"/>
              <w:rPr>
                <w:sz w:val="20"/>
                <w:szCs w:val="20"/>
                <w:color w:val="auto"/>
              </w:rPr>
            </w:pPr>
            <w:r>
              <w:rPr>
                <w:rFonts w:ascii="Times New Roman" w:cs="Times New Roman" w:eastAsia="Times New Roman" w:hAnsi="Times New Roman"/>
                <w:sz w:val="10"/>
                <w:szCs w:val="10"/>
                <w:color w:val="auto"/>
              </w:rPr>
              <w:t>Gross profit</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188,682</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56.3</w:t>
            </w:r>
          </w:p>
        </w:tc>
        <w:tc>
          <w:tcPr>
            <w:tcW w:w="140" w:type="dxa"/>
            <w:vAlign w:val="bottom"/>
          </w:tcPr>
          <w:p>
            <w:pPr>
              <w:jc w:val="right"/>
              <w:ind w:right="8"/>
              <w:spacing w:after="0" w:line="111" w:lineRule="exact"/>
              <w:rPr>
                <w:sz w:val="20"/>
                <w:szCs w:val="20"/>
                <w:color w:val="auto"/>
              </w:rPr>
            </w:pPr>
            <w:r>
              <w:rPr>
                <w:rFonts w:ascii="Times New Roman" w:cs="Times New Roman" w:eastAsia="Times New Roman" w:hAnsi="Times New Roman"/>
                <w:sz w:val="10"/>
                <w:szCs w:val="10"/>
                <w:color w:val="auto"/>
                <w:w w:val="71"/>
              </w:rPr>
              <w:t>%</w:t>
            </w:r>
          </w:p>
        </w:tc>
        <w:tc>
          <w:tcPr>
            <w:tcW w:w="5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rPr>
              <w:t>179,415</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54.4</w:t>
            </w:r>
          </w:p>
        </w:tc>
        <w:tc>
          <w:tcPr>
            <w:tcW w:w="160" w:type="dxa"/>
            <w:vAlign w:val="bottom"/>
          </w:tcPr>
          <w:p>
            <w:pPr>
              <w:jc w:val="right"/>
              <w:ind w:right="8"/>
              <w:spacing w:after="0" w:line="111" w:lineRule="exact"/>
              <w:rPr>
                <w:sz w:val="20"/>
                <w:szCs w:val="20"/>
                <w:color w:val="auto"/>
              </w:rPr>
            </w:pPr>
            <w:r>
              <w:rPr>
                <w:rFonts w:ascii="Times New Roman" w:cs="Times New Roman" w:eastAsia="Times New Roman" w:hAnsi="Times New Roman"/>
                <w:sz w:val="10"/>
                <w:szCs w:val="10"/>
                <w:color w:val="auto"/>
                <w:w w:val="95"/>
              </w:rPr>
              <w:t>%</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rPr>
              <w:t>206,488</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52.9</w:t>
            </w:r>
          </w:p>
        </w:tc>
        <w:tc>
          <w:tcPr>
            <w:tcW w:w="160" w:type="dxa"/>
            <w:vAlign w:val="bottom"/>
          </w:tcPr>
          <w:p>
            <w:pPr>
              <w:jc w:val="right"/>
              <w:ind w:right="28"/>
              <w:spacing w:after="0" w:line="111" w:lineRule="exact"/>
              <w:rPr>
                <w:sz w:val="20"/>
                <w:szCs w:val="20"/>
                <w:color w:val="auto"/>
              </w:rPr>
            </w:pPr>
            <w:r>
              <w:rPr>
                <w:rFonts w:ascii="Times New Roman" w:cs="Times New Roman" w:eastAsia="Times New Roman" w:hAnsi="Times New Roman"/>
                <w:sz w:val="10"/>
                <w:szCs w:val="10"/>
                <w:color w:val="auto"/>
                <w:w w:val="71"/>
              </w:rPr>
              <w:t>%</w:t>
            </w: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9,267</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160" w:type="dxa"/>
            <w:vAlign w:val="bottom"/>
          </w:tcPr>
          <w:p>
            <w:pPr>
              <w:jc w:val="right"/>
              <w:ind w:right="8"/>
              <w:spacing w:after="0" w:line="111" w:lineRule="exact"/>
              <w:rPr>
                <w:sz w:val="20"/>
                <w:szCs w:val="20"/>
                <w:color w:val="auto"/>
              </w:rPr>
            </w:pPr>
            <w:r>
              <w:rPr>
                <w:rFonts w:ascii="Times New Roman" w:cs="Times New Roman" w:eastAsia="Times New Roman" w:hAnsi="Times New Roman"/>
                <w:sz w:val="10"/>
                <w:szCs w:val="10"/>
                <w:color w:val="auto"/>
                <w:w w:val="9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(27,073 )</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1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SG&amp;A</w:t>
            </w:r>
          </w:p>
        </w:tc>
        <w:tc>
          <w:tcPr>
            <w:tcW w:w="60" w:type="dxa"/>
            <w:vAlign w:val="bottom"/>
          </w:tcPr>
          <w:p>
            <w:pPr>
              <w:spacing w:after="0"/>
              <w:rPr>
                <w:sz w:val="21"/>
                <w:szCs w:val="21"/>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180,357</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53.8 %</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187,527</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56.8 %</w:t>
            </w:r>
          </w:p>
        </w:tc>
        <w:tc>
          <w:tcPr>
            <w:tcW w:w="60" w:type="dxa"/>
            <w:vAlign w:val="bottom"/>
          </w:tcPr>
          <w:p>
            <w:pPr>
              <w:spacing w:after="0"/>
              <w:rPr>
                <w:sz w:val="21"/>
                <w:szCs w:val="21"/>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205,227</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52.6 %</w:t>
            </w:r>
          </w:p>
        </w:tc>
        <w:tc>
          <w:tcPr>
            <w:tcW w:w="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(7,170 )</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-3.8 %</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(17,700 )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-8.6 %</w:t>
            </w:r>
          </w:p>
        </w:tc>
        <w:tc>
          <w:tcPr>
            <w:tcW w:w="0" w:type="dxa"/>
            <w:vAlign w:val="bottom"/>
          </w:tcPr>
          <w:p>
            <w:pPr>
              <w:spacing w:after="0"/>
              <w:rPr>
                <w:sz w:val="1"/>
                <w:szCs w:val="1"/>
                <w:color w:val="auto"/>
              </w:rPr>
            </w:pPr>
          </w:p>
        </w:tc>
      </w:tr>
      <w:tr>
        <w:trPr>
          <w:trHeight w:val="138"/>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Asset impairment charges</w:t>
            </w:r>
          </w:p>
        </w:tc>
        <w:tc>
          <w:tcPr>
            <w:tcW w:w="60" w:type="dxa"/>
            <w:vAlign w:val="bottom"/>
          </w:tcPr>
          <w:p>
            <w:pPr>
              <w:spacing w:after="0"/>
              <w:rPr>
                <w:sz w:val="12"/>
                <w:szCs w:val="12"/>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498</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0.1 %</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5,515</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1.7 %</w:t>
            </w:r>
          </w:p>
        </w:tc>
        <w:tc>
          <w:tcPr>
            <w:tcW w:w="60" w:type="dxa"/>
            <w:vAlign w:val="bottom"/>
          </w:tcPr>
          <w:p>
            <w:pPr>
              <w:spacing w:after="0"/>
              <w:rPr>
                <w:sz w:val="12"/>
                <w:szCs w:val="12"/>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0.0 %</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(5,017 )</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-91.0 %</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5,515</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0"/>
                <w:szCs w:val="10"/>
                <w:color w:val="auto"/>
              </w:rPr>
              <w:t>NM</w:t>
            </w:r>
          </w:p>
        </w:tc>
        <w:tc>
          <w:tcPr>
            <w:tcW w:w="0" w:type="dxa"/>
            <w:vAlign w:val="bottom"/>
          </w:tcPr>
          <w:p>
            <w:pPr>
              <w:spacing w:after="0"/>
              <w:rPr>
                <w:sz w:val="1"/>
                <w:szCs w:val="1"/>
                <w:color w:val="auto"/>
              </w:rPr>
            </w:pPr>
          </w:p>
        </w:tc>
      </w:tr>
      <w:tr>
        <w:trPr>
          <w:trHeight w:val="139"/>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Loss on contract abandonment</w:t>
            </w:r>
          </w:p>
        </w:tc>
        <w:tc>
          <w:tcPr>
            <w:tcW w:w="60" w:type="dxa"/>
            <w:vAlign w:val="bottom"/>
          </w:tcPr>
          <w:p>
            <w:pPr>
              <w:spacing w:after="0"/>
              <w:rPr>
                <w:sz w:val="12"/>
                <w:szCs w:val="12"/>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0.0 %</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1,240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0.4 %</w:t>
            </w:r>
          </w:p>
        </w:tc>
        <w:tc>
          <w:tcPr>
            <w:tcW w:w="60" w:type="dxa"/>
            <w:vAlign w:val="bottom"/>
          </w:tcPr>
          <w:p>
            <w:pPr>
              <w:spacing w:after="0"/>
              <w:rPr>
                <w:sz w:val="12"/>
                <w:szCs w:val="12"/>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0.0 %</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(1,240 )</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-100.0 %</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1,240</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0"/>
                <w:szCs w:val="10"/>
                <w:color w:val="auto"/>
              </w:rPr>
              <w:t>NM</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Loss upon realization of</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cumulative translation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adjustment</w:t>
            </w:r>
          </w:p>
        </w:tc>
        <w:tc>
          <w:tcPr>
            <w:tcW w:w="60" w:type="dxa"/>
            <w:vAlign w:val="bottom"/>
          </w:tcPr>
          <w:p>
            <w:pPr>
              <w:spacing w:after="0"/>
              <w:rPr>
                <w:sz w:val="11"/>
                <w:szCs w:val="11"/>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0.0 %</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962</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0.3 %</w:t>
            </w:r>
          </w:p>
        </w:tc>
        <w:tc>
          <w:tcPr>
            <w:tcW w:w="60" w:type="dxa"/>
            <w:vAlign w:val="bottom"/>
          </w:tcPr>
          <w:p>
            <w:pPr>
              <w:spacing w:after="0"/>
              <w:rPr>
                <w:sz w:val="11"/>
                <w:szCs w:val="11"/>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0.0 %</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(962 )</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-100.0 %</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962</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0"/>
                <w:szCs w:val="10"/>
                <w:color w:val="auto"/>
              </w:rPr>
              <w:t>NM</w:t>
            </w:r>
          </w:p>
        </w:tc>
        <w:tc>
          <w:tcPr>
            <w:tcW w:w="0" w:type="dxa"/>
            <w:vAlign w:val="bottom"/>
          </w:tcPr>
          <w:p>
            <w:pPr>
              <w:spacing w:after="0"/>
              <w:rPr>
                <w:sz w:val="1"/>
                <w:szCs w:val="1"/>
                <w:color w:val="auto"/>
              </w:rPr>
            </w:pPr>
          </w:p>
        </w:tc>
      </w:tr>
      <w:tr>
        <w:trPr>
          <w:trHeight w:val="136"/>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Restructuring charges</w:t>
            </w:r>
          </w:p>
        </w:tc>
        <w:tc>
          <w:tcPr>
            <w:tcW w:w="60" w:type="dxa"/>
            <w:vAlign w:val="bottom"/>
          </w:tcPr>
          <w:p>
            <w:pPr>
              <w:spacing w:after="0"/>
              <w:rPr>
                <w:sz w:val="11"/>
                <w:szCs w:val="11"/>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0.0 %</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440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0.1 %</w:t>
            </w:r>
          </w:p>
        </w:tc>
        <w:tc>
          <w:tcPr>
            <w:tcW w:w="60" w:type="dxa"/>
            <w:vAlign w:val="bottom"/>
          </w:tcPr>
          <w:p>
            <w:pPr>
              <w:spacing w:after="0"/>
              <w:rPr>
                <w:sz w:val="11"/>
                <w:szCs w:val="11"/>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0.0 %</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(440 )</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-100.0 %</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440</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0"/>
                <w:szCs w:val="10"/>
                <w:color w:val="auto"/>
              </w:rPr>
              <w:t>NM</w:t>
            </w:r>
          </w:p>
        </w:tc>
        <w:tc>
          <w:tcPr>
            <w:tcW w:w="0" w:type="dxa"/>
            <w:vAlign w:val="bottom"/>
          </w:tcPr>
          <w:p>
            <w:pPr>
              <w:spacing w:after="0"/>
              <w:rPr>
                <w:sz w:val="1"/>
                <w:szCs w:val="1"/>
                <w:color w:val="auto"/>
              </w:rPr>
            </w:pPr>
          </w:p>
        </w:tc>
      </w:tr>
      <w:tr>
        <w:trPr>
          <w:trHeight w:val="138"/>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Goodwill impairment charge</w:t>
            </w:r>
          </w:p>
        </w:tc>
        <w:tc>
          <w:tcPr>
            <w:tcW w:w="60" w:type="dxa"/>
            <w:vAlign w:val="bottom"/>
          </w:tcPr>
          <w:p>
            <w:pPr>
              <w:spacing w:after="0"/>
              <w:rPr>
                <w:sz w:val="12"/>
                <w:szCs w:val="12"/>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0.0 %</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0.0 %</w:t>
            </w:r>
          </w:p>
        </w:tc>
        <w:tc>
          <w:tcPr>
            <w:tcW w:w="60" w:type="dxa"/>
            <w:vAlign w:val="bottom"/>
          </w:tcPr>
          <w:p>
            <w:pPr>
              <w:spacing w:after="0"/>
              <w:rPr>
                <w:sz w:val="12"/>
                <w:szCs w:val="12"/>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5,409</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1.4 %</w:t>
            </w:r>
          </w:p>
        </w:tc>
        <w:tc>
          <w:tcPr>
            <w:tcW w:w="60" w:type="dxa"/>
            <w:vAlign w:val="bottom"/>
          </w:tcPr>
          <w:p>
            <w:pPr>
              <w:spacing w:after="0"/>
              <w:rPr>
                <w:sz w:val="12"/>
                <w:szCs w:val="12"/>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28"/>
              <w:spacing w:after="0"/>
              <w:rPr>
                <w:sz w:val="20"/>
                <w:szCs w:val="20"/>
                <w:color w:val="auto"/>
              </w:rPr>
            </w:pPr>
            <w:r>
              <w:rPr>
                <w:rFonts w:ascii="Times New Roman" w:cs="Times New Roman" w:eastAsia="Times New Roman" w:hAnsi="Times New Roman"/>
                <w:sz w:val="10"/>
                <w:szCs w:val="10"/>
                <w:color w:val="auto"/>
              </w:rPr>
              <w:t>NM</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(5,409 )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-100.0 %</w:t>
            </w:r>
          </w:p>
        </w:tc>
        <w:tc>
          <w:tcPr>
            <w:tcW w:w="0" w:type="dxa"/>
            <w:vAlign w:val="bottom"/>
          </w:tcPr>
          <w:p>
            <w:pPr>
              <w:spacing w:after="0"/>
              <w:rPr>
                <w:sz w:val="1"/>
                <w:szCs w:val="1"/>
                <w:color w:val="auto"/>
              </w:rPr>
            </w:pPr>
          </w:p>
        </w:tc>
      </w:tr>
      <w:tr>
        <w:trPr>
          <w:trHeight w:val="125"/>
        </w:trPr>
        <w:tc>
          <w:tcPr>
            <w:tcW w:w="1440" w:type="dxa"/>
            <w:vAlign w:val="bottom"/>
          </w:tcPr>
          <w:p>
            <w:pPr>
              <w:spacing w:after="0"/>
              <w:rPr>
                <w:sz w:val="20"/>
                <w:szCs w:val="20"/>
                <w:color w:val="auto"/>
              </w:rPr>
            </w:pPr>
            <w:r>
              <w:rPr>
                <w:rFonts w:ascii="Times New Roman" w:cs="Times New Roman" w:eastAsia="Times New Roman" w:hAnsi="Times New Roman"/>
                <w:sz w:val="10"/>
                <w:szCs w:val="10"/>
                <w:color w:val="auto"/>
              </w:rPr>
              <w:t>Gain on revaluation of</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contingent consideration</w:t>
            </w:r>
          </w:p>
        </w:tc>
        <w:tc>
          <w:tcPr>
            <w:tcW w:w="60" w:type="dxa"/>
            <w:vAlign w:val="bottom"/>
          </w:tcPr>
          <w:p>
            <w:pPr>
              <w:spacing w:after="0"/>
              <w:rPr>
                <w:sz w:val="12"/>
                <w:szCs w:val="12"/>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0.0 %</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0.0 %</w:t>
            </w:r>
          </w:p>
        </w:tc>
        <w:tc>
          <w:tcPr>
            <w:tcW w:w="60" w:type="dxa"/>
            <w:vAlign w:val="bottom"/>
          </w:tcPr>
          <w:p>
            <w:pPr>
              <w:spacing w:after="0"/>
              <w:rPr>
                <w:sz w:val="12"/>
                <w:szCs w:val="12"/>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1,013</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0.3 %</w:t>
            </w:r>
          </w:p>
        </w:tc>
        <w:tc>
          <w:tcPr>
            <w:tcW w:w="60" w:type="dxa"/>
            <w:vAlign w:val="bottom"/>
          </w:tcPr>
          <w:p>
            <w:pPr>
              <w:spacing w:after="0"/>
              <w:rPr>
                <w:sz w:val="12"/>
                <w:szCs w:val="12"/>
                <w:color w:val="auto"/>
              </w:rPr>
            </w:pPr>
          </w:p>
        </w:tc>
        <w:tc>
          <w:tcPr>
            <w:tcW w:w="3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8"/>
              <w:spacing w:after="0"/>
              <w:rPr>
                <w:sz w:val="20"/>
                <w:szCs w:val="20"/>
                <w:color w:val="auto"/>
              </w:rPr>
            </w:pPr>
            <w:r>
              <w:rPr>
                <w:rFonts w:ascii="Times New Roman" w:cs="Times New Roman" w:eastAsia="Times New Roman" w:hAnsi="Times New Roman"/>
                <w:sz w:val="10"/>
                <w:szCs w:val="10"/>
                <w:color w:val="auto"/>
              </w:rPr>
              <w:t>NM</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-100.0 %</w:t>
            </w:r>
          </w:p>
        </w:tc>
        <w:tc>
          <w:tcPr>
            <w:tcW w:w="0" w:type="dxa"/>
            <w:vAlign w:val="bottom"/>
          </w:tcPr>
          <w:p>
            <w:pPr>
              <w:spacing w:after="0"/>
              <w:rPr>
                <w:sz w:val="1"/>
                <w:szCs w:val="1"/>
                <w:color w:val="auto"/>
              </w:rPr>
            </w:pPr>
          </w:p>
        </w:tc>
      </w:tr>
      <w:tr>
        <w:trPr>
          <w:trHeight w:val="96"/>
        </w:trPr>
        <w:tc>
          <w:tcPr>
            <w:tcW w:w="1440" w:type="dxa"/>
            <w:vAlign w:val="bottom"/>
          </w:tcPr>
          <w:p>
            <w:pPr>
              <w:spacing w:after="0" w:line="96" w:lineRule="exact"/>
              <w:rPr>
                <w:sz w:val="20"/>
                <w:szCs w:val="20"/>
                <w:color w:val="auto"/>
              </w:rPr>
            </w:pPr>
            <w:r>
              <w:rPr>
                <w:rFonts w:ascii="Times New Roman" w:cs="Times New Roman" w:eastAsia="Times New Roman" w:hAnsi="Times New Roman"/>
                <w:sz w:val="10"/>
                <w:szCs w:val="10"/>
                <w:color w:val="auto"/>
              </w:rPr>
              <w:t>Income (loss) from continuing</w:t>
            </w: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operations</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7,827</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2.5 %</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99"/>
              </w:rPr>
              <w:t>$ (16,269 )</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-4.9 %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(3,135 )</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-0.8 %</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24,096</w:t>
            </w:r>
          </w:p>
        </w:tc>
        <w:tc>
          <w:tcPr>
            <w:tcW w:w="560" w:type="dxa"/>
            <w:vAlign w:val="bottom"/>
            <w:gridSpan w:val="2"/>
          </w:tcPr>
          <w:p>
            <w:pPr>
              <w:jc w:val="right"/>
              <w:ind w:right="108"/>
              <w:spacing w:after="0"/>
              <w:rPr>
                <w:sz w:val="20"/>
                <w:szCs w:val="20"/>
                <w:color w:val="auto"/>
              </w:rPr>
            </w:pPr>
            <w:r>
              <w:rPr>
                <w:rFonts w:ascii="Times New Roman" w:cs="Times New Roman" w:eastAsia="Times New Roman" w:hAnsi="Times New Roman"/>
                <w:sz w:val="10"/>
                <w:szCs w:val="10"/>
                <w:color w:val="auto"/>
              </w:rPr>
              <w:t>NM</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 (13,134 )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418.9 %</w:t>
            </w:r>
          </w:p>
        </w:tc>
        <w:tc>
          <w:tcPr>
            <w:tcW w:w="0" w:type="dxa"/>
            <w:vAlign w:val="bottom"/>
          </w:tcPr>
          <w:p>
            <w:pPr>
              <w:spacing w:after="0"/>
              <w:rPr>
                <w:sz w:val="1"/>
                <w:szCs w:val="1"/>
                <w:color w:val="auto"/>
              </w:rPr>
            </w:pPr>
          </w:p>
        </w:tc>
      </w:tr>
      <w:tr>
        <w:trPr>
          <w:trHeight w:val="36"/>
        </w:trPr>
        <w:tc>
          <w:tcPr>
            <w:tcW w:w="1440" w:type="dxa"/>
            <w:vAlign w:val="bottom"/>
            <w:tcBorders>
              <w:right w:val="single" w:sz="8" w:color="auto"/>
            </w:tcBorders>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00" w:type="dxa"/>
            <w:vAlign w:val="bottom"/>
            <w:tcBorders>
              <w:right w:val="single" w:sz="8" w:color="auto"/>
            </w:tcBorders>
            <w:shd w:val="clear" w:color="auto" w:fill="000000"/>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*53 weeks for fiscal 2024 as compared with 52 weeks for fiscal 2023 and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consolidated net sales by segment were as follows: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Comparative Change</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right"/>
              <w:ind w:right="420"/>
              <w:spacing w:after="0" w:line="137" w:lineRule="exact"/>
              <w:rPr>
                <w:sz w:val="20"/>
                <w:szCs w:val="20"/>
                <w:color w:val="auto"/>
              </w:rPr>
            </w:pPr>
            <w:r>
              <w:rPr>
                <w:rFonts w:ascii="Times New Roman" w:cs="Times New Roman" w:eastAsia="Times New Roman" w:hAnsi="Times New Roman"/>
                <w:sz w:val="12"/>
                <w:szCs w:val="12"/>
                <w:b w:val="1"/>
                <w:bCs w:val="1"/>
                <w:color w:val="auto"/>
              </w:rPr>
              <w:t>2024 vs 2023</w:t>
            </w:r>
          </w:p>
        </w:tc>
        <w:tc>
          <w:tcPr>
            <w:tcW w:w="60" w:type="dxa"/>
            <w:vAlign w:val="bottom"/>
          </w:tcPr>
          <w:p>
            <w:pPr>
              <w:spacing w:after="0"/>
              <w:rPr>
                <w:sz w:val="11"/>
                <w:szCs w:val="11"/>
                <w:color w:val="auto"/>
              </w:rPr>
            </w:pPr>
          </w:p>
        </w:tc>
        <w:tc>
          <w:tcPr>
            <w:tcW w:w="1160" w:type="dxa"/>
            <w:vAlign w:val="bottom"/>
            <w:gridSpan w:val="2"/>
          </w:tcPr>
          <w:p>
            <w:pPr>
              <w:ind w:left="240"/>
              <w:spacing w:after="0" w:line="137" w:lineRule="exact"/>
              <w:rPr>
                <w:sz w:val="20"/>
                <w:szCs w:val="20"/>
                <w:color w:val="auto"/>
              </w:rPr>
            </w:pPr>
            <w:r>
              <w:rPr>
                <w:rFonts w:ascii="Times New Roman" w:cs="Times New Roman" w:eastAsia="Times New Roman" w:hAnsi="Times New Roman"/>
                <w:sz w:val="12"/>
                <w:szCs w:val="12"/>
                <w:b w:val="1"/>
                <w:bCs w:val="1"/>
                <w:color w:val="auto"/>
              </w:rPr>
              <w:t>2023 vs 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Sales Revenue</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122"/>
              <w:spacing w:after="0" w:line="133" w:lineRule="exact"/>
              <w:rPr>
                <w:sz w:val="20"/>
                <w:szCs w:val="20"/>
                <w:color w:val="auto"/>
              </w:rPr>
            </w:pPr>
            <w:r>
              <w:rPr>
                <w:rFonts w:ascii="Times New Roman" w:cs="Times New Roman" w:eastAsia="Times New Roman" w:hAnsi="Times New Roman"/>
                <w:sz w:val="12"/>
                <w:szCs w:val="12"/>
                <w:b w:val="1"/>
                <w:bCs w:val="1"/>
                <w:color w:val="auto"/>
              </w:rPr>
              <w:t>Dollars</w:t>
            </w:r>
          </w:p>
        </w:tc>
        <w:tc>
          <w:tcPr>
            <w:tcW w:w="520" w:type="dxa"/>
            <w:vAlign w:val="bottom"/>
            <w:tcBorders>
              <w:top w:val="single" w:sz="8" w:color="auto"/>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2"/>
              <w:spacing w:after="0" w:line="133" w:lineRule="exact"/>
              <w:rPr>
                <w:sz w:val="20"/>
                <w:szCs w:val="20"/>
                <w:color w:val="auto"/>
              </w:rPr>
            </w:pPr>
            <w:r>
              <w:rPr>
                <w:rFonts w:ascii="Times New Roman" w:cs="Times New Roman" w:eastAsia="Times New Roman" w:hAnsi="Times New Roman"/>
                <w:sz w:val="12"/>
                <w:szCs w:val="12"/>
                <w:b w:val="1"/>
                <w:bCs w:val="1"/>
                <w:color w:val="auto"/>
                <w:w w:val="96"/>
              </w:rPr>
              <w:t>Dollars</w:t>
            </w:r>
          </w:p>
        </w:tc>
        <w:tc>
          <w:tcPr>
            <w:tcW w:w="580" w:type="dxa"/>
            <w:vAlign w:val="bottom"/>
            <w:tcBorders>
              <w:top w:val="single" w:sz="8" w:color="auto"/>
              <w:bottom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Wholesale sales of furniture and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accessories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214,614</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207,462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248,911</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7,152</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(41,449 )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-16.7 %</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Less: Sales to retail segment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(96,015 )</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(87,021 )</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5"/>
              </w:rPr>
              <w:t>(103,519 )</w:t>
            </w: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(8,994 )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10.3 %</w:t>
            </w:r>
          </w:p>
        </w:tc>
        <w:tc>
          <w:tcPr>
            <w:tcW w:w="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16,498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-15.9 %</w:t>
            </w:r>
          </w:p>
        </w:tc>
        <w:tc>
          <w:tcPr>
            <w:tcW w:w="0" w:type="dxa"/>
            <w:vAlign w:val="bottom"/>
          </w:tcPr>
          <w:p>
            <w:pPr>
              <w:spacing w:after="0"/>
              <w:rPr>
                <w:sz w:val="1"/>
                <w:szCs w:val="1"/>
                <w:color w:val="auto"/>
              </w:rPr>
            </w:pPr>
          </w:p>
        </w:tc>
      </w:tr>
      <w:tr>
        <w:trPr>
          <w:trHeight w:val="109"/>
        </w:trPr>
        <w:tc>
          <w:tcPr>
            <w:tcW w:w="1860" w:type="dxa"/>
            <w:vAlign w:val="bottom"/>
          </w:tcPr>
          <w:p>
            <w:pPr>
              <w:ind w:left="120"/>
              <w:spacing w:after="0" w:line="110" w:lineRule="exact"/>
              <w:rPr>
                <w:sz w:val="20"/>
                <w:szCs w:val="20"/>
                <w:color w:val="auto"/>
              </w:rPr>
            </w:pPr>
            <w:r>
              <w:rPr>
                <w:rFonts w:ascii="Times New Roman" w:cs="Times New Roman" w:eastAsia="Times New Roman" w:hAnsi="Times New Roman"/>
                <w:sz w:val="12"/>
                <w:szCs w:val="12"/>
                <w:color w:val="auto"/>
              </w:rPr>
              <w:t>Wholesale sales to external</w:t>
            </w: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customers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118,599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120,441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145,392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(1,842 )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-1.5 %</w:t>
            </w:r>
          </w:p>
        </w:tc>
        <w:tc>
          <w:tcPr>
            <w:tcW w:w="60" w:type="dxa"/>
            <w:vAlign w:val="bottom"/>
          </w:tcPr>
          <w:p>
            <w:pPr>
              <w:spacing w:after="0"/>
              <w:rPr>
                <w:sz w:val="13"/>
                <w:szCs w:val="13"/>
                <w:color w:val="auto"/>
              </w:rPr>
            </w:pP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(24,951 )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-17.2 %</w:t>
            </w:r>
          </w:p>
        </w:tc>
        <w:tc>
          <w:tcPr>
            <w:tcW w:w="0" w:type="dxa"/>
            <w:vAlign w:val="bottom"/>
          </w:tcPr>
          <w:p>
            <w:pPr>
              <w:spacing w:after="0"/>
              <w:rPr>
                <w:sz w:val="1"/>
                <w:szCs w:val="1"/>
                <w:color w:val="auto"/>
              </w:rPr>
            </w:pPr>
          </w:p>
        </w:tc>
      </w:tr>
      <w:tr>
        <w:trPr>
          <w:trHeight w:val="138"/>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Retail sales of furniture and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(31,377 )</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-13.3 %</w:t>
            </w:r>
          </w:p>
        </w:tc>
        <w:tc>
          <w:tcPr>
            <w:tcW w:w="0" w:type="dxa"/>
            <w:vAlign w:val="bottom"/>
          </w:tcPr>
          <w:p>
            <w:pPr>
              <w:spacing w:after="0"/>
              <w:rPr>
                <w:sz w:val="1"/>
                <w:szCs w:val="1"/>
                <w:color w:val="auto"/>
              </w:rPr>
            </w:pPr>
          </w:p>
        </w:tc>
      </w:tr>
      <w:tr>
        <w:trPr>
          <w:trHeight w:val="149"/>
        </w:trPr>
        <w:tc>
          <w:tcPr>
            <w:tcW w:w="1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accessories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204,563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235,940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12,118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5.9 %</w:t>
            </w: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Corporate &amp; Other - Noa Home</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(4,919 )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-100.0 %</w:t>
            </w:r>
          </w:p>
        </w:tc>
        <w:tc>
          <w:tcPr>
            <w:tcW w:w="60" w:type="dxa"/>
            <w:vAlign w:val="bottom"/>
          </w:tcPr>
          <w:p>
            <w:pPr>
              <w:spacing w:after="0"/>
              <w:rPr>
                <w:sz w:val="14"/>
                <w:szCs w:val="14"/>
                <w:color w:val="auto"/>
              </w:rPr>
            </w:pP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(3,885 )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-44.1 %</w:t>
            </w:r>
          </w:p>
        </w:tc>
        <w:tc>
          <w:tcPr>
            <w:tcW w:w="0" w:type="dxa"/>
            <w:vAlign w:val="bottom"/>
          </w:tcPr>
          <w:p>
            <w:pPr>
              <w:spacing w:after="0"/>
              <w:rPr>
                <w:sz w:val="1"/>
                <w:szCs w:val="1"/>
                <w:color w:val="auto"/>
              </w:rPr>
            </w:pPr>
          </w:p>
        </w:tc>
      </w:tr>
      <w:tr>
        <w:trPr>
          <w:trHeight w:val="109"/>
        </w:trPr>
        <w:tc>
          <w:tcPr>
            <w:tcW w:w="18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Consolidated net sales of furniture</w:t>
            </w: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and accessories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335,280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329,923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390,136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5,357</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(60,213 )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1182370</wp:posOffset>
                </wp:positionH>
                <wp:positionV relativeFrom="paragraph">
                  <wp:posOffset>25400</wp:posOffset>
                </wp:positionV>
                <wp:extent cx="33337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375"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1pt,2pt" to="119.35pt,2pt" o:allowincell="f" strokecolor="#000000" strokeweight="0.466pt"/>
            </w:pict>
          </mc:Fallback>
        </mc:AlternateContent>
        <mc:AlternateContent>
          <mc:Choice Requires="wps">
            <w:drawing>
              <wp:anchor simplePos="0" relativeHeight="251657728" behindDoc="1" locked="0" layoutInCell="0" allowOverlap="1">
                <wp:simplePos x="0" y="0"/>
                <wp:positionH relativeFrom="column">
                  <wp:posOffset>1581150</wp:posOffset>
                </wp:positionH>
                <wp:positionV relativeFrom="paragraph">
                  <wp:posOffset>25400</wp:posOffset>
                </wp:positionV>
                <wp:extent cx="33401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4010"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5pt,2pt" to="150.8pt,2pt" o:allowincell="f" strokecolor="#000000" strokeweight="0.466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25400</wp:posOffset>
                </wp:positionV>
                <wp:extent cx="36004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045"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2pt" to="184.25pt,2pt" o:allowincell="f" strokecolor="#000000" strokeweight="0.466pt"/>
            </w:pict>
          </mc:Fallback>
        </mc:AlternateContent>
        <mc:AlternateContent>
          <mc:Choice Requires="wps">
            <w:drawing>
              <wp:anchor simplePos="0" relativeHeight="251657728" behindDoc="1" locked="0" layoutInCell="0" allowOverlap="1">
                <wp:simplePos x="0" y="0"/>
                <wp:positionH relativeFrom="column">
                  <wp:posOffset>2404745</wp:posOffset>
                </wp:positionH>
                <wp:positionV relativeFrom="paragraph">
                  <wp:posOffset>25400</wp:posOffset>
                </wp:positionV>
                <wp:extent cx="72263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630"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35pt,2pt" to="246.25pt,2pt" o:allowincell="f" strokecolor="#000000" strokeweight="0.466pt"/>
            </w:pict>
          </mc:Fallback>
        </mc:AlternateContent>
        <mc:AlternateContent>
          <mc:Choice Requires="wps">
            <w:drawing>
              <wp:anchor simplePos="0" relativeHeight="251657728" behindDoc="1" locked="0" layoutInCell="0" allowOverlap="1">
                <wp:simplePos x="0" y="0"/>
                <wp:positionH relativeFrom="column">
                  <wp:posOffset>3231515</wp:posOffset>
                </wp:positionH>
                <wp:positionV relativeFrom="paragraph">
                  <wp:posOffset>25400</wp:posOffset>
                </wp:positionV>
                <wp:extent cx="77660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5pt,2pt" to="315.6pt,2pt" o:allowincell="f" strokecolor="#000000" strokeweight="0.466pt"/>
            </w:pict>
          </mc:Fallback>
        </mc:AlternateConten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*53 weeks for fiscal 2024 as compared with 52 weeks for fiscal 2025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1182370</wp:posOffset>
                </wp:positionH>
                <wp:positionV relativeFrom="paragraph">
                  <wp:posOffset>-86360</wp:posOffset>
                </wp:positionV>
                <wp:extent cx="3333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375"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1pt,-6.7999pt" to="119.35pt,-6.7999pt" o:allowincell="f" strokecolor="#000000" strokeweight="0.466pt"/>
            </w:pict>
          </mc:Fallback>
        </mc:AlternateContent>
        <mc:AlternateContent>
          <mc:Choice Requires="wps">
            <w:drawing>
              <wp:anchor simplePos="0" relativeHeight="251657728" behindDoc="1" locked="0" layoutInCell="0" allowOverlap="1">
                <wp:simplePos x="0" y="0"/>
                <wp:positionH relativeFrom="column">
                  <wp:posOffset>1581150</wp:posOffset>
                </wp:positionH>
                <wp:positionV relativeFrom="paragraph">
                  <wp:posOffset>-86360</wp:posOffset>
                </wp:positionV>
                <wp:extent cx="33401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4010"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5pt,-6.7999pt" to="150.8pt,-6.7999pt" o:allowincell="f" strokecolor="#000000" strokeweight="0.466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-86360</wp:posOffset>
                </wp:positionV>
                <wp:extent cx="36004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045"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6.7999pt" to="184.25pt,-6.7999pt" o:allowincell="f" strokecolor="#000000" strokeweight="0.466pt"/>
            </w:pict>
          </mc:Fallback>
        </mc:AlternateContent>
        <mc:AlternateContent>
          <mc:Choice Requires="wps">
            <w:drawing>
              <wp:anchor simplePos="0" relativeHeight="251657728" behindDoc="1" locked="0" layoutInCell="0" allowOverlap="1">
                <wp:simplePos x="0" y="0"/>
                <wp:positionH relativeFrom="column">
                  <wp:posOffset>2404745</wp:posOffset>
                </wp:positionH>
                <wp:positionV relativeFrom="paragraph">
                  <wp:posOffset>-86360</wp:posOffset>
                </wp:positionV>
                <wp:extent cx="72263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630"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35pt,-6.7999pt" to="246.25pt,-6.7999pt" o:allowincell="f" strokecolor="#000000" strokeweight="0.466pt"/>
            </w:pict>
          </mc:Fallback>
        </mc:AlternateContent>
        <mc:AlternateContent>
          <mc:Choice Requires="wps">
            <w:drawing>
              <wp:anchor simplePos="0" relativeHeight="251657728" behindDoc="1" locked="0" layoutInCell="0" allowOverlap="1">
                <wp:simplePos x="0" y="0"/>
                <wp:positionH relativeFrom="column">
                  <wp:posOffset>3231515</wp:posOffset>
                </wp:positionH>
                <wp:positionV relativeFrom="paragraph">
                  <wp:posOffset>-86360</wp:posOffset>
                </wp:positionV>
                <wp:extent cx="77660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5pt,-6.7999pt" to="315.6pt,-6.7999pt" o:allowincell="f" strokecolor="#000000" strokeweight="0.466pt"/>
            </w:pict>
          </mc:Fallback>
        </mc:AlternateConten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Total sales revenue for the year ended November 29, 2025, increased $5,357 or approximately 1.6% from the prior year period primarily due to increases in delivered retail sales partially offset by decreases in wholesale shipments to the open market and lost sales from the closure of Noa Home at the end of fiscal 2024. Excluding the lost sales from Noa Home, total sales revenue increased 3.1%.</w:t>
      </w:r>
    </w:p>
    <w:p>
      <w:pPr>
        <w:spacing w:after="0" w:line="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Gross margins for the year ended November 29, 2025 increased 190 basis points from 2024. Gross margins in the prior year were adversely impacted by increased inventory valuation charges of $1,729 in the wholesale segment, $472 in the retail segment and $500 in the Noa Home operation, as well as $609 of unproductive labor costs incurred during a temporary shutdown resulting from a cybersecurity incident. Excluding the above-mentioned additional inventory valuation charges and unproductive labor costs in 2024, gross margins would have increased 90 basis points primarily due to improved margins in the wholesale segment, partially offset by lower margins in the retail operations.</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color w:val="auto"/>
        </w:rPr>
        <w:t>2</w:t>
      </w:r>
    </w:p>
    <w:p>
      <w:pPr>
        <w:sectPr>
          <w:pgSz w:w="15840" w:h="12240" w:orient="landscape"/>
          <w:cols w:equalWidth="0" w:num="2">
            <w:col w:w="7200" w:space="720"/>
            <w:col w:w="6440"/>
          </w:cols>
          <w:pgMar w:left="740" w:top="1424" w:right="740" w:bottom="929" w:gutter="0" w:footer="0" w:header="0"/>
        </w:sectPr>
      </w:pPr>
    </w:p>
    <w:bookmarkStart w:id="5" w:name="page6"/>
    <w:bookmarkEnd w:id="5"/>
    <w:p>
      <w:pPr>
        <w:ind w:right="156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jc w:val="both"/>
        <w:ind w:right="760"/>
        <w:spacing w:after="0" w:line="256" w:lineRule="auto"/>
        <w:rPr>
          <w:sz w:val="20"/>
          <w:szCs w:val="20"/>
          <w:color w:val="auto"/>
        </w:rPr>
      </w:pPr>
      <w:r>
        <w:rPr>
          <w:rFonts w:ascii="Times New Roman" w:cs="Times New Roman" w:eastAsia="Times New Roman" w:hAnsi="Times New Roman"/>
          <w:sz w:val="13"/>
          <w:szCs w:val="13"/>
          <w:color w:val="auto"/>
        </w:rPr>
        <w:t>SG&amp;A expenses as a percentage of sales for the year ended November 29, 2025 decreased 300 basis points reflecting benefits from the prior year restructuring plan and on-going cost containment activities coupled with greater leverage of fixed costs from higher sales levels.</w:t>
      </w:r>
    </w:p>
    <w:p>
      <w:pPr>
        <w:spacing w:after="0" w:line="117" w:lineRule="exact"/>
        <w:rPr>
          <w:sz w:val="20"/>
          <w:szCs w:val="20"/>
          <w:color w:val="auto"/>
        </w:rPr>
      </w:pPr>
    </w:p>
    <w:p>
      <w:pPr>
        <w:jc w:val="both"/>
        <w:ind w:right="760"/>
        <w:spacing w:after="0" w:line="273" w:lineRule="auto"/>
        <w:rPr>
          <w:sz w:val="20"/>
          <w:szCs w:val="20"/>
          <w:color w:val="auto"/>
        </w:rPr>
      </w:pPr>
      <w:r>
        <w:rPr>
          <w:rFonts w:ascii="Times New Roman" w:cs="Times New Roman" w:eastAsia="Times New Roman" w:hAnsi="Times New Roman"/>
          <w:sz w:val="13"/>
          <w:szCs w:val="13"/>
          <w:color w:val="auto"/>
        </w:rPr>
        <w:t>During fiscal 2025, we recognized an asset impairment charge of $498 related to an underperforming retail store expected to be closed in late fiscal 2026.</w:t>
      </w:r>
    </w:p>
    <w:p>
      <w:pPr>
        <w:spacing w:after="0" w:line="106"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3"/>
          <w:szCs w:val="13"/>
          <w:color w:val="auto"/>
        </w:rPr>
        <w:t>During fiscal 2024, we recognized charges of $5,515 for asset impairments, $1,240 resulting from a contract abandonment, $962 from the realization of cumulative translation losses on Noa Home, and a restructuring charge for severance of $440. See Note 14 to our consolidated financial statements for additional information regarding these charges.</w:t>
      </w:r>
    </w:p>
    <w:p>
      <w:pPr>
        <w:spacing w:after="0" w:line="115" w:lineRule="exact"/>
        <w:rPr>
          <w:sz w:val="20"/>
          <w:szCs w:val="20"/>
          <w:color w:val="auto"/>
        </w:rPr>
      </w:pPr>
    </w:p>
    <w:p>
      <w:pPr>
        <w:ind w:right="940"/>
        <w:spacing w:after="0" w:line="274" w:lineRule="auto"/>
        <w:rPr>
          <w:sz w:val="20"/>
          <w:szCs w:val="20"/>
          <w:color w:val="auto"/>
        </w:rPr>
      </w:pPr>
      <w:r>
        <w:rPr>
          <w:rFonts w:ascii="Times New Roman" w:cs="Times New Roman" w:eastAsia="Times New Roman" w:hAnsi="Times New Roman"/>
          <w:sz w:val="13"/>
          <w:szCs w:val="13"/>
          <w:color w:val="auto"/>
        </w:rPr>
        <w:t>Certain other items affecting comparability between fiscal 2025 and 2024 are discussed below in “Other Items Affecting Net Income”.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Segment Information</w:t>
      </w:r>
    </w:p>
    <w:p>
      <w:pPr>
        <w:spacing w:after="0" w:line="152"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13"/>
          <w:szCs w:val="13"/>
          <w:color w:val="auto"/>
        </w:rPr>
        <w:t xml:space="preserve">We have strategically aligned our business into two reportable segments as defined in ASC 280, </w:t>
      </w:r>
      <w:r>
        <w:rPr>
          <w:rFonts w:ascii="Times New Roman" w:cs="Times New Roman" w:eastAsia="Times New Roman" w:hAnsi="Times New Roman"/>
          <w:sz w:val="13"/>
          <w:szCs w:val="13"/>
          <w:i w:val="1"/>
          <w:iCs w:val="1"/>
          <w:color w:val="auto"/>
        </w:rPr>
        <w:t>Segment Reporting</w:t>
      </w:r>
      <w:r>
        <w:rPr>
          <w:rFonts w:ascii="Times New Roman" w:cs="Times New Roman" w:eastAsia="Times New Roman" w:hAnsi="Times New Roman"/>
          <w:sz w:val="13"/>
          <w:szCs w:val="13"/>
          <w:color w:val="auto"/>
        </w:rPr>
        <w:t>, and as described below:</w:t>
      </w:r>
    </w:p>
    <w:p>
      <w:pPr>
        <w:spacing w:after="0" w:line="101" w:lineRule="exact"/>
        <w:rPr>
          <w:sz w:val="20"/>
          <w:szCs w:val="20"/>
          <w:color w:val="auto"/>
        </w:rPr>
      </w:pPr>
    </w:p>
    <w:p>
      <w:pPr>
        <w:jc w:val="both"/>
        <w:ind w:left="480" w:right="760" w:hanging="242"/>
        <w:spacing w:after="0" w:line="252" w:lineRule="auto"/>
        <w:tabs>
          <w:tab w:leader="none" w:pos="4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Wholesale. </w:t>
      </w:r>
      <w:r>
        <w:rPr>
          <w:rFonts w:ascii="Times New Roman" w:cs="Times New Roman" w:eastAsia="Times New Roman" w:hAnsi="Times New Roman"/>
          <w:sz w:val="13"/>
          <w:szCs w:val="13"/>
          <w:color w:val="auto"/>
        </w:rPr>
        <w:t>The wholesale home furnishings segment is involved principally in the design, manufacture, sourcing,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sale and distribution of furniture products to a network of Bassett stores (Company-owned and licensee-owned retail stores) and independent furniture retailers. Our wholesale segment includes our wood and upholstery operations, which includes Lane Venture.</w:t>
      </w:r>
    </w:p>
    <w:p>
      <w:pPr>
        <w:spacing w:after="0" w:line="116" w:lineRule="exact"/>
        <w:rPr>
          <w:rFonts w:ascii="Times New Roman" w:cs="Times New Roman" w:eastAsia="Times New Roman" w:hAnsi="Times New Roman"/>
          <w:sz w:val="13"/>
          <w:szCs w:val="13"/>
          <w:color w:val="auto"/>
        </w:rPr>
      </w:pPr>
    </w:p>
    <w:p>
      <w:pPr>
        <w:jc w:val="both"/>
        <w:ind w:left="480" w:right="760" w:hanging="242"/>
        <w:spacing w:after="0" w:line="259" w:lineRule="auto"/>
        <w:tabs>
          <w:tab w:leader="none" w:pos="4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Retail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Company-owned stores. </w:t>
      </w:r>
      <w:r>
        <w:rPr>
          <w:rFonts w:ascii="Times New Roman" w:cs="Times New Roman" w:eastAsia="Times New Roman" w:hAnsi="Times New Roman"/>
          <w:sz w:val="13"/>
          <w:szCs w:val="13"/>
          <w:color w:val="auto"/>
        </w:rPr>
        <w:t>Our retail segment consists of Company-owned stores and includes the revenues,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expenses, assets and liabilities and capital expenditures directly related to these stores and the Company-owned distribution network utilized to deliver products to our retail customers.</w:t>
      </w:r>
    </w:p>
    <w:p>
      <w:pPr>
        <w:spacing w:after="0" w:line="114" w:lineRule="exact"/>
        <w:rPr>
          <w:sz w:val="20"/>
          <w:szCs w:val="20"/>
          <w:color w:val="auto"/>
        </w:rPr>
      </w:pPr>
    </w:p>
    <w:p>
      <w:pPr>
        <w:jc w:val="both"/>
        <w:ind w:right="760"/>
        <w:spacing w:after="0" w:line="241" w:lineRule="auto"/>
        <w:rPr>
          <w:sz w:val="20"/>
          <w:szCs w:val="20"/>
          <w:color w:val="auto"/>
        </w:rPr>
      </w:pPr>
      <w:r>
        <w:rPr>
          <w:rFonts w:ascii="Times New Roman" w:cs="Times New Roman" w:eastAsia="Times New Roman" w:hAnsi="Times New Roman"/>
          <w:sz w:val="13"/>
          <w:szCs w:val="13"/>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November 29, 2025, November 30, 2024 and November 25, 2023, the only such operating segment included in Corporate and other is Noa Home, which was acquired on September 2, 2022. All sales reported in our Corporate and other category are attributable to Noa Home, which generated substantially all of its sales outside of the United States. During the second fiscal quarter of 2024 we concluded that Noa Home was not likely to achieve profitability in the foreseeable future and ceased operations as of the end of 2024 by selling the remaining inventory in an orderly fashion over the second half of fiscal 2024.</w:t>
      </w:r>
    </w:p>
    <w:p>
      <w:pPr>
        <w:spacing w:after="0" w:line="132"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Inter-company net sales elimination represents the elimination of wholesale sales to our Company-owned stores. Inter-company income elimination includes the embedded wholesale profit in the Company -owned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20" w:lineRule="exact"/>
        <w:rPr>
          <w:sz w:val="20"/>
          <w:szCs w:val="20"/>
          <w:color w:val="auto"/>
        </w:rPr>
      </w:pPr>
      <w:r>
        <w:rPr>
          <w:sz w:val="20"/>
          <w:szCs w:val="20"/>
          <w:color w:val="auto"/>
        </w:rPr>
        <w:br w:type="column"/>
      </w:r>
    </w:p>
    <w:p>
      <w:pPr>
        <w:ind w:right="80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Reconciliation of Segment Results to Consolidated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24606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0625"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194pt,1.2pt" o:allowincell="f" strokecolor="#000000" strokeweight="0.6209pt"/>
            </w:pict>
          </mc:Fallback>
        </mc:AlternateContent>
      </w:r>
    </w:p>
    <w:p>
      <w:pPr>
        <w:spacing w:after="0" w:line="1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To supplement the segment financial measures prepared in accordance with GAAP, we also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that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Year Ended November 29, 2025</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115"/>
              <w:spacing w:after="0" w:line="119" w:lineRule="exact"/>
              <w:rPr>
                <w:sz w:val="20"/>
                <w:szCs w:val="20"/>
                <w:color w:val="auto"/>
              </w:rPr>
            </w:pPr>
            <w:r>
              <w:rPr>
                <w:rFonts w:ascii="Times New Roman" w:cs="Times New Roman" w:eastAsia="Times New Roman" w:hAnsi="Times New Roman"/>
                <w:sz w:val="13"/>
                <w:szCs w:val="13"/>
                <w:color w:val="auto"/>
              </w:rPr>
              <w:t>GAAP</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275"/>
              <w:spacing w:after="0"/>
              <w:rPr>
                <w:sz w:val="20"/>
                <w:szCs w:val="20"/>
                <w:color w:val="auto"/>
              </w:rPr>
            </w:pPr>
            <w:r>
              <w:rPr>
                <w:rFonts w:ascii="Times New Roman" w:cs="Times New Roman" w:eastAsia="Times New Roman" w:hAnsi="Times New Roman"/>
                <w:sz w:val="13"/>
                <w:szCs w:val="13"/>
                <w:color w:val="auto"/>
              </w:rPr>
              <w:t>Non-GAAP Presentation</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rPr>
              <w:t>Special</w:t>
            </w:r>
          </w:p>
        </w:tc>
        <w:tc>
          <w:tcPr>
            <w:tcW w:w="140" w:type="dxa"/>
            <w:vAlign w:val="bottom"/>
          </w:tcPr>
          <w:p>
            <w:pPr>
              <w:spacing w:after="0"/>
              <w:rPr>
                <w:sz w:val="15"/>
                <w:szCs w:val="15"/>
                <w:color w:val="auto"/>
              </w:rPr>
            </w:pP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rPr>
              <w:t>Non-</w:t>
            </w:r>
          </w:p>
        </w:tc>
        <w:tc>
          <w:tcPr>
            <w:tcW w:w="80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Presentation</w:t>
            </w:r>
          </w:p>
        </w:tc>
        <w:tc>
          <w:tcPr>
            <w:tcW w:w="0" w:type="dxa"/>
            <w:vAlign w:val="bottom"/>
          </w:tcPr>
          <w:p>
            <w:pPr>
              <w:spacing w:after="0"/>
              <w:rPr>
                <w:sz w:val="1"/>
                <w:szCs w:val="1"/>
                <w:color w:val="auto"/>
              </w:rPr>
            </w:pPr>
          </w:p>
        </w:tc>
      </w:tr>
      <w:tr>
        <w:trPr>
          <w:trHeight w:val="113"/>
        </w:trPr>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right"/>
              <w:ind w:right="15"/>
              <w:spacing w:after="0" w:line="113" w:lineRule="exact"/>
              <w:rPr>
                <w:sz w:val="20"/>
                <w:szCs w:val="20"/>
                <w:color w:val="auto"/>
              </w:rPr>
            </w:pPr>
            <w:r>
              <w:rPr>
                <w:rFonts w:ascii="Times New Roman" w:cs="Times New Roman" w:eastAsia="Times New Roman" w:hAnsi="Times New Roman"/>
                <w:sz w:val="13"/>
                <w:szCs w:val="13"/>
                <w:color w:val="auto"/>
              </w:rPr>
              <w:t>Corporate</w:t>
            </w: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Wholesale</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Retail</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2"/>
              </w:rPr>
              <w:t>&amp; Other</w:t>
            </w: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Eliminations</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89"/>
              </w:rPr>
              <w:t>Items</w:t>
            </w:r>
          </w:p>
        </w:tc>
        <w:tc>
          <w:tcPr>
            <w:tcW w:w="6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Operating</w:t>
            </w: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Consolidated</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sales</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214,614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216,681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(96,015 )(1)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335,280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138,883</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103,205</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(95,490 )(2)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146,598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20" w:type="dxa"/>
            <w:vAlign w:val="bottom"/>
            <w:gridSpan w:val="2"/>
          </w:tcPr>
          <w:p>
            <w:pPr>
              <w:ind w:left="240"/>
              <w:spacing w:after="0" w:line="116" w:lineRule="exact"/>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75,731</w:t>
            </w:r>
          </w:p>
        </w:tc>
        <w:tc>
          <w:tcPr>
            <w:tcW w:w="12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w w:val="99"/>
              </w:rPr>
              <w:t>113,476</w:t>
            </w:r>
          </w:p>
        </w:tc>
        <w:tc>
          <w:tcPr>
            <w:tcW w:w="12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(525 )(3)</w:t>
            </w:r>
          </w:p>
        </w:tc>
        <w:tc>
          <w:tcPr>
            <w:tcW w:w="100" w:type="dxa"/>
            <w:vAlign w:val="bottom"/>
          </w:tcPr>
          <w:p>
            <w:pPr>
              <w:spacing w:after="0"/>
              <w:rPr>
                <w:sz w:val="10"/>
                <w:szCs w:val="10"/>
                <w:color w:val="auto"/>
              </w:rPr>
            </w:pPr>
          </w:p>
        </w:tc>
        <w:tc>
          <w:tcPr>
            <w:tcW w:w="540" w:type="dxa"/>
            <w:vAlign w:val="bottom"/>
          </w:tcPr>
          <w:p>
            <w:pPr>
              <w:jc w:val="right"/>
              <w:ind w:right="115"/>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188,682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SG&amp;A expense</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40,870</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113,069</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27,652</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(1,234 )(4)</w:t>
            </w:r>
          </w:p>
        </w:tc>
        <w:tc>
          <w:tcPr>
            <w:tcW w:w="100" w:type="dxa"/>
            <w:vAlign w:val="bottom"/>
          </w:tcPr>
          <w:p>
            <w:pPr>
              <w:spacing w:after="0"/>
              <w:rPr>
                <w:sz w:val="12"/>
                <w:szCs w:val="12"/>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180,357</w:t>
            </w:r>
          </w:p>
        </w:tc>
        <w:tc>
          <w:tcPr>
            <w:tcW w:w="0" w:type="dxa"/>
            <w:vAlign w:val="bottom"/>
          </w:tcPr>
          <w:p>
            <w:pPr>
              <w:spacing w:after="0"/>
              <w:rPr>
                <w:sz w:val="1"/>
                <w:szCs w:val="1"/>
                <w:color w:val="auto"/>
              </w:rPr>
            </w:pPr>
          </w:p>
        </w:tc>
      </w:tr>
      <w:tr>
        <w:trPr>
          <w:trHeight w:val="172"/>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Asset impairment charges</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498(5)</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42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rPr>
              <w:t>Income (loss) from</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operations</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34,861</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(27,652)</w:t>
            </w:r>
          </w:p>
        </w:tc>
        <w:tc>
          <w:tcPr>
            <w:tcW w:w="240" w:type="dxa"/>
            <w:vAlign w:val="bottom"/>
          </w:tcPr>
          <w:p>
            <w:pPr>
              <w:spacing w:after="0"/>
              <w:rPr>
                <w:sz w:val="12"/>
                <w:szCs w:val="12"/>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Pr>
          <w:p>
            <w:pPr>
              <w:spacing w:after="0"/>
              <w:rPr>
                <w:sz w:val="12"/>
                <w:szCs w:val="12"/>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498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1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4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(52)</w:t>
            </w:r>
          </w:p>
        </w:tc>
        <w:tc>
          <w:tcPr>
            <w:tcW w:w="18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2"/>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loss, net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0" w:type="dxa"/>
            <w:vAlign w:val="bottom"/>
          </w:tcPr>
          <w:p>
            <w:pPr>
              <w:spacing w:after="0"/>
              <w:rPr>
                <w:sz w:val="1"/>
                <w:szCs w:val="1"/>
                <w:color w:val="auto"/>
              </w:rPr>
            </w:pPr>
          </w:p>
        </w:tc>
      </w:tr>
      <w:tr>
        <w:trPr>
          <w:trHeight w:val="116"/>
        </w:trPr>
        <w:tc>
          <w:tcPr>
            <w:tcW w:w="14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Income (loss) before</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34,861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(27,652)</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498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Year Ended November 30, 2024</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115"/>
              <w:spacing w:after="0" w:line="119" w:lineRule="exact"/>
              <w:rPr>
                <w:sz w:val="20"/>
                <w:szCs w:val="20"/>
                <w:color w:val="auto"/>
              </w:rPr>
            </w:pPr>
            <w:r>
              <w:rPr>
                <w:rFonts w:ascii="Times New Roman" w:cs="Times New Roman" w:eastAsia="Times New Roman" w:hAnsi="Times New Roman"/>
                <w:sz w:val="13"/>
                <w:szCs w:val="13"/>
                <w:color w:val="auto"/>
              </w:rPr>
              <w:t>GAAP</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275"/>
              <w:spacing w:after="0"/>
              <w:rPr>
                <w:sz w:val="20"/>
                <w:szCs w:val="20"/>
                <w:color w:val="auto"/>
              </w:rPr>
            </w:pPr>
            <w:r>
              <w:rPr>
                <w:rFonts w:ascii="Times New Roman" w:cs="Times New Roman" w:eastAsia="Times New Roman" w:hAnsi="Times New Roman"/>
                <w:sz w:val="13"/>
                <w:szCs w:val="13"/>
                <w:color w:val="auto"/>
              </w:rPr>
              <w:t>Non-GAAP Presentation</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rPr>
              <w:t>Special</w:t>
            </w:r>
          </w:p>
        </w:tc>
        <w:tc>
          <w:tcPr>
            <w:tcW w:w="140" w:type="dxa"/>
            <w:vAlign w:val="bottom"/>
          </w:tcPr>
          <w:p>
            <w:pPr>
              <w:spacing w:after="0"/>
              <w:rPr>
                <w:sz w:val="15"/>
                <w:szCs w:val="15"/>
                <w:color w:val="auto"/>
              </w:rPr>
            </w:pP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rPr>
              <w:t>Non-</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Presentation</w:t>
            </w: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ind w:right="15"/>
              <w:spacing w:after="0" w:line="114" w:lineRule="exact"/>
              <w:rPr>
                <w:sz w:val="20"/>
                <w:szCs w:val="20"/>
                <w:color w:val="auto"/>
              </w:rPr>
            </w:pPr>
            <w:r>
              <w:rPr>
                <w:rFonts w:ascii="Times New Roman" w:cs="Times New Roman" w:eastAsia="Times New Roman" w:hAnsi="Times New Roman"/>
                <w:sz w:val="13"/>
                <w:szCs w:val="13"/>
                <w:color w:val="auto"/>
              </w:rPr>
              <w:t>Corporate</w:t>
            </w: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8"/>
              </w:rPr>
              <w:t>Wholesale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w w:val="96"/>
              </w:rPr>
              <w:t>Retail</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2"/>
              </w:rPr>
              <w:t>&amp; Other</w:t>
            </w: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Eliminations</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89"/>
              </w:rPr>
              <w:t>Items</w:t>
            </w:r>
          </w:p>
        </w:tc>
        <w:tc>
          <w:tcPr>
            <w:tcW w:w="6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Operating</w:t>
            </w: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Consolidated</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207,462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9"/>
              </w:rPr>
              <w:t>204,563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4,919</w:t>
            </w:r>
          </w:p>
        </w:tc>
        <w:tc>
          <w:tcPr>
            <w:tcW w:w="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(87,021)(1)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329,923</w:t>
            </w:r>
          </w:p>
        </w:tc>
        <w:tc>
          <w:tcPr>
            <w:tcW w:w="0" w:type="dxa"/>
            <w:vAlign w:val="bottom"/>
          </w:tcPr>
          <w:p>
            <w:pPr>
              <w:spacing w:after="0"/>
              <w:rPr>
                <w:sz w:val="1"/>
                <w:szCs w:val="1"/>
                <w:color w:val="auto"/>
              </w:rPr>
            </w:pPr>
          </w:p>
        </w:tc>
      </w:tr>
      <w:tr>
        <w:trPr>
          <w:trHeight w:val="172"/>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139,393</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95,728</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(87,416)(2)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150,508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2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68,069</w:t>
            </w:r>
          </w:p>
        </w:tc>
        <w:tc>
          <w:tcPr>
            <w:tcW w:w="140" w:type="dxa"/>
            <w:vAlign w:val="bottom"/>
          </w:tcPr>
          <w:p>
            <w:pPr>
              <w:spacing w:after="0"/>
              <w:rPr>
                <w:sz w:val="10"/>
                <w:szCs w:val="10"/>
                <w:color w:val="auto"/>
              </w:rPr>
            </w:pPr>
          </w:p>
        </w:tc>
        <w:tc>
          <w:tcPr>
            <w:tcW w:w="520" w:type="dxa"/>
            <w:vAlign w:val="bottom"/>
          </w:tcPr>
          <w:p>
            <w:pPr>
              <w:jc w:val="right"/>
              <w:ind w:right="15"/>
              <w:spacing w:after="0" w:line="116" w:lineRule="exact"/>
              <w:rPr>
                <w:sz w:val="20"/>
                <w:szCs w:val="20"/>
                <w:color w:val="auto"/>
              </w:rPr>
            </w:pPr>
            <w:r>
              <w:rPr>
                <w:rFonts w:ascii="Times New Roman" w:cs="Times New Roman" w:eastAsia="Times New Roman" w:hAnsi="Times New Roman"/>
                <w:sz w:val="13"/>
                <w:szCs w:val="13"/>
                <w:color w:val="auto"/>
                <w:w w:val="99"/>
              </w:rPr>
              <w:t>108,835</w:t>
            </w:r>
          </w:p>
        </w:tc>
        <w:tc>
          <w:tcPr>
            <w:tcW w:w="10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2,116</w:t>
            </w:r>
          </w:p>
        </w:tc>
        <w:tc>
          <w:tcPr>
            <w:tcW w:w="240" w:type="dxa"/>
            <w:vAlign w:val="bottom"/>
          </w:tcPr>
          <w:p>
            <w:pPr>
              <w:spacing w:after="0"/>
              <w:rPr>
                <w:sz w:val="10"/>
                <w:szCs w:val="10"/>
                <w:color w:val="auto"/>
              </w:rPr>
            </w:pPr>
          </w:p>
        </w:tc>
        <w:tc>
          <w:tcPr>
            <w:tcW w:w="740" w:type="dxa"/>
            <w:vAlign w:val="bottom"/>
          </w:tcPr>
          <w:p>
            <w:pPr>
              <w:jc w:val="right"/>
              <w:ind w:right="15"/>
              <w:spacing w:after="0" w:line="116" w:lineRule="exact"/>
              <w:rPr>
                <w:sz w:val="20"/>
                <w:szCs w:val="20"/>
                <w:color w:val="auto"/>
              </w:rPr>
            </w:pPr>
            <w:r>
              <w:rPr>
                <w:rFonts w:ascii="Times New Roman" w:cs="Times New Roman" w:eastAsia="Times New Roman" w:hAnsi="Times New Roman"/>
                <w:sz w:val="13"/>
                <w:szCs w:val="13"/>
                <w:color w:val="auto"/>
              </w:rPr>
              <w:t>395(3)</w:t>
            </w:r>
          </w:p>
        </w:tc>
        <w:tc>
          <w:tcPr>
            <w:tcW w:w="100" w:type="dxa"/>
            <w:vAlign w:val="bottom"/>
          </w:tcPr>
          <w:p>
            <w:pPr>
              <w:spacing w:after="0"/>
              <w:rPr>
                <w:sz w:val="10"/>
                <w:szCs w:val="10"/>
                <w:color w:val="auto"/>
              </w:rPr>
            </w:pPr>
          </w:p>
        </w:tc>
        <w:tc>
          <w:tcPr>
            <w:tcW w:w="540" w:type="dxa"/>
            <w:vAlign w:val="bottom"/>
          </w:tcPr>
          <w:p>
            <w:pPr>
              <w:jc w:val="right"/>
              <w:ind w:right="115"/>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2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3"/>
                <w:szCs w:val="13"/>
                <w:color w:val="auto"/>
              </w:rPr>
              <w:t>179,415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SG&amp;A expense</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42,712</w:t>
            </w:r>
          </w:p>
        </w:tc>
        <w:tc>
          <w:tcPr>
            <w:tcW w:w="140" w:type="dxa"/>
            <w:vAlign w:val="bottom"/>
          </w:tcPr>
          <w:p>
            <w:pPr>
              <w:spacing w:after="0"/>
              <w:rPr>
                <w:sz w:val="12"/>
                <w:szCs w:val="12"/>
                <w:color w:val="auto"/>
              </w:rPr>
            </w:pPr>
          </w:p>
        </w:tc>
        <w:tc>
          <w:tcPr>
            <w:tcW w:w="52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3"/>
                <w:szCs w:val="13"/>
                <w:color w:val="auto"/>
                <w:w w:val="99"/>
              </w:rPr>
              <w:t>115,439</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30,572</w:t>
            </w: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(1,196)(4)</w:t>
            </w:r>
          </w:p>
        </w:tc>
        <w:tc>
          <w:tcPr>
            <w:tcW w:w="100" w:type="dxa"/>
            <w:vAlign w:val="bottom"/>
          </w:tcPr>
          <w:p>
            <w:pPr>
              <w:spacing w:after="0"/>
              <w:rPr>
                <w:sz w:val="12"/>
                <w:szCs w:val="12"/>
                <w:color w:val="auto"/>
              </w:rPr>
            </w:pPr>
          </w:p>
        </w:tc>
        <w:tc>
          <w:tcPr>
            <w:tcW w:w="54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187,527</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Asset impairment charges</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5,515(6)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5,515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Loss on contract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abandonment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4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1,240(7)</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1,240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Loss upon realization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cumulative translation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adjustment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4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962(8)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962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440(9)</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Income (loss) from</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25,357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(28,456)</w:t>
            </w:r>
          </w:p>
        </w:tc>
        <w:tc>
          <w:tcPr>
            <w:tcW w:w="240" w:type="dxa"/>
            <w:vAlign w:val="bottom"/>
          </w:tcPr>
          <w:p>
            <w:pPr>
              <w:spacing w:after="0"/>
              <w:rPr>
                <w:sz w:val="12"/>
                <w:szCs w:val="12"/>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1,591</w:t>
            </w:r>
          </w:p>
        </w:tc>
        <w:tc>
          <w:tcPr>
            <w:tcW w:w="100" w:type="dxa"/>
            <w:vAlign w:val="bottom"/>
          </w:tcPr>
          <w:p>
            <w:pPr>
              <w:spacing w:after="0"/>
              <w:rPr>
                <w:sz w:val="12"/>
                <w:szCs w:val="12"/>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8,157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(16,269)</w:t>
            </w:r>
          </w:p>
        </w:tc>
        <w:tc>
          <w:tcPr>
            <w:tcW w:w="0" w:type="dxa"/>
            <w:vAlign w:val="bottom"/>
          </w:tcPr>
          <w:p>
            <w:pPr>
              <w:spacing w:after="0"/>
              <w:rPr>
                <w:sz w:val="1"/>
                <w:szCs w:val="1"/>
                <w:color w:val="auto"/>
              </w:rPr>
            </w:pPr>
          </w:p>
        </w:tc>
      </w:tr>
      <w:tr>
        <w:trPr>
          <w:trHeight w:val="148"/>
        </w:trPr>
        <w:tc>
          <w:tcPr>
            <w:tcW w:w="1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Interest income</w:t>
            </w:r>
          </w:p>
        </w:tc>
        <w:tc>
          <w:tcPr>
            <w:tcW w:w="1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ind w:right="15"/>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40" w:type="dxa"/>
            <w:vAlign w:val="bottom"/>
          </w:tcPr>
          <w:p>
            <w:pPr>
              <w:jc w:val="right"/>
              <w:ind w:right="175"/>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ind w:right="115"/>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2,673</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3"/>
                <w:szCs w:val="13"/>
                <w:color w:val="auto"/>
              </w:rPr>
              <w:t>2,673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Other loss, net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Income (loss) before</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25,357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(28,456)</w:t>
            </w:r>
          </w:p>
        </w:tc>
        <w:tc>
          <w:tcPr>
            <w:tcW w:w="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1,591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8,157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(14,370)</w:t>
            </w:r>
          </w:p>
        </w:tc>
        <w:tc>
          <w:tcPr>
            <w:tcW w:w="0" w:type="dxa"/>
            <w:vAlign w:val="bottom"/>
          </w:tcPr>
          <w:p>
            <w:pPr>
              <w:spacing w:after="0"/>
              <w:rPr>
                <w:sz w:val="1"/>
                <w:szCs w:val="1"/>
                <w:color w:val="auto"/>
              </w:rPr>
            </w:pPr>
          </w:p>
        </w:tc>
      </w:tr>
      <w:tr>
        <w:trPr>
          <w:trHeight w:val="31"/>
        </w:trPr>
        <w:tc>
          <w:tcPr>
            <w:tcW w:w="14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5840" w:h="12240" w:orient="landscape"/>
          <w:cols w:equalWidth="0" w:num="2">
            <w:col w:w="7200" w:space="720"/>
            <w:col w:w="6440"/>
          </w:cols>
          <w:pgMar w:left="740" w:top="1424" w:right="740" w:bottom="929" w:gutter="0" w:footer="0" w:header="0"/>
        </w:sectPr>
      </w:pPr>
    </w:p>
    <w:p>
      <w:pPr>
        <w:spacing w:after="0" w:line="101" w:lineRule="exact"/>
        <w:rPr>
          <w:sz w:val="20"/>
          <w:szCs w:val="20"/>
          <w:color w:val="auto"/>
        </w:rPr>
      </w:pPr>
    </w:p>
    <w:p>
      <w:pPr>
        <w:ind w:left="3180"/>
        <w:spacing w:after="0"/>
        <w:tabs>
          <w:tab w:leader="none" w:pos="11080" w:val="left"/>
        </w:tabs>
        <w:rPr>
          <w:sz w:val="20"/>
          <w:szCs w:val="20"/>
          <w:color w:val="auto"/>
        </w:rPr>
      </w:pPr>
      <w:r>
        <w:rPr>
          <w:rFonts w:ascii="Times New Roman" w:cs="Times New Roman" w:eastAsia="Times New Roman" w:hAnsi="Times New Roman"/>
          <w:sz w:val="13"/>
          <w:szCs w:val="13"/>
          <w:color w:val="auto"/>
        </w:rPr>
        <w:t>3</w:t>
      </w:r>
      <w:r>
        <w:rPr>
          <w:sz w:val="20"/>
          <w:szCs w:val="20"/>
          <w:color w:val="auto"/>
        </w:rPr>
        <w:tab/>
      </w:r>
      <w:r>
        <w:rPr>
          <w:rFonts w:ascii="Times New Roman" w:cs="Times New Roman" w:eastAsia="Times New Roman" w:hAnsi="Times New Roman"/>
          <w:sz w:val="13"/>
          <w:szCs w:val="13"/>
          <w:color w:val="auto"/>
        </w:rPr>
        <w:t>4</w:t>
      </w:r>
    </w:p>
    <w:p>
      <w:pPr>
        <w:sectPr>
          <w:pgSz w:w="15840" w:h="12240" w:orient="landscape"/>
          <w:cols w:equalWidth="0" w:num="1">
            <w:col w:w="14360"/>
          </w:cols>
          <w:pgMar w:left="740" w:top="1424" w:right="740" w:bottom="929" w:gutter="0" w:footer="0" w:header="0"/>
          <w:type w:val="continuous"/>
        </w:sectPr>
      </w:pPr>
    </w:p>
    <w:bookmarkStart w:id="6" w:name="page7"/>
    <w:bookmarkEnd w:id="6"/>
    <w:p>
      <w:pPr>
        <w:ind w:right="156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Year Ended November 25, 2023</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115"/>
              <w:spacing w:after="0" w:line="119" w:lineRule="exact"/>
              <w:rPr>
                <w:sz w:val="20"/>
                <w:szCs w:val="20"/>
                <w:color w:val="auto"/>
              </w:rPr>
            </w:pPr>
            <w:r>
              <w:rPr>
                <w:rFonts w:ascii="Times New Roman" w:cs="Times New Roman" w:eastAsia="Times New Roman" w:hAnsi="Times New Roman"/>
                <w:sz w:val="13"/>
                <w:szCs w:val="13"/>
                <w:color w:val="auto"/>
              </w:rPr>
              <w:t>GAAP</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295"/>
              <w:spacing w:after="0"/>
              <w:rPr>
                <w:sz w:val="20"/>
                <w:szCs w:val="20"/>
                <w:color w:val="auto"/>
              </w:rPr>
            </w:pPr>
            <w:r>
              <w:rPr>
                <w:rFonts w:ascii="Times New Roman" w:cs="Times New Roman" w:eastAsia="Times New Roman" w:hAnsi="Times New Roman"/>
                <w:sz w:val="13"/>
                <w:szCs w:val="13"/>
                <w:color w:val="auto"/>
              </w:rPr>
              <w:t>Non-GAAP Presentation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gridSpan w:val="2"/>
            <w:vMerge w:val="restart"/>
          </w:tcPr>
          <w:p>
            <w:pPr>
              <w:jc w:val="right"/>
              <w:ind w:right="215"/>
              <w:spacing w:after="0"/>
              <w:rPr>
                <w:sz w:val="20"/>
                <w:szCs w:val="20"/>
                <w:color w:val="auto"/>
              </w:rPr>
            </w:pPr>
            <w:r>
              <w:rPr>
                <w:rFonts w:ascii="Times New Roman" w:cs="Times New Roman" w:eastAsia="Times New Roman" w:hAnsi="Times New Roman"/>
                <w:sz w:val="13"/>
                <w:szCs w:val="13"/>
                <w:color w:val="auto"/>
              </w:rPr>
              <w:t>Special</w:t>
            </w:r>
          </w:p>
        </w:tc>
        <w:tc>
          <w:tcPr>
            <w:tcW w:w="140" w:type="dxa"/>
            <w:vAlign w:val="bottom"/>
          </w:tcPr>
          <w:p>
            <w:pPr>
              <w:spacing w:after="0"/>
              <w:rPr>
                <w:sz w:val="15"/>
                <w:szCs w:val="15"/>
                <w:color w:val="auto"/>
              </w:rPr>
            </w:pP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rPr>
              <w:t>Non-</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Presentation</w:t>
            </w:r>
          </w:p>
        </w:tc>
        <w:tc>
          <w:tcPr>
            <w:tcW w:w="0" w:type="dxa"/>
            <w:vAlign w:val="bottom"/>
          </w:tcPr>
          <w:p>
            <w:pPr>
              <w:spacing w:after="0"/>
              <w:rPr>
                <w:sz w:val="1"/>
                <w:szCs w:val="1"/>
                <w:color w:val="auto"/>
              </w:rPr>
            </w:pPr>
          </w:p>
        </w:tc>
      </w:tr>
      <w:tr>
        <w:trPr>
          <w:trHeight w:val="113"/>
        </w:trPr>
        <w:tc>
          <w:tcPr>
            <w:tcW w:w="1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ind w:right="15"/>
              <w:spacing w:after="0" w:line="113" w:lineRule="exact"/>
              <w:rPr>
                <w:sz w:val="20"/>
                <w:szCs w:val="20"/>
                <w:color w:val="auto"/>
              </w:rPr>
            </w:pPr>
            <w:r>
              <w:rPr>
                <w:rFonts w:ascii="Times New Roman" w:cs="Times New Roman" w:eastAsia="Times New Roman" w:hAnsi="Times New Roman"/>
                <w:sz w:val="13"/>
                <w:szCs w:val="13"/>
                <w:color w:val="auto"/>
              </w:rPr>
              <w:t>Corporate</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6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3"/>
                <w:szCs w:val="13"/>
                <w:color w:val="auto"/>
                <w:w w:val="94"/>
              </w:rPr>
              <w:t>Wholesale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w w:val="96"/>
              </w:rPr>
              <w:t>Retail</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2"/>
              </w:rPr>
              <w:t>&amp; Other</w:t>
            </w: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Eliminations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color w:val="auto"/>
                <w:w w:val="96"/>
              </w:rPr>
              <w:t>Items</w:t>
            </w:r>
          </w:p>
        </w:tc>
        <w:tc>
          <w:tcPr>
            <w:tcW w:w="6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Operating</w:t>
            </w: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99"/>
              </w:rPr>
              <w:t>Consolidated</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Net sales</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248,911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9"/>
              </w:rPr>
              <w:t>235,940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8,804</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(103,519 )(1)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390,136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171,394</w:t>
            </w:r>
          </w:p>
        </w:tc>
        <w:tc>
          <w:tcPr>
            <w:tcW w:w="14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9"/>
              </w:rPr>
              <w:t>111,769</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(103,517 )(2)</w:t>
            </w:r>
          </w:p>
        </w:tc>
        <w:tc>
          <w:tcPr>
            <w:tcW w:w="10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183,648</w:t>
            </w:r>
          </w:p>
        </w:tc>
        <w:tc>
          <w:tcPr>
            <w:tcW w:w="0" w:type="dxa"/>
            <w:vAlign w:val="bottom"/>
          </w:tcPr>
          <w:p>
            <w:pPr>
              <w:spacing w:after="0"/>
              <w:rPr>
                <w:sz w:val="1"/>
                <w:szCs w:val="1"/>
                <w:color w:val="auto"/>
              </w:rPr>
            </w:pPr>
          </w:p>
        </w:tc>
      </w:tr>
      <w:tr>
        <w:trPr>
          <w:trHeight w:val="116"/>
        </w:trPr>
        <w:tc>
          <w:tcPr>
            <w:tcW w:w="136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77,517</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5"/>
              <w:spacing w:after="0" w:line="116" w:lineRule="exact"/>
              <w:rPr>
                <w:sz w:val="20"/>
                <w:szCs w:val="20"/>
                <w:color w:val="auto"/>
              </w:rPr>
            </w:pPr>
            <w:r>
              <w:rPr>
                <w:rFonts w:ascii="Times New Roman" w:cs="Times New Roman" w:eastAsia="Times New Roman" w:hAnsi="Times New Roman"/>
                <w:sz w:val="13"/>
                <w:szCs w:val="13"/>
                <w:color w:val="auto"/>
                <w:w w:val="99"/>
              </w:rPr>
              <w:t>124,171</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4,802</w:t>
            </w: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(2 )(3)</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75"/>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20"/>
              <w:spacing w:after="0" w:line="116" w:lineRule="exact"/>
              <w:rPr>
                <w:sz w:val="20"/>
                <w:szCs w:val="20"/>
                <w:color w:val="auto"/>
              </w:rPr>
            </w:pPr>
            <w:r>
              <w:rPr>
                <w:rFonts w:ascii="Times New Roman" w:cs="Times New Roman" w:eastAsia="Times New Roman" w:hAnsi="Times New Roman"/>
                <w:sz w:val="13"/>
                <w:szCs w:val="13"/>
                <w:color w:val="auto"/>
              </w:rPr>
              <w:t>206,488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SG&amp;A expense</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46,818</w:t>
            </w:r>
          </w:p>
        </w:tc>
        <w:tc>
          <w:tcPr>
            <w:tcW w:w="140" w:type="dxa"/>
            <w:vAlign w:val="bottom"/>
          </w:tcPr>
          <w:p>
            <w:pPr>
              <w:spacing w:after="0"/>
              <w:rPr>
                <w:sz w:val="12"/>
                <w:szCs w:val="12"/>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9"/>
              </w:rPr>
              <w:t>124,707</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34,728</w:t>
            </w: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(1,026 )(4)</w:t>
            </w:r>
          </w:p>
        </w:tc>
        <w:tc>
          <w:tcPr>
            <w:tcW w:w="100" w:type="dxa"/>
            <w:vAlign w:val="bottom"/>
          </w:tcPr>
          <w:p>
            <w:pPr>
              <w:spacing w:after="0"/>
              <w:rPr>
                <w:sz w:val="12"/>
                <w:szCs w:val="12"/>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205,227</w:t>
            </w:r>
          </w:p>
        </w:tc>
        <w:tc>
          <w:tcPr>
            <w:tcW w:w="0" w:type="dxa"/>
            <w:vAlign w:val="bottom"/>
          </w:tcPr>
          <w:p>
            <w:pPr>
              <w:spacing w:after="0"/>
              <w:rPr>
                <w:sz w:val="1"/>
                <w:szCs w:val="1"/>
                <w:color w:val="auto"/>
              </w:rPr>
            </w:pPr>
          </w:p>
        </w:tc>
      </w:tr>
      <w:tr>
        <w:trPr>
          <w:trHeight w:val="148"/>
        </w:trPr>
        <w:tc>
          <w:tcPr>
            <w:tcW w:w="13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Goodwill impairment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charge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5,409(10)</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Gain on revaluation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contingent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consideration</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1,013(11)</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1,013</w:t>
            </w:r>
          </w:p>
        </w:tc>
        <w:tc>
          <w:tcPr>
            <w:tcW w:w="0" w:type="dxa"/>
            <w:vAlign w:val="bottom"/>
          </w:tcPr>
          <w:p>
            <w:pPr>
              <w:spacing w:after="0"/>
              <w:rPr>
                <w:sz w:val="1"/>
                <w:szCs w:val="1"/>
                <w:color w:val="auto"/>
              </w:rPr>
            </w:pPr>
          </w:p>
        </w:tc>
      </w:tr>
      <w:tr>
        <w:trPr>
          <w:trHeight w:val="116"/>
        </w:trPr>
        <w:tc>
          <w:tcPr>
            <w:tcW w:w="13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Income (loss) from</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30,699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(536 )</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(29,926 )</w:t>
            </w:r>
          </w:p>
        </w:tc>
        <w:tc>
          <w:tcPr>
            <w:tcW w:w="200" w:type="dxa"/>
            <w:vAlign w:val="bottom"/>
          </w:tcPr>
          <w:p>
            <w:pPr>
              <w:spacing w:after="0"/>
              <w:rPr>
                <w:sz w:val="12"/>
                <w:szCs w:val="12"/>
                <w:color w:val="auto"/>
              </w:rPr>
            </w:pPr>
          </w:p>
        </w:tc>
        <w:tc>
          <w:tcPr>
            <w:tcW w:w="7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1,024</w:t>
            </w:r>
          </w:p>
        </w:tc>
        <w:tc>
          <w:tcPr>
            <w:tcW w:w="100" w:type="dxa"/>
            <w:vAlign w:val="bottom"/>
          </w:tcPr>
          <w:p>
            <w:pPr>
              <w:spacing w:after="0"/>
              <w:rPr>
                <w:sz w:val="12"/>
                <w:szCs w:val="12"/>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4,396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(3,135)</w:t>
            </w:r>
          </w:p>
        </w:tc>
        <w:tc>
          <w:tcPr>
            <w:tcW w:w="0" w:type="dxa"/>
            <w:vAlign w:val="bottom"/>
          </w:tcPr>
          <w:p>
            <w:pPr>
              <w:spacing w:after="0"/>
              <w:rPr>
                <w:sz w:val="1"/>
                <w:szCs w:val="1"/>
                <w:color w:val="auto"/>
              </w:rPr>
            </w:pPr>
          </w:p>
        </w:tc>
      </w:tr>
      <w:tr>
        <w:trPr>
          <w:trHeight w:val="148"/>
        </w:trPr>
        <w:tc>
          <w:tcPr>
            <w:tcW w:w="136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Interest income</w:t>
            </w:r>
          </w:p>
        </w:tc>
        <w:tc>
          <w:tcPr>
            <w:tcW w:w="1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ind w:right="15"/>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60" w:type="dxa"/>
            <w:vAlign w:val="bottom"/>
          </w:tcPr>
          <w:p>
            <w:pPr>
              <w:jc w:val="right"/>
              <w:ind w:right="155"/>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ind w:right="175"/>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2,528</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3"/>
                <w:szCs w:val="13"/>
                <w:color w:val="auto"/>
              </w:rPr>
              <w:t>2,528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Other loss, net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1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0" w:type="dxa"/>
            <w:vAlign w:val="bottom"/>
          </w:tcPr>
          <w:p>
            <w:pPr>
              <w:spacing w:after="0"/>
              <w:rPr>
                <w:sz w:val="1"/>
                <w:szCs w:val="1"/>
                <w:color w:val="auto"/>
              </w:rPr>
            </w:pPr>
          </w:p>
        </w:tc>
      </w:tr>
      <w:tr>
        <w:trPr>
          <w:trHeight w:val="116"/>
        </w:trPr>
        <w:tc>
          <w:tcPr>
            <w:tcW w:w="13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Income (loss) before</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30,699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(29,926 )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1,024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4,396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0" w:type="dxa"/>
            <w:vAlign w:val="bottom"/>
          </w:tcPr>
          <w:p>
            <w:pPr>
              <w:spacing w:after="0"/>
              <w:rPr>
                <w:sz w:val="1"/>
                <w:szCs w:val="1"/>
                <w:color w:val="auto"/>
              </w:rPr>
            </w:pPr>
          </w:p>
        </w:tc>
      </w:tr>
      <w:tr>
        <w:trPr>
          <w:trHeight w:val="31"/>
        </w:trPr>
        <w:tc>
          <w:tcPr>
            <w:tcW w:w="1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Notes to Segment Consolidation Table:</w:t>
      </w:r>
    </w:p>
    <w:p>
      <w:pPr>
        <w:spacing w:after="0" w:line="47" w:lineRule="exact"/>
        <w:rPr>
          <w:sz w:val="20"/>
          <w:szCs w:val="20"/>
          <w:color w:val="auto"/>
        </w:rPr>
      </w:pPr>
    </w:p>
    <w:p>
      <w:pPr>
        <w:ind w:left="500" w:hanging="249"/>
        <w:spacing w:after="0"/>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elimination of sales from our wholesale segment to our Company-owned BHF stores.</w:t>
      </w:r>
    </w:p>
    <w:p>
      <w:pPr>
        <w:spacing w:after="0" w:line="25" w:lineRule="exact"/>
        <w:rPr>
          <w:rFonts w:ascii="Times New Roman" w:cs="Times New Roman" w:eastAsia="Times New Roman" w:hAnsi="Times New Roman"/>
          <w:sz w:val="12"/>
          <w:szCs w:val="12"/>
          <w:color w:val="auto"/>
        </w:rPr>
      </w:pPr>
    </w:p>
    <w:p>
      <w:pPr>
        <w:ind w:left="500" w:hanging="249"/>
        <w:spacing w:after="0"/>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elimination of purchases by our Company-owned BHF stores from our wholesale segment.</w:t>
      </w:r>
    </w:p>
    <w:p>
      <w:pPr>
        <w:spacing w:after="0" w:line="3" w:lineRule="exact"/>
        <w:rPr>
          <w:rFonts w:ascii="Times New Roman" w:cs="Times New Roman" w:eastAsia="Times New Roman" w:hAnsi="Times New Roman"/>
          <w:sz w:val="12"/>
          <w:szCs w:val="12"/>
          <w:color w:val="auto"/>
        </w:rPr>
      </w:pPr>
    </w:p>
    <w:p>
      <w:pPr>
        <w:ind w:left="500" w:hanging="249"/>
        <w:spacing w:after="0"/>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change in the elimination of intercompany profit in inventory.</w:t>
      </w:r>
    </w:p>
    <w:p>
      <w:pPr>
        <w:spacing w:after="0" w:line="3" w:lineRule="exact"/>
        <w:rPr>
          <w:rFonts w:ascii="Times New Roman" w:cs="Times New Roman" w:eastAsia="Times New Roman" w:hAnsi="Times New Roman"/>
          <w:sz w:val="12"/>
          <w:szCs w:val="12"/>
          <w:color w:val="auto"/>
        </w:rPr>
      </w:pPr>
    </w:p>
    <w:p>
      <w:pPr>
        <w:ind w:left="500" w:hanging="249"/>
        <w:spacing w:after="0"/>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elimination of rent paid by our retail stores occupying Company-owned real estate.</w:t>
      </w:r>
    </w:p>
    <w:p>
      <w:pPr>
        <w:spacing w:after="0" w:line="3" w:lineRule="exact"/>
        <w:rPr>
          <w:rFonts w:ascii="Times New Roman" w:cs="Times New Roman" w:eastAsia="Times New Roman" w:hAnsi="Times New Roman"/>
          <w:sz w:val="12"/>
          <w:szCs w:val="12"/>
          <w:color w:val="auto"/>
        </w:rPr>
      </w:pPr>
    </w:p>
    <w:p>
      <w:pPr>
        <w:ind w:left="500" w:hanging="249"/>
        <w:spacing w:after="0"/>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asset impairment charge of $498 in our retail segment.</w:t>
      </w:r>
    </w:p>
    <w:p>
      <w:pPr>
        <w:spacing w:after="0" w:line="3" w:lineRule="exact"/>
        <w:rPr>
          <w:rFonts w:ascii="Times New Roman" w:cs="Times New Roman" w:eastAsia="Times New Roman" w:hAnsi="Times New Roman"/>
          <w:sz w:val="12"/>
          <w:szCs w:val="12"/>
          <w:color w:val="auto"/>
        </w:rPr>
      </w:pPr>
    </w:p>
    <w:p>
      <w:pPr>
        <w:jc w:val="both"/>
        <w:ind w:left="500" w:right="780" w:hanging="249"/>
        <w:spacing w:after="0" w:line="245" w:lineRule="auto"/>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asset impairment charges of $2,887 and $727 in our retail and wholesale segments, respectively, a $1,827 charge for the impairment of the Noa Home trade name intangible asset, and a $74 charge for the impairment of Noa Home customized software.</w:t>
      </w:r>
    </w:p>
    <w:p>
      <w:pPr>
        <w:spacing w:after="0" w:line="1" w:lineRule="exact"/>
        <w:rPr>
          <w:rFonts w:ascii="Times New Roman" w:cs="Times New Roman" w:eastAsia="Times New Roman" w:hAnsi="Times New Roman"/>
          <w:sz w:val="12"/>
          <w:szCs w:val="12"/>
          <w:color w:val="auto"/>
        </w:rPr>
      </w:pPr>
    </w:p>
    <w:p>
      <w:pPr>
        <w:ind w:left="500" w:right="780" w:hanging="249"/>
        <w:spacing w:after="0" w:line="246" w:lineRule="auto"/>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charge for accruing the remaining minimum payments under a contract for logistical services in Riverside, CA which is no longer utilized.</w:t>
      </w:r>
    </w:p>
    <w:p>
      <w:pPr>
        <w:ind w:left="500" w:right="780" w:hanging="249"/>
        <w:spacing w:after="0" w:line="245" w:lineRule="auto"/>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charge for the realization of Noa Home's cumulative translation losses previously recorded in accumulated other comprehensive income due to the closure and substantially complete liquidation of that business.</w:t>
      </w:r>
    </w:p>
    <w:p>
      <w:pPr>
        <w:ind w:left="500" w:hanging="249"/>
        <w:spacing w:after="0"/>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charge for the accrual of severance pay due to restructuring.</w:t>
      </w:r>
    </w:p>
    <w:p>
      <w:pPr>
        <w:spacing w:after="0" w:line="3" w:lineRule="exact"/>
        <w:rPr>
          <w:rFonts w:ascii="Times New Roman" w:cs="Times New Roman" w:eastAsia="Times New Roman" w:hAnsi="Times New Roman"/>
          <w:sz w:val="12"/>
          <w:szCs w:val="12"/>
          <w:color w:val="auto"/>
        </w:rPr>
      </w:pPr>
    </w:p>
    <w:p>
      <w:pPr>
        <w:ind w:left="500" w:hanging="249"/>
        <w:spacing w:after="0"/>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charge for the full impairment of the goodwill associated with Noa Home.</w:t>
      </w:r>
    </w:p>
    <w:p>
      <w:pPr>
        <w:spacing w:after="0" w:line="3" w:lineRule="exact"/>
        <w:rPr>
          <w:rFonts w:ascii="Times New Roman" w:cs="Times New Roman" w:eastAsia="Times New Roman" w:hAnsi="Times New Roman"/>
          <w:sz w:val="12"/>
          <w:szCs w:val="12"/>
          <w:color w:val="auto"/>
        </w:rPr>
      </w:pPr>
    </w:p>
    <w:p>
      <w:pPr>
        <w:ind w:left="500" w:right="780" w:hanging="249"/>
        <w:spacing w:after="0" w:line="251" w:lineRule="auto"/>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gain resulting from the write-down of the contingent consideration payable on the acquisition of Noa Home.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Wholesale Segment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66484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7899">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52.6pt,1.2pt" o:allowincell="f" strokecolor="#000000" strokeweight="0.622pt"/>
            </w:pict>
          </mc:Fallback>
        </mc:AlternateContent>
      </w:r>
    </w:p>
    <w:p>
      <w:pPr>
        <w:spacing w:after="0" w:line="39" w:lineRule="exact"/>
        <w:rPr>
          <w:sz w:val="20"/>
          <w:szCs w:val="20"/>
          <w:color w:val="auto"/>
        </w:rPr>
      </w:pPr>
    </w:p>
    <w:p>
      <w:pPr>
        <w:ind w:right="760"/>
        <w:spacing w:after="0" w:line="256" w:lineRule="auto"/>
        <w:rPr>
          <w:sz w:val="20"/>
          <w:szCs w:val="20"/>
          <w:color w:val="auto"/>
        </w:rPr>
      </w:pPr>
      <w:r>
        <w:rPr>
          <w:rFonts w:ascii="Times New Roman" w:cs="Times New Roman" w:eastAsia="Times New Roman" w:hAnsi="Times New Roman"/>
          <w:sz w:val="13"/>
          <w:szCs w:val="13"/>
          <w:color w:val="auto"/>
        </w:rPr>
        <w:t>Net sales, gross profit, SG&amp;A expense and operating income for our Wholesale Segment were as follows for the fiscal years ended November 29, 2025, November 30, 2024 and November 25,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Comparative Change</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2025 vs 2024</w:t>
            </w:r>
          </w:p>
        </w:tc>
        <w:tc>
          <w:tcPr>
            <w:tcW w:w="80" w:type="dxa"/>
            <w:vAlign w:val="bottom"/>
          </w:tcPr>
          <w:p>
            <w:pPr>
              <w:spacing w:after="0"/>
              <w:rPr>
                <w:sz w:val="12"/>
                <w:szCs w:val="12"/>
                <w:color w:val="auto"/>
              </w:rPr>
            </w:pPr>
          </w:p>
        </w:tc>
        <w:tc>
          <w:tcPr>
            <w:tcW w:w="100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2024 vs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Dollars</w:t>
            </w:r>
          </w:p>
        </w:tc>
        <w:tc>
          <w:tcPr>
            <w:tcW w:w="4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95"/>
              <w:spacing w:after="0" w:line="139" w:lineRule="exact"/>
              <w:rPr>
                <w:sz w:val="20"/>
                <w:szCs w:val="20"/>
                <w:color w:val="auto"/>
              </w:rPr>
            </w:pPr>
            <w:r>
              <w:rPr>
                <w:rFonts w:ascii="Times New Roman" w:cs="Times New Roman" w:eastAsia="Times New Roman" w:hAnsi="Times New Roman"/>
                <w:sz w:val="13"/>
                <w:szCs w:val="13"/>
                <w:b w:val="1"/>
                <w:bCs w:val="1"/>
                <w:color w:val="auto"/>
              </w:rPr>
              <w:t>Dollars</w:t>
            </w:r>
          </w:p>
        </w:tc>
        <w:tc>
          <w:tcPr>
            <w:tcW w:w="480" w:type="dxa"/>
            <w:vAlign w:val="bottom"/>
            <w:tcBorders>
              <w:top w:val="single" w:sz="8" w:color="auto"/>
              <w:bottom w:val="single" w:sz="8" w:color="auto"/>
            </w:tcBorders>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Net sales  $</w:t>
            </w: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4"/>
              </w:rPr>
              <w:t>214,614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4"/>
              </w:rPr>
              <w:t>207,462</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9"/>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9"/>
              </w:rPr>
              <w:t>248,911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7,152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3.4 % $</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4"/>
              </w:rPr>
              <w:t>(41,449)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20"/>
        </w:trPr>
        <w:tc>
          <w:tcPr>
            <w:tcW w:w="6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Gross</w:t>
            </w: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profit (1)</w:t>
            </w: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75,731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35.3%</w:t>
            </w:r>
          </w:p>
        </w:tc>
        <w:tc>
          <w:tcPr>
            <w:tcW w:w="60" w:type="dxa"/>
            <w:vAlign w:val="bottom"/>
          </w:tcPr>
          <w:p>
            <w:pPr>
              <w:spacing w:after="0"/>
              <w:rPr>
                <w:sz w:val="12"/>
                <w:szCs w:val="12"/>
                <w:color w:val="auto"/>
              </w:rPr>
            </w:pP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68,069</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32.8%</w:t>
            </w:r>
          </w:p>
        </w:tc>
        <w:tc>
          <w:tcPr>
            <w:tcW w:w="60" w:type="dxa"/>
            <w:vAlign w:val="bottom"/>
          </w:tcPr>
          <w:p>
            <w:pPr>
              <w:spacing w:after="0"/>
              <w:rPr>
                <w:sz w:val="12"/>
                <w:szCs w:val="12"/>
                <w:color w:val="auto"/>
              </w:rPr>
            </w:pP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77,517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Pr>
          <w:p>
            <w:pPr>
              <w:spacing w:after="0"/>
              <w:rPr>
                <w:sz w:val="12"/>
                <w:szCs w:val="12"/>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7,662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11.3 %</w:t>
            </w:r>
          </w:p>
        </w:tc>
        <w:tc>
          <w:tcPr>
            <w:tcW w:w="80" w:type="dxa"/>
            <w:vAlign w:val="bottom"/>
          </w:tcPr>
          <w:p>
            <w:pPr>
              <w:spacing w:after="0"/>
              <w:rPr>
                <w:sz w:val="12"/>
                <w:szCs w:val="12"/>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(9,448)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SG&amp;A</w:t>
            </w: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40,870</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19.0%</w:t>
            </w:r>
          </w:p>
        </w:tc>
        <w:tc>
          <w:tcPr>
            <w:tcW w:w="60" w:type="dxa"/>
            <w:vAlign w:val="bottom"/>
          </w:tcPr>
          <w:p>
            <w:pPr>
              <w:spacing w:after="0"/>
              <w:rPr>
                <w:sz w:val="14"/>
                <w:szCs w:val="14"/>
                <w:color w:val="auto"/>
              </w:rPr>
            </w:pP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42,712</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20.6%</w:t>
            </w:r>
          </w:p>
        </w:tc>
        <w:tc>
          <w:tcPr>
            <w:tcW w:w="60" w:type="dxa"/>
            <w:vAlign w:val="bottom"/>
          </w:tcPr>
          <w:p>
            <w:pPr>
              <w:spacing w:after="0"/>
              <w:rPr>
                <w:sz w:val="14"/>
                <w:szCs w:val="14"/>
                <w:color w:val="auto"/>
              </w:rPr>
            </w:pP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46,818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(1,842)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-4.3 %</w:t>
            </w:r>
          </w:p>
        </w:tc>
        <w:tc>
          <w:tcPr>
            <w:tcW w:w="8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(4,106)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16"/>
        </w:trPr>
        <w:tc>
          <w:tcPr>
            <w:tcW w:w="6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Income</w:t>
            </w: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from</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w w:val="96"/>
              </w:rPr>
              <w:t>operations $</w:t>
            </w: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34,861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25,357</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30,699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9,504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37.5 % $</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(5,342)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31"/>
        </w:trPr>
        <w:tc>
          <w:tcPr>
            <w:tcW w:w="6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758190</wp:posOffset>
                </wp:positionH>
                <wp:positionV relativeFrom="paragraph">
                  <wp:posOffset>-20320</wp:posOffset>
                </wp:positionV>
                <wp:extent cx="28575" cy="120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000000"/>
                        </a:solidFill>
                      </wps:spPr>
                      <wps:bodyPr/>
                    </wps:wsp>
                  </a:graphicData>
                </a:graphic>
              </wp:anchor>
            </w:drawing>
          </mc:Choice>
          <mc:Fallback>
            <w:pict>
              <v:rect id="Shape 22" o:spid="_x0000_s1047" style="position:absolute;margin-left:59.7pt;margin-top:-1.59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ind w:left="240" w:right="780" w:hanging="235"/>
        <w:spacing w:after="0" w:line="284" w:lineRule="auto"/>
        <w:tabs>
          <w:tab w:leader="none" w:pos="2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*53 weeks for fiscal 2024 as compared with 52 weeks for fiscal 2025 and 2023.</w:t>
      </w:r>
    </w:p>
    <w:p>
      <w:pPr>
        <w:spacing w:after="0" w:line="6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br w:type="column"/>
      </w:r>
    </w:p>
    <w:p>
      <w:pPr>
        <w:ind w:right="80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Wholesale shipments by category for the fiscal years ended November 29, 2025, November 30, 2024 and November 25, 2023 are summarized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2025</w:t>
            </w: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2024*</w:t>
            </w: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2023</w:t>
            </w: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Bassett Custom Upholstery</w:t>
            </w:r>
          </w:p>
        </w:tc>
        <w:tc>
          <w:tcPr>
            <w:tcW w:w="340" w:type="dxa"/>
            <w:vAlign w:val="bottom"/>
            <w:tcBorders>
              <w:bottom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w w:val="91"/>
              </w:rPr>
              <w:t>External</w:t>
            </w:r>
          </w:p>
        </w:tc>
        <w:tc>
          <w:tcPr>
            <w:tcW w:w="560" w:type="dxa"/>
            <w:vAlign w:val="bottom"/>
            <w:tcBorders>
              <w:bottom w:val="single" w:sz="8" w:color="auto"/>
            </w:tcBorders>
            <w:gridSpan w:val="2"/>
          </w:tcPr>
          <w:p>
            <w:pPr>
              <w:ind w:left="40"/>
              <w:spacing w:after="0" w:line="98" w:lineRule="exact"/>
              <w:rPr>
                <w:sz w:val="20"/>
                <w:szCs w:val="20"/>
                <w:color w:val="auto"/>
              </w:rPr>
            </w:pPr>
            <w:r>
              <w:rPr>
                <w:rFonts w:ascii="Times New Roman" w:cs="Times New Roman" w:eastAsia="Times New Roman" w:hAnsi="Times New Roman"/>
                <w:sz w:val="9"/>
                <w:szCs w:val="9"/>
                <w:color w:val="auto"/>
                <w:w w:val="99"/>
              </w:rPr>
              <w:t>Intercompany</w:t>
            </w:r>
          </w:p>
        </w:tc>
        <w:tc>
          <w:tcPr>
            <w:tcW w:w="5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Total</w:t>
            </w: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External</w:t>
            </w:r>
          </w:p>
        </w:tc>
        <w:tc>
          <w:tcPr>
            <w:tcW w:w="560" w:type="dxa"/>
            <w:vAlign w:val="bottom"/>
            <w:tcBorders>
              <w:bottom w:val="single" w:sz="8" w:color="auto"/>
            </w:tcBorders>
            <w:gridSpan w:val="2"/>
          </w:tcPr>
          <w:p>
            <w:pPr>
              <w:ind w:left="20"/>
              <w:spacing w:after="0" w:line="98" w:lineRule="exact"/>
              <w:rPr>
                <w:sz w:val="20"/>
                <w:szCs w:val="20"/>
                <w:color w:val="auto"/>
              </w:rPr>
            </w:pPr>
            <w:r>
              <w:rPr>
                <w:rFonts w:ascii="Times New Roman" w:cs="Times New Roman" w:eastAsia="Times New Roman" w:hAnsi="Times New Roman"/>
                <w:sz w:val="9"/>
                <w:szCs w:val="9"/>
                <w:color w:val="auto"/>
              </w:rPr>
              <w:t>Intercompany</w:t>
            </w:r>
          </w:p>
        </w:tc>
        <w:tc>
          <w:tcPr>
            <w:tcW w:w="48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Total</w:t>
            </w: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External</w:t>
            </w:r>
          </w:p>
        </w:tc>
        <w:tc>
          <w:tcPr>
            <w:tcW w:w="560" w:type="dxa"/>
            <w:vAlign w:val="bottom"/>
            <w:tcBorders>
              <w:bottom w:val="single" w:sz="8" w:color="auto"/>
            </w:tcBorders>
            <w:gridSpan w:val="2"/>
          </w:tcPr>
          <w:p>
            <w:pPr>
              <w:ind w:left="20"/>
              <w:spacing w:after="0" w:line="98" w:lineRule="exact"/>
              <w:rPr>
                <w:sz w:val="20"/>
                <w:szCs w:val="20"/>
                <w:color w:val="auto"/>
              </w:rPr>
            </w:pPr>
            <w:r>
              <w:rPr>
                <w:rFonts w:ascii="Times New Roman" w:cs="Times New Roman" w:eastAsia="Times New Roman" w:hAnsi="Times New Roman"/>
                <w:sz w:val="9"/>
                <w:szCs w:val="9"/>
                <w:color w:val="auto"/>
              </w:rPr>
              <w:t>Intercompany</w:t>
            </w:r>
          </w:p>
        </w:tc>
        <w:tc>
          <w:tcPr>
            <w:tcW w:w="5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Total</w:t>
            </w: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220" w:type="dxa"/>
            <w:vAlign w:val="bottom"/>
            <w:vMerge w:val="continue"/>
          </w:tcPr>
          <w:p>
            <w:pPr>
              <w:spacing w:after="0"/>
              <w:rPr>
                <w:sz w:val="6"/>
                <w:szCs w:val="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3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76,923</w:t>
            </w:r>
          </w:p>
        </w:tc>
        <w:tc>
          <w:tcPr>
            <w:tcW w:w="180" w:type="dxa"/>
            <w:vAlign w:val="bottom"/>
          </w:tcPr>
          <w:p>
            <w:pPr>
              <w:ind w:left="40"/>
              <w:spacing w:after="0" w:line="75"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59,391</w:t>
            </w:r>
          </w:p>
        </w:tc>
        <w:tc>
          <w:tcPr>
            <w:tcW w:w="500" w:type="dxa"/>
            <w:vAlign w:val="bottom"/>
          </w:tcPr>
          <w:p>
            <w:pPr>
              <w:jc w:val="right"/>
              <w:ind w:right="96"/>
              <w:spacing w:after="0" w:line="75" w:lineRule="exact"/>
              <w:rPr>
                <w:sz w:val="20"/>
                <w:szCs w:val="20"/>
                <w:color w:val="auto"/>
              </w:rPr>
            </w:pPr>
            <w:r>
              <w:rPr>
                <w:rFonts w:ascii="Times New Roman" w:cs="Times New Roman" w:eastAsia="Times New Roman" w:hAnsi="Times New Roman"/>
                <w:sz w:val="8"/>
                <w:szCs w:val="8"/>
                <w:color w:val="auto"/>
              </w:rPr>
              <w:t>$ 136,314</w:t>
            </w:r>
          </w:p>
        </w:tc>
        <w:tc>
          <w:tcPr>
            <w:tcW w:w="320" w:type="dxa"/>
            <w:vAlign w:val="bottom"/>
            <w:gridSpan w:val="2"/>
          </w:tcPr>
          <w:p>
            <w:pPr>
              <w:jc w:val="right"/>
              <w:ind w:right="20"/>
              <w:spacing w:after="0" w:line="75" w:lineRule="exact"/>
              <w:rPr>
                <w:sz w:val="20"/>
                <w:szCs w:val="20"/>
                <w:color w:val="auto"/>
              </w:rPr>
            </w:pPr>
            <w:r>
              <w:rPr>
                <w:rFonts w:ascii="Times New Roman" w:cs="Times New Roman" w:eastAsia="Times New Roman" w:hAnsi="Times New Roman"/>
                <w:sz w:val="8"/>
                <w:szCs w:val="8"/>
                <w:color w:val="auto"/>
              </w:rPr>
              <w:t>63.5%</w:t>
            </w:r>
          </w:p>
        </w:tc>
        <w:tc>
          <w:tcPr>
            <w:tcW w:w="6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w w:val="98"/>
              </w:rPr>
              <w:t>$</w:t>
            </w:r>
          </w:p>
        </w:tc>
        <w:tc>
          <w:tcPr>
            <w:tcW w:w="3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79,281</w:t>
            </w:r>
          </w:p>
        </w:tc>
        <w:tc>
          <w:tcPr>
            <w:tcW w:w="180" w:type="dxa"/>
            <w:vAlign w:val="bottom"/>
          </w:tcPr>
          <w:p>
            <w:pPr>
              <w:ind w:left="20"/>
              <w:spacing w:after="0" w:line="75"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55,168</w:t>
            </w:r>
          </w:p>
        </w:tc>
        <w:tc>
          <w:tcPr>
            <w:tcW w:w="480" w:type="dxa"/>
            <w:vAlign w:val="bottom"/>
          </w:tcPr>
          <w:p>
            <w:pPr>
              <w:jc w:val="right"/>
              <w:ind w:right="76"/>
              <w:spacing w:after="0" w:line="75" w:lineRule="exact"/>
              <w:rPr>
                <w:sz w:val="20"/>
                <w:szCs w:val="20"/>
                <w:color w:val="auto"/>
              </w:rPr>
            </w:pPr>
            <w:r>
              <w:rPr>
                <w:rFonts w:ascii="Times New Roman" w:cs="Times New Roman" w:eastAsia="Times New Roman" w:hAnsi="Times New Roman"/>
                <w:sz w:val="8"/>
                <w:szCs w:val="8"/>
                <w:color w:val="auto"/>
              </w:rPr>
              <w:t>$ 134,449</w:t>
            </w:r>
          </w:p>
        </w:tc>
        <w:tc>
          <w:tcPr>
            <w:tcW w:w="320" w:type="dxa"/>
            <w:vAlign w:val="bottom"/>
            <w:gridSpan w:val="2"/>
          </w:tcPr>
          <w:p>
            <w:pPr>
              <w:jc w:val="right"/>
              <w:ind w:right="20"/>
              <w:spacing w:after="0" w:line="75" w:lineRule="exact"/>
              <w:rPr>
                <w:sz w:val="20"/>
                <w:szCs w:val="20"/>
                <w:color w:val="auto"/>
              </w:rPr>
            </w:pPr>
            <w:r>
              <w:rPr>
                <w:rFonts w:ascii="Times New Roman" w:cs="Times New Roman" w:eastAsia="Times New Roman" w:hAnsi="Times New Roman"/>
                <w:sz w:val="8"/>
                <w:szCs w:val="8"/>
                <w:color w:val="auto"/>
              </w:rPr>
              <w:t>64.8%</w:t>
            </w:r>
          </w:p>
        </w:tc>
        <w:tc>
          <w:tcPr>
            <w:tcW w:w="6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w w:val="98"/>
              </w:rPr>
              <w:t>$</w:t>
            </w:r>
          </w:p>
        </w:tc>
        <w:tc>
          <w:tcPr>
            <w:tcW w:w="3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89,005</w:t>
            </w:r>
          </w:p>
        </w:tc>
        <w:tc>
          <w:tcPr>
            <w:tcW w:w="160" w:type="dxa"/>
            <w:vAlign w:val="bottom"/>
          </w:tcPr>
          <w:p>
            <w:pPr>
              <w:ind w:left="20"/>
              <w:spacing w:after="0" w:line="75" w:lineRule="exact"/>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66,363</w:t>
            </w:r>
          </w:p>
        </w:tc>
        <w:tc>
          <w:tcPr>
            <w:tcW w:w="500" w:type="dxa"/>
            <w:vAlign w:val="bottom"/>
          </w:tcPr>
          <w:p>
            <w:pPr>
              <w:jc w:val="right"/>
              <w:ind w:right="96"/>
              <w:spacing w:after="0" w:line="75" w:lineRule="exact"/>
              <w:rPr>
                <w:sz w:val="20"/>
                <w:szCs w:val="20"/>
                <w:color w:val="auto"/>
              </w:rPr>
            </w:pPr>
            <w:r>
              <w:rPr>
                <w:rFonts w:ascii="Times New Roman" w:cs="Times New Roman" w:eastAsia="Times New Roman" w:hAnsi="Times New Roman"/>
                <w:sz w:val="8"/>
                <w:szCs w:val="8"/>
                <w:color w:val="auto"/>
              </w:rPr>
              <w:t>$ 155,368</w:t>
            </w:r>
          </w:p>
        </w:tc>
        <w:tc>
          <w:tcPr>
            <w:tcW w:w="300" w:type="dxa"/>
            <w:vAlign w:val="bottom"/>
            <w:gridSpan w:val="2"/>
          </w:tcPr>
          <w:p>
            <w:pPr>
              <w:jc w:val="right"/>
              <w:spacing w:after="0" w:line="75" w:lineRule="exact"/>
              <w:rPr>
                <w:sz w:val="20"/>
                <w:szCs w:val="20"/>
                <w:color w:val="auto"/>
              </w:rPr>
            </w:pPr>
            <w:r>
              <w:rPr>
                <w:rFonts w:ascii="Times New Roman" w:cs="Times New Roman" w:eastAsia="Times New Roman" w:hAnsi="Times New Roman"/>
                <w:sz w:val="8"/>
                <w:szCs w:val="8"/>
                <w:color w:val="auto"/>
              </w:rPr>
              <w:t>62.4%</w:t>
            </w:r>
          </w:p>
        </w:tc>
        <w:tc>
          <w:tcPr>
            <w:tcW w:w="0" w:type="dxa"/>
            <w:vAlign w:val="bottom"/>
          </w:tcPr>
          <w:p>
            <w:pPr>
              <w:spacing w:after="0"/>
              <w:rPr>
                <w:sz w:val="1"/>
                <w:szCs w:val="1"/>
                <w:color w:val="auto"/>
              </w:rPr>
            </w:pPr>
          </w:p>
        </w:tc>
      </w:tr>
      <w:tr>
        <w:trPr>
          <w:trHeight w:val="104"/>
        </w:trPr>
        <w:tc>
          <w:tcPr>
            <w:tcW w:w="1220" w:type="dxa"/>
            <w:vAlign w:val="bottom"/>
          </w:tcPr>
          <w:p>
            <w:pPr>
              <w:spacing w:after="0"/>
              <w:rPr>
                <w:sz w:val="20"/>
                <w:szCs w:val="20"/>
                <w:color w:val="auto"/>
              </w:rPr>
            </w:pPr>
            <w:r>
              <w:rPr>
                <w:rFonts w:ascii="Times New Roman" w:cs="Times New Roman" w:eastAsia="Times New Roman" w:hAnsi="Times New Roman"/>
                <w:sz w:val="9"/>
                <w:szCs w:val="9"/>
                <w:color w:val="auto"/>
              </w:rPr>
              <w:t>Bassett Leather</w:t>
            </w:r>
          </w:p>
        </w:tc>
        <w:tc>
          <w:tcPr>
            <w:tcW w:w="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16,484</w:t>
            </w:r>
          </w:p>
        </w:tc>
        <w:tc>
          <w:tcPr>
            <w:tcW w:w="1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3,252</w:t>
            </w: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19,736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9.2%</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15,705</w:t>
            </w:r>
          </w:p>
        </w:tc>
        <w:tc>
          <w:tcPr>
            <w:tcW w:w="1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1,920</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17,625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8.5%</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26,701</w:t>
            </w: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1,171</w:t>
            </w: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27,872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11.2%</w:t>
            </w:r>
          </w:p>
        </w:tc>
        <w:tc>
          <w:tcPr>
            <w:tcW w:w="0" w:type="dxa"/>
            <w:vAlign w:val="bottom"/>
          </w:tcPr>
          <w:p>
            <w:pPr>
              <w:spacing w:after="0"/>
              <w:rPr>
                <w:sz w:val="1"/>
                <w:szCs w:val="1"/>
                <w:color w:val="auto"/>
              </w:rPr>
            </w:pPr>
          </w:p>
        </w:tc>
      </w:tr>
      <w:tr>
        <w:trPr>
          <w:trHeight w:val="104"/>
        </w:trPr>
        <w:tc>
          <w:tcPr>
            <w:tcW w:w="1220" w:type="dxa"/>
            <w:vAlign w:val="bottom"/>
          </w:tcPr>
          <w:p>
            <w:pPr>
              <w:spacing w:after="0"/>
              <w:rPr>
                <w:sz w:val="20"/>
                <w:szCs w:val="20"/>
                <w:color w:val="auto"/>
              </w:rPr>
            </w:pPr>
            <w:r>
              <w:rPr>
                <w:rFonts w:ascii="Times New Roman" w:cs="Times New Roman" w:eastAsia="Times New Roman" w:hAnsi="Times New Roman"/>
                <w:sz w:val="9"/>
                <w:szCs w:val="9"/>
                <w:color w:val="auto"/>
              </w:rPr>
              <w:t>Bassett Custom Wood</w:t>
            </w:r>
          </w:p>
        </w:tc>
        <w:tc>
          <w:tcPr>
            <w:tcW w:w="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12,357</w:t>
            </w:r>
          </w:p>
        </w:tc>
        <w:tc>
          <w:tcPr>
            <w:tcW w:w="1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16,297</w:t>
            </w: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28,654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13.4%</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13,735</w:t>
            </w:r>
          </w:p>
        </w:tc>
        <w:tc>
          <w:tcPr>
            <w:tcW w:w="1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15,932</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29,667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14.3%</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17,357</w:t>
            </w: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20,070</w:t>
            </w: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37,427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20"/>
                <w:szCs w:val="20"/>
                <w:color w:val="auto"/>
              </w:rPr>
            </w:pPr>
            <w:r>
              <w:rPr>
                <w:rFonts w:ascii="Times New Roman" w:cs="Times New Roman" w:eastAsia="Times New Roman" w:hAnsi="Times New Roman"/>
                <w:sz w:val="9"/>
                <w:szCs w:val="9"/>
                <w:color w:val="auto"/>
              </w:rPr>
              <w:t>Bassett Casegoods</w:t>
            </w:r>
          </w:p>
        </w:tc>
        <w:tc>
          <w:tcPr>
            <w:tcW w:w="2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12,835</w:t>
            </w:r>
          </w:p>
        </w:tc>
        <w:tc>
          <w:tcPr>
            <w:tcW w:w="1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17,075</w:t>
            </w: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29,910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13.9%</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11,720</w:t>
            </w:r>
          </w:p>
        </w:tc>
        <w:tc>
          <w:tcPr>
            <w:tcW w:w="1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14,001</w:t>
            </w: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color w:val="auto"/>
              </w:rPr>
              <w:t>25,721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12.4%</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12,329</w:t>
            </w: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15,915</w:t>
            </w: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9"/>
                <w:szCs w:val="9"/>
                <w:color w:val="auto"/>
              </w:rPr>
              <w:t>28,244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11.3%</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Total</w:t>
            </w: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220" w:type="dxa"/>
            <w:vAlign w:val="bottom"/>
            <w:vMerge w:val="continue"/>
          </w:tcPr>
          <w:p>
            <w:pPr>
              <w:spacing w:after="0"/>
              <w:rPr>
                <w:sz w:val="8"/>
                <w:szCs w:val="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320" w:type="dxa"/>
            <w:vAlign w:val="bottom"/>
          </w:tcPr>
          <w:p>
            <w:pPr>
              <w:jc w:val="right"/>
              <w:spacing w:after="0" w:line="100" w:lineRule="exact"/>
              <w:rPr>
                <w:sz w:val="20"/>
                <w:szCs w:val="20"/>
                <w:color w:val="auto"/>
              </w:rPr>
            </w:pPr>
            <w:r>
              <w:rPr>
                <w:rFonts w:ascii="Times New Roman" w:cs="Times New Roman" w:eastAsia="Times New Roman" w:hAnsi="Times New Roman"/>
                <w:sz w:val="9"/>
                <w:szCs w:val="9"/>
                <w:color w:val="auto"/>
                <w:w w:val="95"/>
              </w:rPr>
              <w:t>118,599</w:t>
            </w:r>
          </w:p>
        </w:tc>
        <w:tc>
          <w:tcPr>
            <w:tcW w:w="180" w:type="dxa"/>
            <w:vAlign w:val="bottom"/>
          </w:tcPr>
          <w:p>
            <w:pPr>
              <w:ind w:left="40"/>
              <w:spacing w:after="0" w:line="100"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line="100" w:lineRule="exact"/>
              <w:rPr>
                <w:sz w:val="20"/>
                <w:szCs w:val="20"/>
                <w:color w:val="auto"/>
              </w:rPr>
            </w:pPr>
            <w:r>
              <w:rPr>
                <w:rFonts w:ascii="Times New Roman" w:cs="Times New Roman" w:eastAsia="Times New Roman" w:hAnsi="Times New Roman"/>
                <w:sz w:val="9"/>
                <w:szCs w:val="9"/>
                <w:color w:val="auto"/>
              </w:rPr>
              <w:t>96,015</w:t>
            </w:r>
          </w:p>
        </w:tc>
        <w:tc>
          <w:tcPr>
            <w:tcW w:w="500" w:type="dxa"/>
            <w:vAlign w:val="bottom"/>
          </w:tcPr>
          <w:p>
            <w:pPr>
              <w:jc w:val="right"/>
              <w:ind w:right="96"/>
              <w:spacing w:after="0" w:line="100" w:lineRule="exact"/>
              <w:rPr>
                <w:sz w:val="20"/>
                <w:szCs w:val="20"/>
                <w:color w:val="auto"/>
              </w:rPr>
            </w:pPr>
            <w:r>
              <w:rPr>
                <w:rFonts w:ascii="Times New Roman" w:cs="Times New Roman" w:eastAsia="Times New Roman" w:hAnsi="Times New Roman"/>
                <w:sz w:val="9"/>
                <w:szCs w:val="9"/>
                <w:color w:val="auto"/>
                <w:w w:val="94"/>
              </w:rPr>
              <w:t>$ 214,614</w:t>
            </w:r>
          </w:p>
        </w:tc>
        <w:tc>
          <w:tcPr>
            <w:tcW w:w="320" w:type="dxa"/>
            <w:vAlign w:val="bottom"/>
            <w:gridSpan w:val="2"/>
          </w:tcPr>
          <w:p>
            <w:pPr>
              <w:jc w:val="right"/>
              <w:ind w:right="20"/>
              <w:spacing w:after="0" w:line="100" w:lineRule="exact"/>
              <w:rPr>
                <w:sz w:val="20"/>
                <w:szCs w:val="20"/>
                <w:color w:val="auto"/>
              </w:rPr>
            </w:pPr>
            <w:r>
              <w:rPr>
                <w:rFonts w:ascii="Times New Roman" w:cs="Times New Roman" w:eastAsia="Times New Roman" w:hAnsi="Times New Roman"/>
                <w:sz w:val="9"/>
                <w:szCs w:val="9"/>
                <w:color w:val="auto"/>
              </w:rPr>
              <w:t>100.0%</w:t>
            </w:r>
          </w:p>
        </w:tc>
        <w:tc>
          <w:tcPr>
            <w:tcW w:w="60" w:type="dxa"/>
            <w:vAlign w:val="bottom"/>
          </w:tcPr>
          <w:p>
            <w:pPr>
              <w:jc w:val="right"/>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320" w:type="dxa"/>
            <w:vAlign w:val="bottom"/>
          </w:tcPr>
          <w:p>
            <w:pPr>
              <w:jc w:val="right"/>
              <w:spacing w:after="0" w:line="100" w:lineRule="exact"/>
              <w:rPr>
                <w:sz w:val="20"/>
                <w:szCs w:val="20"/>
                <w:color w:val="auto"/>
              </w:rPr>
            </w:pPr>
            <w:r>
              <w:rPr>
                <w:rFonts w:ascii="Times New Roman" w:cs="Times New Roman" w:eastAsia="Times New Roman" w:hAnsi="Times New Roman"/>
                <w:sz w:val="9"/>
                <w:szCs w:val="9"/>
                <w:color w:val="auto"/>
                <w:w w:val="95"/>
              </w:rPr>
              <w:t>120,441</w:t>
            </w:r>
          </w:p>
        </w:tc>
        <w:tc>
          <w:tcPr>
            <w:tcW w:w="180" w:type="dxa"/>
            <w:vAlign w:val="bottom"/>
          </w:tcPr>
          <w:p>
            <w:pPr>
              <w:ind w:left="20"/>
              <w:spacing w:after="0" w:line="100"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line="100" w:lineRule="exact"/>
              <w:rPr>
                <w:sz w:val="20"/>
                <w:szCs w:val="20"/>
                <w:color w:val="auto"/>
              </w:rPr>
            </w:pPr>
            <w:r>
              <w:rPr>
                <w:rFonts w:ascii="Times New Roman" w:cs="Times New Roman" w:eastAsia="Times New Roman" w:hAnsi="Times New Roman"/>
                <w:sz w:val="9"/>
                <w:szCs w:val="9"/>
                <w:color w:val="auto"/>
              </w:rPr>
              <w:t>87,021</w:t>
            </w:r>
          </w:p>
        </w:tc>
        <w:tc>
          <w:tcPr>
            <w:tcW w:w="480" w:type="dxa"/>
            <w:vAlign w:val="bottom"/>
          </w:tcPr>
          <w:p>
            <w:pPr>
              <w:jc w:val="right"/>
              <w:ind w:right="76"/>
              <w:spacing w:after="0" w:line="100" w:lineRule="exact"/>
              <w:rPr>
                <w:sz w:val="20"/>
                <w:szCs w:val="20"/>
                <w:color w:val="auto"/>
              </w:rPr>
            </w:pPr>
            <w:r>
              <w:rPr>
                <w:rFonts w:ascii="Times New Roman" w:cs="Times New Roman" w:eastAsia="Times New Roman" w:hAnsi="Times New Roman"/>
                <w:sz w:val="9"/>
                <w:szCs w:val="9"/>
                <w:color w:val="auto"/>
                <w:w w:val="94"/>
              </w:rPr>
              <w:t>$ 207,462</w:t>
            </w:r>
          </w:p>
        </w:tc>
        <w:tc>
          <w:tcPr>
            <w:tcW w:w="320" w:type="dxa"/>
            <w:vAlign w:val="bottom"/>
            <w:gridSpan w:val="2"/>
          </w:tcPr>
          <w:p>
            <w:pPr>
              <w:jc w:val="right"/>
              <w:ind w:right="20"/>
              <w:spacing w:after="0" w:line="100" w:lineRule="exact"/>
              <w:rPr>
                <w:sz w:val="20"/>
                <w:szCs w:val="20"/>
                <w:color w:val="auto"/>
              </w:rPr>
            </w:pPr>
            <w:r>
              <w:rPr>
                <w:rFonts w:ascii="Times New Roman" w:cs="Times New Roman" w:eastAsia="Times New Roman" w:hAnsi="Times New Roman"/>
                <w:sz w:val="9"/>
                <w:szCs w:val="9"/>
                <w:color w:val="auto"/>
              </w:rPr>
              <w:t>100.0%</w:t>
            </w:r>
          </w:p>
        </w:tc>
        <w:tc>
          <w:tcPr>
            <w:tcW w:w="60" w:type="dxa"/>
            <w:vAlign w:val="bottom"/>
          </w:tcPr>
          <w:p>
            <w:pPr>
              <w:jc w:val="right"/>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320" w:type="dxa"/>
            <w:vAlign w:val="bottom"/>
          </w:tcPr>
          <w:p>
            <w:pPr>
              <w:jc w:val="right"/>
              <w:spacing w:after="0" w:line="100" w:lineRule="exact"/>
              <w:rPr>
                <w:sz w:val="20"/>
                <w:szCs w:val="20"/>
                <w:color w:val="auto"/>
              </w:rPr>
            </w:pPr>
            <w:r>
              <w:rPr>
                <w:rFonts w:ascii="Times New Roman" w:cs="Times New Roman" w:eastAsia="Times New Roman" w:hAnsi="Times New Roman"/>
                <w:sz w:val="9"/>
                <w:szCs w:val="9"/>
                <w:color w:val="auto"/>
                <w:w w:val="95"/>
              </w:rPr>
              <w:t>145,392</w:t>
            </w:r>
          </w:p>
        </w:tc>
        <w:tc>
          <w:tcPr>
            <w:tcW w:w="160" w:type="dxa"/>
            <w:vAlign w:val="bottom"/>
          </w:tcPr>
          <w:p>
            <w:pPr>
              <w:ind w:left="20"/>
              <w:spacing w:after="0" w:line="100"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line="100" w:lineRule="exact"/>
              <w:rPr>
                <w:sz w:val="20"/>
                <w:szCs w:val="20"/>
                <w:color w:val="auto"/>
              </w:rPr>
            </w:pPr>
            <w:r>
              <w:rPr>
                <w:rFonts w:ascii="Times New Roman" w:cs="Times New Roman" w:eastAsia="Times New Roman" w:hAnsi="Times New Roman"/>
                <w:sz w:val="9"/>
                <w:szCs w:val="9"/>
                <w:color w:val="auto"/>
              </w:rPr>
              <w:t>103,519</w:t>
            </w:r>
          </w:p>
        </w:tc>
        <w:tc>
          <w:tcPr>
            <w:tcW w:w="500" w:type="dxa"/>
            <w:vAlign w:val="bottom"/>
          </w:tcPr>
          <w:p>
            <w:pPr>
              <w:jc w:val="right"/>
              <w:ind w:right="96"/>
              <w:spacing w:after="0" w:line="100" w:lineRule="exact"/>
              <w:rPr>
                <w:sz w:val="20"/>
                <w:szCs w:val="20"/>
                <w:color w:val="auto"/>
              </w:rPr>
            </w:pPr>
            <w:r>
              <w:rPr>
                <w:rFonts w:ascii="Times New Roman" w:cs="Times New Roman" w:eastAsia="Times New Roman" w:hAnsi="Times New Roman"/>
                <w:sz w:val="9"/>
                <w:szCs w:val="9"/>
                <w:color w:val="auto"/>
                <w:w w:val="94"/>
              </w:rPr>
              <w:t>$ 248,911</w:t>
            </w:r>
          </w:p>
        </w:tc>
        <w:tc>
          <w:tcPr>
            <w:tcW w:w="30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9"/>
                <w:szCs w:val="9"/>
                <w:color w:val="auto"/>
              </w:rPr>
              <w:t>100.0%</w:t>
            </w:r>
          </w:p>
        </w:tc>
        <w:tc>
          <w:tcPr>
            <w:tcW w:w="0" w:type="dxa"/>
            <w:vAlign w:val="bottom"/>
          </w:tcPr>
          <w:p>
            <w:pPr>
              <w:spacing w:after="0"/>
              <w:rPr>
                <w:sz w:val="1"/>
                <w:szCs w:val="1"/>
                <w:color w:val="auto"/>
              </w:rPr>
            </w:pPr>
          </w:p>
        </w:tc>
      </w:tr>
      <w:tr>
        <w:trPr>
          <w:trHeight w:val="28"/>
        </w:trPr>
        <w:tc>
          <w:tcPr>
            <w:tcW w:w="1220" w:type="dxa"/>
            <w:vAlign w:val="bottom"/>
            <w:tcBorders>
              <w:right w:val="single" w:sz="8" w:color="auto"/>
            </w:tcBorders>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*53 weeks for fiscal 2024 as compared with 52 weeks for fiscal 2025 and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Fiscal 2025 as Compared to Fiscal 2024</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Net sales for the year ended November 29, 2025 increased $7,152 or 3.4% from fiscal 2024 due primarily to a 8.2% increase in shipments to our retail store network partially offset by a 2% decrease in shipments to the open market and a 9% decrease in Lane Venture shipments. Gross margins for the year ended November 29, 2025 increased 250 basis points over fiscal 2024 year. Excluding $1,729 of increased inventory valuation charges in 2024 and $609 of unproductive labor costs incurred during a temporary shutdown resulting from a cybersecurity incident in 2024, gross margins would have increased by 140 basis points due primarily to improved pricing strategies in both the upholstery and wood operations coupled with greater leverage of fixed costs from higher sales levels. SG&amp;A expenses as a percentage of sales decreased 160 basis points primarily due to to the benefit of cost reductions implemented during the second half of fiscal 2024 coupled with greater leverage of fixed costs from higher sales levels and lower bad debt costs.</w:t>
      </w:r>
    </w:p>
    <w:p>
      <w:pPr>
        <w:spacing w:after="0" w:line="1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dollar value of our wholesale backlog, representing orders received but not yet shipped to the BHF store network or independent dealers, was $19,519 at November 29, 2025 and $21,750 at November 30,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Retail Segment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 xml:space="preserve"> Company Owned Stores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14605</wp:posOffset>
                </wp:positionV>
                <wp:extent cx="140843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15pt" to="111.15pt,1.15pt" o:allowincell="f" strokecolor="#000000" strokeweight="0.6209pt"/>
            </w:pict>
          </mc:Fallback>
        </mc:AlternateConten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color w:val="auto"/>
        </w:rPr>
        <w:t>Net sales, gross profit, SG&amp;A expense, and operating income (loss) for our retail segment were as follows for the fiscal years ended November 29, 2025, November 30, 2024 and November 25,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Comparative Change</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260"/>
              <w:spacing w:after="0" w:line="146" w:lineRule="exact"/>
              <w:rPr>
                <w:sz w:val="20"/>
                <w:szCs w:val="20"/>
                <w:color w:val="auto"/>
              </w:rPr>
            </w:pPr>
            <w:r>
              <w:rPr>
                <w:rFonts w:ascii="Times New Roman" w:cs="Times New Roman" w:eastAsia="Times New Roman" w:hAnsi="Times New Roman"/>
                <w:sz w:val="13"/>
                <w:szCs w:val="13"/>
                <w:b w:val="1"/>
                <w:bCs w:val="1"/>
                <w:color w:val="auto"/>
              </w:rPr>
              <w:t>2025 vs 2024</w:t>
            </w:r>
          </w:p>
        </w:tc>
        <w:tc>
          <w:tcPr>
            <w:tcW w:w="60" w:type="dxa"/>
            <w:vAlign w:val="bottom"/>
          </w:tcPr>
          <w:p>
            <w:pPr>
              <w:spacing w:after="0"/>
              <w:rPr>
                <w:sz w:val="12"/>
                <w:szCs w:val="12"/>
                <w:color w:val="auto"/>
              </w:rPr>
            </w:pPr>
          </w:p>
        </w:tc>
        <w:tc>
          <w:tcPr>
            <w:tcW w:w="90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2024 vs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39" w:lineRule="exact"/>
              <w:rPr>
                <w:sz w:val="20"/>
                <w:szCs w:val="20"/>
                <w:color w:val="auto"/>
              </w:rPr>
            </w:pPr>
            <w:r>
              <w:rPr>
                <w:rFonts w:ascii="Times New Roman" w:cs="Times New Roman" w:eastAsia="Times New Roman" w:hAnsi="Times New Roman"/>
                <w:sz w:val="13"/>
                <w:szCs w:val="13"/>
                <w:b w:val="1"/>
                <w:bCs w:val="1"/>
                <w:color w:val="auto"/>
                <w:w w:val="93"/>
              </w:rPr>
              <w:t>Dollars</w:t>
            </w: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35"/>
              <w:spacing w:after="0" w:line="139" w:lineRule="exact"/>
              <w:rPr>
                <w:sz w:val="20"/>
                <w:szCs w:val="20"/>
                <w:color w:val="auto"/>
              </w:rPr>
            </w:pPr>
            <w:r>
              <w:rPr>
                <w:rFonts w:ascii="Times New Roman" w:cs="Times New Roman" w:eastAsia="Times New Roman" w:hAnsi="Times New Roman"/>
                <w:sz w:val="13"/>
                <w:szCs w:val="13"/>
                <w:b w:val="1"/>
                <w:bCs w:val="1"/>
                <w:color w:val="auto"/>
              </w:rPr>
              <w:t>Dollars</w:t>
            </w:r>
          </w:p>
        </w:tc>
        <w:tc>
          <w:tcPr>
            <w:tcW w:w="420" w:type="dxa"/>
            <w:vAlign w:val="bottom"/>
            <w:tcBorders>
              <w:top w:val="single" w:sz="8" w:color="auto"/>
              <w:bottom w:val="single" w:sz="8" w:color="auto"/>
            </w:tcBorders>
          </w:tcPr>
          <w:p>
            <w:pPr>
              <w:spacing w:after="0" w:line="139"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Net sales</w:t>
            </w:r>
          </w:p>
        </w:tc>
        <w:tc>
          <w:tcPr>
            <w:tcW w:w="5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w w:val="94"/>
              </w:rPr>
              <w:t>$216,681</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4"/>
              </w:rPr>
              <w:t>204,563</w:t>
            </w:r>
          </w:p>
        </w:tc>
        <w:tc>
          <w:tcPr>
            <w:tcW w:w="1040" w:type="dxa"/>
            <w:vAlign w:val="bottom"/>
            <w:gridSpan w:val="4"/>
          </w:tcPr>
          <w:p>
            <w:pPr>
              <w:jc w:val="right"/>
              <w:ind w:right="15"/>
              <w:spacing w:after="0"/>
              <w:rPr>
                <w:sz w:val="20"/>
                <w:szCs w:val="20"/>
                <w:color w:val="auto"/>
              </w:rPr>
            </w:pPr>
            <w:r>
              <w:rPr>
                <w:rFonts w:ascii="Times New Roman" w:cs="Times New Roman" w:eastAsia="Times New Roman" w:hAnsi="Times New Roman"/>
                <w:sz w:val="13"/>
                <w:szCs w:val="13"/>
                <w:color w:val="auto"/>
                <w:w w:val="98"/>
              </w:rPr>
              <w:t>100.0 % $235,940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4"/>
              </w:rPr>
              <w:t>100.0 %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(31,377)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auto"/>
              </w:rPr>
              <w:t>Gross profit (1)</w:t>
            </w: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35"/>
              <w:spacing w:after="0" w:line="121" w:lineRule="exact"/>
              <w:rPr>
                <w:sz w:val="20"/>
                <w:szCs w:val="20"/>
                <w:color w:val="auto"/>
              </w:rPr>
            </w:pPr>
            <w:r>
              <w:rPr>
                <w:rFonts w:ascii="Times New Roman" w:cs="Times New Roman" w:eastAsia="Times New Roman" w:hAnsi="Times New Roman"/>
                <w:sz w:val="13"/>
                <w:szCs w:val="13"/>
                <w:color w:val="auto"/>
                <w:w w:val="94"/>
              </w:rPr>
              <w:t>113,476</w:t>
            </w:r>
          </w:p>
        </w:tc>
        <w:tc>
          <w:tcPr>
            <w:tcW w:w="440" w:type="dxa"/>
            <w:vAlign w:val="bottom"/>
            <w:gridSpan w:val="2"/>
          </w:tcPr>
          <w:p>
            <w:pPr>
              <w:jc w:val="right"/>
              <w:ind w:right="40"/>
              <w:spacing w:after="0" w:line="121" w:lineRule="exact"/>
              <w:rPr>
                <w:sz w:val="20"/>
                <w:szCs w:val="20"/>
                <w:color w:val="auto"/>
              </w:rPr>
            </w:pPr>
            <w:r>
              <w:rPr>
                <w:rFonts w:ascii="Times New Roman" w:cs="Times New Roman" w:eastAsia="Times New Roman" w:hAnsi="Times New Roman"/>
                <w:sz w:val="13"/>
                <w:szCs w:val="13"/>
                <w:color w:val="auto"/>
              </w:rPr>
              <w:t>52.4%</w:t>
            </w:r>
          </w:p>
        </w:tc>
        <w:tc>
          <w:tcPr>
            <w:tcW w:w="60" w:type="dxa"/>
            <w:vAlign w:val="bottom"/>
          </w:tcPr>
          <w:p>
            <w:pPr>
              <w:spacing w:after="0"/>
              <w:rPr>
                <w:sz w:val="10"/>
                <w:szCs w:val="10"/>
                <w:color w:val="auto"/>
              </w:rPr>
            </w:pPr>
          </w:p>
        </w:tc>
        <w:tc>
          <w:tcPr>
            <w:tcW w:w="500" w:type="dxa"/>
            <w:vAlign w:val="bottom"/>
          </w:tcPr>
          <w:p>
            <w:pPr>
              <w:jc w:val="right"/>
              <w:ind w:right="15"/>
              <w:spacing w:after="0" w:line="121" w:lineRule="exact"/>
              <w:rPr>
                <w:sz w:val="20"/>
                <w:szCs w:val="20"/>
                <w:color w:val="auto"/>
              </w:rPr>
            </w:pPr>
            <w:r>
              <w:rPr>
                <w:rFonts w:ascii="Times New Roman" w:cs="Times New Roman" w:eastAsia="Times New Roman" w:hAnsi="Times New Roman"/>
                <w:sz w:val="13"/>
                <w:szCs w:val="13"/>
                <w:color w:val="auto"/>
                <w:w w:val="94"/>
              </w:rPr>
              <w:t>108,835</w:t>
            </w:r>
          </w:p>
        </w:tc>
        <w:tc>
          <w:tcPr>
            <w:tcW w:w="8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w w:val="96"/>
              </w:rPr>
              <w:t>53.2</w:t>
            </w:r>
          </w:p>
        </w:tc>
        <w:tc>
          <w:tcPr>
            <w:tcW w:w="160" w:type="dxa"/>
            <w:vAlign w:val="bottom"/>
            <w:vMerge w:val="continue"/>
          </w:tcPr>
          <w:p>
            <w:pPr>
              <w:spacing w:after="0"/>
              <w:rPr>
                <w:sz w:val="10"/>
                <w:szCs w:val="10"/>
                <w:color w:val="auto"/>
              </w:rPr>
            </w:pPr>
          </w:p>
        </w:tc>
        <w:tc>
          <w:tcPr>
            <w:tcW w:w="560" w:type="dxa"/>
            <w:vAlign w:val="bottom"/>
          </w:tcPr>
          <w:p>
            <w:pPr>
              <w:jc w:val="right"/>
              <w:ind w:right="15"/>
              <w:spacing w:after="0" w:line="121" w:lineRule="exact"/>
              <w:rPr>
                <w:sz w:val="20"/>
                <w:szCs w:val="20"/>
                <w:color w:val="auto"/>
              </w:rPr>
            </w:pPr>
            <w:r>
              <w:rPr>
                <w:rFonts w:ascii="Times New Roman" w:cs="Times New Roman" w:eastAsia="Times New Roman" w:hAnsi="Times New Roman"/>
                <w:sz w:val="13"/>
                <w:szCs w:val="13"/>
                <w:color w:val="auto"/>
              </w:rPr>
              <w:t>124,171</w:t>
            </w:r>
          </w:p>
        </w:tc>
        <w:tc>
          <w:tcPr>
            <w:tcW w:w="32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52.6</w:t>
            </w:r>
          </w:p>
        </w:tc>
        <w:tc>
          <w:tcPr>
            <w:tcW w:w="140" w:type="dxa"/>
            <w:vAlign w:val="bottom"/>
            <w:vMerge w:val="continue"/>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4,641</w:t>
            </w:r>
          </w:p>
        </w:tc>
        <w:tc>
          <w:tcPr>
            <w:tcW w:w="580" w:type="dxa"/>
            <w:vAlign w:val="bottom"/>
            <w:gridSpan w:val="2"/>
          </w:tcPr>
          <w:p>
            <w:pPr>
              <w:jc w:val="right"/>
              <w:ind w:right="40"/>
              <w:spacing w:after="0" w:line="121" w:lineRule="exact"/>
              <w:rPr>
                <w:sz w:val="20"/>
                <w:szCs w:val="20"/>
                <w:color w:val="auto"/>
              </w:rPr>
            </w:pPr>
            <w:r>
              <w:rPr>
                <w:rFonts w:ascii="Times New Roman" w:cs="Times New Roman" w:eastAsia="Times New Roman" w:hAnsi="Times New Roman"/>
                <w:sz w:val="13"/>
                <w:szCs w:val="13"/>
                <w:color w:val="auto"/>
              </w:rPr>
              <w:t>4.3%</w:t>
            </w:r>
          </w:p>
        </w:tc>
        <w:tc>
          <w:tcPr>
            <w:tcW w:w="6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w w:val="94"/>
              </w:rPr>
              <w:t>(15,336)</w:t>
            </w:r>
          </w:p>
        </w:tc>
        <w:tc>
          <w:tcPr>
            <w:tcW w:w="54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72"/>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SG&amp;A</w:t>
            </w:r>
          </w:p>
        </w:tc>
        <w:tc>
          <w:tcPr>
            <w:tcW w:w="60" w:type="dxa"/>
            <w:vAlign w:val="bottom"/>
          </w:tcPr>
          <w:p>
            <w:pPr>
              <w:spacing w:after="0"/>
              <w:rPr>
                <w:sz w:val="14"/>
                <w:szCs w:val="14"/>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4"/>
              </w:rPr>
              <w:t>113,069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52.2%</w:t>
            </w:r>
          </w:p>
        </w:tc>
        <w:tc>
          <w:tcPr>
            <w:tcW w:w="6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4"/>
              </w:rPr>
              <w:t>115,439</w:t>
            </w:r>
          </w:p>
        </w:tc>
        <w:tc>
          <w:tcPr>
            <w:tcW w:w="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2"/>
              </w:rPr>
              <w:t>56.4 %</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124,707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52.9 %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136" w:lineRule="exact"/>
              <w:rPr>
                <w:sz w:val="20"/>
                <w:szCs w:val="20"/>
                <w:color w:val="auto"/>
              </w:rPr>
            </w:pPr>
            <w:r>
              <w:rPr>
                <w:rFonts w:ascii="Times New Roman" w:cs="Times New Roman" w:eastAsia="Times New Roman" w:hAnsi="Times New Roman"/>
                <w:sz w:val="13"/>
                <w:szCs w:val="13"/>
                <w:color w:val="auto"/>
              </w:rPr>
              <w:t>Income (loss) from</w:t>
            </w: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75"/>
        </w:trPr>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operations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407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8"/>
              </w:rPr>
              <w:t>-3.2 %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-106.2%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(6,068)</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1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8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480" w:right="20" w:hanging="242"/>
        <w:spacing w:after="0" w:line="256" w:lineRule="auto"/>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*53 weeks for fiscal 2024 as compared with 52 weeks for fiscal 2025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color w:val="auto"/>
        </w:rPr>
        <w:t>6</w:t>
      </w:r>
    </w:p>
    <w:p>
      <w:pPr>
        <w:sectPr>
          <w:pgSz w:w="15840" w:h="12240" w:orient="landscape"/>
          <w:cols w:equalWidth="0" w:num="2">
            <w:col w:w="7200" w:space="720"/>
            <w:col w:w="6440"/>
          </w:cols>
          <w:pgMar w:left="740" w:top="1424" w:right="740" w:bottom="929" w:gutter="0" w:footer="0" w:header="0"/>
        </w:sectPr>
      </w:pPr>
    </w:p>
    <w:bookmarkStart w:id="7" w:name="page8"/>
    <w:bookmarkEnd w:id="7"/>
    <w:p>
      <w:pPr>
        <w:ind w:right="156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ind w:right="900"/>
        <w:spacing w:after="0" w:line="274" w:lineRule="auto"/>
        <w:rPr>
          <w:sz w:val="20"/>
          <w:szCs w:val="20"/>
          <w:color w:val="auto"/>
        </w:rPr>
      </w:pPr>
      <w:r>
        <w:rPr>
          <w:rFonts w:ascii="Times New Roman" w:cs="Times New Roman" w:eastAsia="Times New Roman" w:hAnsi="Times New Roman"/>
          <w:sz w:val="13"/>
          <w:szCs w:val="13"/>
          <w:color w:val="auto"/>
        </w:rPr>
        <w:t>Retail sales by major product category for the fiscal years ended November 29, 2025, November 30, 2024 and November 25, 2023were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2025</w:t>
            </w: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2024*</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Bassett Custom Upholstery</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w w:val="99"/>
              </w:rPr>
              <w:t>$ 117,231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54.1 %</w:t>
            </w:r>
          </w:p>
        </w:tc>
        <w:tc>
          <w:tcPr>
            <w:tcW w:w="20" w:type="dxa"/>
            <w:vAlign w:val="bottom"/>
          </w:tcPr>
          <w:p>
            <w:pPr>
              <w:spacing w:after="0"/>
              <w:rPr>
                <w:sz w:val="24"/>
                <w:szCs w:val="24"/>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w w:val="99"/>
              </w:rPr>
              <w:t>$ 111,943</w:t>
            </w:r>
          </w:p>
        </w:tc>
        <w:tc>
          <w:tcPr>
            <w:tcW w:w="1440" w:type="dxa"/>
            <w:vAlign w:val="bottom"/>
            <w:gridSpan w:val="4"/>
          </w:tcPr>
          <w:p>
            <w:pPr>
              <w:jc w:val="right"/>
              <w:ind w:right="255"/>
              <w:spacing w:after="0"/>
              <w:rPr>
                <w:sz w:val="20"/>
                <w:szCs w:val="20"/>
                <w:color w:val="auto"/>
              </w:rPr>
            </w:pPr>
            <w:r>
              <w:rPr>
                <w:rFonts w:ascii="Times New Roman" w:cs="Times New Roman" w:eastAsia="Times New Roman" w:hAnsi="Times New Roman"/>
                <w:sz w:val="13"/>
                <w:szCs w:val="13"/>
                <w:color w:val="auto"/>
              </w:rPr>
              <w:t>54.7 % $ 134,000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56.8 %</w:t>
            </w:r>
          </w:p>
        </w:tc>
        <w:tc>
          <w:tcPr>
            <w:tcW w:w="0" w:type="dxa"/>
            <w:vAlign w:val="bottom"/>
          </w:tcPr>
          <w:p>
            <w:pPr>
              <w:spacing w:after="0"/>
              <w:rPr>
                <w:sz w:val="1"/>
                <w:szCs w:val="1"/>
                <w:color w:val="auto"/>
              </w:rPr>
            </w:pPr>
          </w:p>
        </w:tc>
      </w:tr>
      <w:tr>
        <w:trPr>
          <w:trHeight w:val="168"/>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Bassett Leather</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9,121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2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4,990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1,951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0" w:type="dxa"/>
            <w:vAlign w:val="bottom"/>
          </w:tcPr>
          <w:p>
            <w:pPr>
              <w:spacing w:after="0"/>
              <w:rPr>
                <w:sz w:val="1"/>
                <w:szCs w:val="1"/>
                <w:color w:val="auto"/>
              </w:rPr>
            </w:pPr>
          </w:p>
        </w:tc>
      </w:tr>
      <w:tr>
        <w:trPr>
          <w:trHeight w:val="168"/>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Bassett Custom Wood</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31,885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14.7 %</w:t>
            </w:r>
          </w:p>
        </w:tc>
        <w:tc>
          <w:tcPr>
            <w:tcW w:w="2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32,201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15.7 %</w:t>
            </w:r>
          </w:p>
        </w:tc>
        <w:tc>
          <w:tcPr>
            <w:tcW w:w="2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36,732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15.6 %</w:t>
            </w:r>
          </w:p>
        </w:tc>
        <w:tc>
          <w:tcPr>
            <w:tcW w:w="0" w:type="dxa"/>
            <w:vAlign w:val="bottom"/>
          </w:tcPr>
          <w:p>
            <w:pPr>
              <w:spacing w:after="0"/>
              <w:rPr>
                <w:sz w:val="1"/>
                <w:szCs w:val="1"/>
                <w:color w:val="auto"/>
              </w:rPr>
            </w:pPr>
          </w:p>
        </w:tc>
      </w:tr>
      <w:tr>
        <w:trPr>
          <w:trHeight w:val="168"/>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Bassett Casegoods</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29,218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13.5 %</w:t>
            </w:r>
          </w:p>
        </w:tc>
        <w:tc>
          <w:tcPr>
            <w:tcW w:w="2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26,179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12.8 %</w:t>
            </w:r>
          </w:p>
        </w:tc>
        <w:tc>
          <w:tcPr>
            <w:tcW w:w="2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32,252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0" w:type="dxa"/>
            <w:vAlign w:val="bottom"/>
          </w:tcPr>
          <w:p>
            <w:pPr>
              <w:spacing w:after="0"/>
              <w:rPr>
                <w:sz w:val="1"/>
                <w:szCs w:val="1"/>
                <w:color w:val="auto"/>
              </w:rPr>
            </w:pPr>
          </w:p>
        </w:tc>
      </w:tr>
      <w:tr>
        <w:trPr>
          <w:trHeight w:val="172"/>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Accessories, mattresses &amp; other (1)</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29,226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13.5 %</w:t>
            </w:r>
          </w:p>
        </w:tc>
        <w:tc>
          <w:tcPr>
            <w:tcW w:w="2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29,250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2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31,005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13.1 %</w:t>
            </w:r>
          </w:p>
        </w:tc>
        <w:tc>
          <w:tcPr>
            <w:tcW w:w="0" w:type="dxa"/>
            <w:vAlign w:val="bottom"/>
          </w:tcPr>
          <w:p>
            <w:pPr>
              <w:spacing w:after="0"/>
              <w:rPr>
                <w:sz w:val="1"/>
                <w:szCs w:val="1"/>
                <w:color w:val="auto"/>
              </w:rPr>
            </w:pPr>
          </w:p>
        </w:tc>
      </w:tr>
      <w:tr>
        <w:trPr>
          <w:trHeight w:val="54"/>
        </w:trPr>
        <w:tc>
          <w:tcPr>
            <w:tcW w:w="2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w:t>
            </w:r>
          </w:p>
        </w:tc>
        <w:tc>
          <w:tcPr>
            <w:tcW w:w="2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7"/>
        </w:trPr>
        <w:tc>
          <w:tcPr>
            <w:tcW w:w="208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color w:val="auto"/>
                <w:w w:val="99"/>
              </w:rPr>
              <w:t>$ 216,681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w w:val="99"/>
              </w:rPr>
              <w:t>$ 204,563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color w:val="auto"/>
                <w:w w:val="99"/>
              </w:rPr>
              <w:t>$ 235,940</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700" w:right="760" w:hanging="229"/>
        <w:spacing w:after="0" w:line="273" w:lineRule="auto"/>
        <w:tabs>
          <w:tab w:leader="none" w:pos="701"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sale of goods other than Bassett-branded products, such as accessories and bedding, and also includes the sale of furniture protection plans.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*53 weeks for fiscal 2024 as compared with 52 weeks for fiscal 2025 and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Fiscal 2025 as Compared to Fiscal 2024</w:t>
      </w:r>
    </w:p>
    <w:p>
      <w:pPr>
        <w:spacing w:after="0" w:line="133"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2"/>
          <w:szCs w:val="12"/>
          <w:color w:val="auto"/>
        </w:rPr>
        <w:t>Net sales for the year ended November 29, 2025 increased $12,118 or 5.9% from fiscal 2024. Written sales (the value of sales orders taken but not delivered) increased 1.2% from fiscal 2024. Gross margin for the year ended November 29, 2025 declined 80 basis points from fiscal 2024. Excluding the $471 of additional inventory valuation charges in the prior year period, gross margins would have decreased by 100 basis points due to lower margins for both in -line and clearance goods as we have become more aggressive in cycling through unproductive inventory coupled with increased promotional activity. In addition, the Company owned stores did not take a price increase related to the increase in tariff costs until January 2026. SG&amp;A expenses as a percentage of sales for the year ended November 29, 2025 decreased 420 basis points primarily due to the benefit of cost reductions implemented during the second half of fiscal 2024, lower advertising and marketing costs, efficiency gains in our warehouse and delivery operation along with greater leverage of fixed costs due to higher sales levels.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Retail backlog at November 29, 2025 was $34,402 compared to $37,053 at November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Corporate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70739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7390"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55.95pt,1.2pt" o:allowincell="f" strokecolor="#000000" strokeweight="0.6209pt"/>
            </w:pict>
          </mc:Fallback>
        </mc:AlternateContent>
      </w:r>
    </w:p>
    <w:p>
      <w:pPr>
        <w:spacing w:after="0" w:line="113" w:lineRule="exact"/>
        <w:rPr>
          <w:sz w:val="20"/>
          <w:szCs w:val="20"/>
          <w:color w:val="auto"/>
        </w:rPr>
      </w:pPr>
    </w:p>
    <w:p>
      <w:pPr>
        <w:jc w:val="both"/>
        <w:ind w:right="760"/>
        <w:spacing w:after="0" w:line="245" w:lineRule="auto"/>
        <w:rPr>
          <w:sz w:val="20"/>
          <w:szCs w:val="20"/>
          <w:color w:val="auto"/>
        </w:rPr>
      </w:pPr>
      <w:r>
        <w:rPr>
          <w:rFonts w:ascii="Times New Roman" w:cs="Times New Roman" w:eastAsia="Times New Roman" w:hAnsi="Times New Roman"/>
          <w:sz w:val="13"/>
          <w:szCs w:val="13"/>
          <w:color w:val="auto"/>
        </w:rPr>
        <w:t>In addition to the two reportable segments discussed above, we include our remaining business activities and assets in a reconciling category known as Corporate and other, which includes the shared costs of various corporate functions along with any operating segments that do not meet the requirements to be reportable segments. Therefore, Noa Home is included within the Corporate and other reconciling category and accounts for all of the sales and gross profit within this reconciling category. Revenues, costs and expenses of Corporate and other for the fiscal years ended November 29, 2025, November 30, 2024 and November 25, 2023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Comparative Change</w:t>
            </w:r>
          </w:p>
        </w:tc>
        <w:tc>
          <w:tcPr>
            <w:tcW w:w="0" w:type="dxa"/>
            <w:vAlign w:val="bottom"/>
          </w:tcPr>
          <w:p>
            <w:pPr>
              <w:spacing w:after="0"/>
              <w:rPr>
                <w:sz w:val="1"/>
                <w:szCs w:val="1"/>
                <w:color w:val="auto"/>
              </w:rPr>
            </w:pPr>
          </w:p>
        </w:tc>
      </w:tr>
      <w:tr>
        <w:trPr>
          <w:trHeight w:val="146"/>
        </w:trPr>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260"/>
              <w:spacing w:after="0" w:line="146" w:lineRule="exact"/>
              <w:rPr>
                <w:sz w:val="20"/>
                <w:szCs w:val="20"/>
                <w:color w:val="auto"/>
              </w:rPr>
            </w:pPr>
            <w:r>
              <w:rPr>
                <w:rFonts w:ascii="Times New Roman" w:cs="Times New Roman" w:eastAsia="Times New Roman" w:hAnsi="Times New Roman"/>
                <w:sz w:val="13"/>
                <w:szCs w:val="13"/>
                <w:b w:val="1"/>
                <w:bCs w:val="1"/>
                <w:color w:val="auto"/>
              </w:rPr>
              <w:t>2025 vs 2024</w:t>
            </w:r>
          </w:p>
        </w:tc>
        <w:tc>
          <w:tcPr>
            <w:tcW w:w="900" w:type="dxa"/>
            <w:vAlign w:val="bottom"/>
            <w:tcBorders>
              <w:top w:val="single" w:sz="8" w:color="auto"/>
            </w:tcBorders>
            <w:gridSpan w:val="2"/>
          </w:tcPr>
          <w:p>
            <w:pPr>
              <w:jc w:val="right"/>
              <w:ind w:right="35"/>
              <w:spacing w:after="0" w:line="146" w:lineRule="exact"/>
              <w:rPr>
                <w:sz w:val="20"/>
                <w:szCs w:val="20"/>
                <w:color w:val="auto"/>
              </w:rPr>
            </w:pPr>
            <w:r>
              <w:rPr>
                <w:rFonts w:ascii="Times New Roman" w:cs="Times New Roman" w:eastAsia="Times New Roman" w:hAnsi="Times New Roman"/>
                <w:sz w:val="13"/>
                <w:szCs w:val="13"/>
                <w:b w:val="1"/>
                <w:bCs w:val="1"/>
                <w:color w:val="auto"/>
              </w:rPr>
              <w:t>2024 vs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3"/>
              </w:rPr>
              <w:t>Dollars</w:t>
            </w: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3"/>
              </w:rPr>
              <w:t>Dollars</w:t>
            </w: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Net sales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4,919</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8,804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0"/>
              </w:rPr>
              <w:t>100.0 %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8"/>
              </w:rPr>
              <w:t>$ (3,885)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auto"/>
              </w:rPr>
              <w:t>Gross profit</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3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15"/>
              <w:spacing w:after="0" w:line="12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color w:val="auto"/>
              </w:rPr>
              <w:t>0.0%</w:t>
            </w:r>
          </w:p>
        </w:tc>
        <w:tc>
          <w:tcPr>
            <w:tcW w:w="80" w:type="dxa"/>
            <w:vAlign w:val="bottom"/>
          </w:tcPr>
          <w:p>
            <w:pPr>
              <w:spacing w:after="0"/>
              <w:rPr>
                <w:sz w:val="10"/>
                <w:szCs w:val="10"/>
                <w:color w:val="auto"/>
              </w:rPr>
            </w:pPr>
          </w:p>
        </w:tc>
        <w:tc>
          <w:tcPr>
            <w:tcW w:w="480" w:type="dxa"/>
            <w:vAlign w:val="bottom"/>
          </w:tcPr>
          <w:p>
            <w:pPr>
              <w:jc w:val="right"/>
              <w:ind w:right="15"/>
              <w:spacing w:after="0" w:line="121" w:lineRule="exact"/>
              <w:rPr>
                <w:sz w:val="20"/>
                <w:szCs w:val="20"/>
                <w:color w:val="auto"/>
              </w:rPr>
            </w:pPr>
            <w:r>
              <w:rPr>
                <w:rFonts w:ascii="Times New Roman" w:cs="Times New Roman" w:eastAsia="Times New Roman" w:hAnsi="Times New Roman"/>
                <w:sz w:val="13"/>
                <w:szCs w:val="13"/>
                <w:color w:val="auto"/>
              </w:rPr>
              <w:t>2,116</w:t>
            </w:r>
          </w:p>
        </w:tc>
        <w:tc>
          <w:tcPr>
            <w:tcW w:w="460" w:type="dxa"/>
            <w:vAlign w:val="bottom"/>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color w:val="auto"/>
              </w:rPr>
              <w:t>43.0%</w:t>
            </w:r>
          </w:p>
        </w:tc>
        <w:tc>
          <w:tcPr>
            <w:tcW w:w="80" w:type="dxa"/>
            <w:vAlign w:val="bottom"/>
          </w:tcPr>
          <w:p>
            <w:pPr>
              <w:spacing w:after="0"/>
              <w:rPr>
                <w:sz w:val="10"/>
                <w:szCs w:val="10"/>
                <w:color w:val="auto"/>
              </w:rPr>
            </w:pPr>
          </w:p>
        </w:tc>
        <w:tc>
          <w:tcPr>
            <w:tcW w:w="500" w:type="dxa"/>
            <w:vAlign w:val="bottom"/>
          </w:tcPr>
          <w:p>
            <w:pPr>
              <w:jc w:val="right"/>
              <w:ind w:right="35"/>
              <w:spacing w:after="0" w:line="121" w:lineRule="exact"/>
              <w:rPr>
                <w:sz w:val="20"/>
                <w:szCs w:val="20"/>
                <w:color w:val="auto"/>
              </w:rPr>
            </w:pPr>
            <w:r>
              <w:rPr>
                <w:rFonts w:ascii="Times New Roman" w:cs="Times New Roman" w:eastAsia="Times New Roman" w:hAnsi="Times New Roman"/>
                <w:sz w:val="13"/>
                <w:szCs w:val="13"/>
                <w:color w:val="auto"/>
              </w:rPr>
              <w:t>4,802</w:t>
            </w:r>
          </w:p>
        </w:tc>
        <w:tc>
          <w:tcPr>
            <w:tcW w:w="30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54.5</w:t>
            </w:r>
          </w:p>
        </w:tc>
        <w:tc>
          <w:tcPr>
            <w:tcW w:w="160" w:type="dxa"/>
            <w:vAlign w:val="bottom"/>
            <w:vMerge w:val="continue"/>
          </w:tcPr>
          <w:p>
            <w:pPr>
              <w:spacing w:after="0"/>
              <w:rPr>
                <w:sz w:val="10"/>
                <w:szCs w:val="10"/>
                <w:color w:val="auto"/>
              </w:rPr>
            </w:pPr>
          </w:p>
        </w:tc>
        <w:tc>
          <w:tcPr>
            <w:tcW w:w="1060" w:type="dxa"/>
            <w:vAlign w:val="bottom"/>
            <w:gridSpan w:val="3"/>
          </w:tcPr>
          <w:p>
            <w:pPr>
              <w:jc w:val="right"/>
              <w:ind w:right="40"/>
              <w:spacing w:after="0" w:line="121" w:lineRule="exact"/>
              <w:rPr>
                <w:sz w:val="20"/>
                <w:szCs w:val="20"/>
                <w:color w:val="auto"/>
              </w:rPr>
            </w:pPr>
            <w:r>
              <w:rPr>
                <w:rFonts w:ascii="Times New Roman" w:cs="Times New Roman" w:eastAsia="Times New Roman" w:hAnsi="Times New Roman"/>
                <w:sz w:val="13"/>
                <w:szCs w:val="13"/>
                <w:color w:val="auto"/>
              </w:rPr>
              <w:t>(2,116)  -100.0%</w:t>
            </w: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(2,686)</w:t>
            </w:r>
          </w:p>
        </w:tc>
        <w:tc>
          <w:tcPr>
            <w:tcW w:w="56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3"/>
                <w:szCs w:val="13"/>
                <w:color w:val="auto"/>
              </w:rPr>
              <w:t>-55.9%</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SG&amp;A</w:t>
            </w:r>
          </w:p>
        </w:tc>
        <w:tc>
          <w:tcPr>
            <w:tcW w:w="6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27,652</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NM</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30,572</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621.5%</w:t>
            </w:r>
          </w:p>
        </w:tc>
        <w:tc>
          <w:tcPr>
            <w:tcW w:w="8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34,728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2"/>
              </w:rPr>
              <w:t>394.5 %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136" w:lineRule="exact"/>
              <w:rPr>
                <w:sz w:val="20"/>
                <w:szCs w:val="20"/>
                <w:color w:val="auto"/>
              </w:rPr>
            </w:pPr>
            <w:r>
              <w:rPr>
                <w:rFonts w:ascii="Times New Roman" w:cs="Times New Roman" w:eastAsia="Times New Roman" w:hAnsi="Times New Roman"/>
                <w:sz w:val="13"/>
                <w:szCs w:val="13"/>
                <w:color w:val="auto"/>
              </w:rPr>
              <w:t>Income (loss) from</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NM  $</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4"/>
              </w:rPr>
              <w:t>(28,456)</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578.5%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4"/>
              </w:rPr>
              <w:t>(29,926)</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0"/>
              </w:rPr>
              <w:t>339.9 % $</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7"/>
              </w:rPr>
              <w:t>$ 1,470</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6"/>
        </w:trPr>
        <w:tc>
          <w:tcPr>
            <w:tcW w:w="1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operations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(27,652)</w:t>
            </w:r>
          </w:p>
        </w:tc>
        <w:tc>
          <w:tcPr>
            <w:tcW w:w="460" w:type="dxa"/>
            <w:vAlign w:val="bottom"/>
            <w:gridSpan w:val="3"/>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*53 weeks for fiscal 2024 as compared with 52 weeks for fiscal 2025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Fiscal 2025 as Compared to Fiscal 2024</w:t>
      </w:r>
    </w:p>
    <w:p>
      <w:pPr>
        <w:spacing w:after="0" w:line="133"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Sales and gross profit for the year ended November 29, 2025 declined from fiscal 2024 due to the closure and liquidation of Noa Home during fiscal 2024. The $2,920 decrease in SG&amp;A expenses from fiscal 2024 was primarily due to the closure of Noa Home and decreased corporate overhead spending from better expense management, including the benefit of cost reductions implemented during the second half of fiscal 2024, partially offset by increased incentive compensation.</w:t>
      </w:r>
    </w:p>
    <w:p>
      <w:pPr>
        <w:spacing w:after="0" w:line="18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br w:type="column"/>
      </w:r>
    </w:p>
    <w:p>
      <w:pPr>
        <w:ind w:right="80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Items Affecting Net Income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138493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4935"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109.3pt,1.2pt" o:allowincell="f" strokecolor="#000000" strokeweight="0.6209pt"/>
            </w:pict>
          </mc:Fallback>
        </mc:AlternateConten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items affecting net income (loss) for fiscal 2025, 2024 and 2023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r>
      <w:tr>
        <w:trPr>
          <w:trHeight w:val="263"/>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 (1)</w:t>
            </w:r>
          </w:p>
        </w:tc>
        <w:tc>
          <w:tcPr>
            <w:tcW w:w="700" w:type="dxa"/>
            <w:vAlign w:val="bottom"/>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1,979</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2,673</w:t>
            </w:r>
          </w:p>
        </w:tc>
        <w:tc>
          <w:tcPr>
            <w:tcW w:w="20" w:type="dxa"/>
            <w:vAlign w:val="bottom"/>
          </w:tcPr>
          <w:p>
            <w:pPr>
              <w:spacing w:after="0"/>
              <w:rPr>
                <w:sz w:val="22"/>
                <w:szCs w:val="2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2,528</w:t>
            </w:r>
          </w:p>
        </w:tc>
      </w:tr>
      <w:tr>
        <w:trPr>
          <w:trHeight w:val="149"/>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(2)</w:t>
            </w:r>
          </w:p>
        </w:tc>
        <w:tc>
          <w:tcPr>
            <w:tcW w:w="7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(30 )</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49"/>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Net periodic pension costs (3)</w:t>
            </w:r>
          </w:p>
        </w:tc>
        <w:tc>
          <w:tcPr>
            <w:tcW w:w="7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(260)</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(430 )</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(496 )</w:t>
            </w:r>
          </w:p>
        </w:tc>
      </w:tr>
      <w:tr>
        <w:trPr>
          <w:trHeight w:val="148"/>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Net gains (cost) of company-owned life insurance</w:t>
            </w:r>
          </w:p>
        </w:tc>
        <w:tc>
          <w:tcPr>
            <w:tcW w:w="70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(84)</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302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(572 )</w:t>
            </w:r>
          </w:p>
        </w:tc>
      </w:tr>
      <w:tr>
        <w:trPr>
          <w:trHeight w:val="174"/>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(650)</w:t>
            </w:r>
          </w:p>
        </w:tc>
        <w:tc>
          <w:tcPr>
            <w:tcW w:w="2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(616 )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(791 )</w:t>
            </w:r>
          </w:p>
        </w:tc>
      </w:tr>
      <w:tr>
        <w:trPr>
          <w:trHeight w:val="310"/>
        </w:trPr>
        <w:tc>
          <w:tcPr>
            <w:tcW w:w="3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other income (loss), net</w:t>
            </w:r>
          </w:p>
        </w:tc>
        <w:tc>
          <w:tcPr>
            <w:tcW w:w="70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40" w:type="dxa"/>
            <w:vAlign w:val="bottom"/>
          </w:tcPr>
          <w:p>
            <w:pPr>
              <w:spacing w:after="0"/>
              <w:rPr>
                <w:sz w:val="24"/>
                <w:szCs w:val="24"/>
                <w:color w:val="auto"/>
              </w:rPr>
            </w:pPr>
          </w:p>
        </w:tc>
      </w:tr>
    </w:tbl>
    <w:p>
      <w:pPr>
        <w:spacing w:after="0" w:line="117" w:lineRule="exact"/>
        <w:rPr>
          <w:sz w:val="20"/>
          <w:szCs w:val="20"/>
          <w:color w:val="auto"/>
        </w:rPr>
      </w:pPr>
    </w:p>
    <w:p>
      <w:pPr>
        <w:jc w:val="both"/>
        <w:ind w:left="480" w:hanging="242"/>
        <w:spacing w:after="0" w:line="247" w:lineRule="auto"/>
        <w:tabs>
          <w:tab w:leader="none" w:pos="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interest income arising from our short-term investments and interest-bearing cash equivalents. The decrease in interest income for fiscal 2025 as compared with fiscal 2024 was due primarily to lower interest rates paid on certificates of deposit. See Note 3 to the Consolidated Financial Statements for additional information regarding our investments in certificates of deposit.</w:t>
      </w:r>
    </w:p>
    <w:p>
      <w:pPr>
        <w:spacing w:after="0" w:line="2" w:lineRule="exact"/>
        <w:rPr>
          <w:rFonts w:ascii="Times New Roman" w:cs="Times New Roman" w:eastAsia="Times New Roman" w:hAnsi="Times New Roman"/>
          <w:sz w:val="13"/>
          <w:szCs w:val="13"/>
          <w:color w:val="auto"/>
        </w:rPr>
      </w:pPr>
    </w:p>
    <w:p>
      <w:pPr>
        <w:ind w:left="480" w:hanging="242"/>
        <w:spacing w:after="0" w:line="239" w:lineRule="auto"/>
        <w:tabs>
          <w:tab w:leader="none" w:pos="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is attributable to finance leases for computer and office equipment. See Note 15 to the Consolidated Financial Statements for additional information regarding our leases.</w:t>
      </w:r>
    </w:p>
    <w:p>
      <w:pPr>
        <w:ind w:left="480" w:hanging="242"/>
        <w:spacing w:after="0" w:line="238" w:lineRule="auto"/>
        <w:tabs>
          <w:tab w:leader="none" w:pos="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portion of net periodic pension costs not included in income from operations. See Note 10 to the Consolidated Financial Statements for additional information related to our defined benefit pension plans.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 for Income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91567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72.35pt,1.2pt" o:allowincell="f" strokecolor="#000000" strokeweight="0.6209pt"/>
            </w:pict>
          </mc:Fallback>
        </mc:AlternateContent>
      </w:r>
    </w:p>
    <w:p>
      <w:pPr>
        <w:spacing w:after="0" w:line="1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We recorded income tax expense (benefit) of $2,660, $(4,675) and $683 for fiscal 2025, 2024 and 2023, respectively. Our effective tax rate of 30.4% for 2025 differs from the federal statutory rate of 21.0% primarily due to the effects of state income taxes and various permanent differences, capital loss carrybacks and provision to return adjustments. Our effective tax rate of 32.5% for 2024 differs from the federal statutory rate of 21.0% due to the increases in the valuation allowance placed on deferred tax assets resulting from pre-tax losses in foreign tax jurisdictions associated with Noa Home, the nondeductible impairment of the Noa Home tradename, the tax benefit recorded for the capital loss associated with the cumulative investment in Noa Home due to the shutdown of the operations, the effects of state income taxes, various permanent differences and provision to return adjustments.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have net deferred tax assets of $5,979 as of November 29, 2025, which, upon utilization, are expected to reduce our cash outlays for income taxes in future years. It will require approximately $28,500 of future taxable income to utilize our net deferred tax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Liquidity and Capital Resources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14605</wp:posOffset>
                </wp:positionV>
                <wp:extent cx="10890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9025"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15pt" to="86pt,1.15pt" o:allowincell="f" strokecolor="#000000" strokeweight="0.6209pt"/>
            </w:pict>
          </mc:Fallback>
        </mc:AlternateConten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We are committed to maintaining a strong balance sheet in order to weather difficult industry conditions, to allow us to take advantage of opportunities as market conditions improve, and to execute our long-term retail strategies.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Cash Flows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12700</wp:posOffset>
                </wp:positionV>
                <wp:extent cx="39052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0525" cy="4763"/>
                        </a:xfrm>
                        <a:prstGeom prst="line">
                          <a:avLst/>
                        </a:prstGeom>
                        <a:solidFill>
                          <a:srgbClr val="FFFFFF"/>
                        </a:solidFill>
                        <a:ln w="393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pt" to="31pt,1pt" o:allowincell="f" strokecolor="#000000" strokeweight="0.3099pt"/>
            </w:pict>
          </mc:Fallback>
        </mc:AlternateConten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Cash provided by operations for the year ended November 29, 2025 was $13,491 compared to cash provided by operations of $4,050 for the year ended November 30, 2024, representing an increase of $9,441 in cash flows from operations. This increase was primarily the result of improved operating income and changes in working capital due to the timing impact of expenditures as a result of an additional week in the first quarter of 2024.</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Our overall cash position increased $1,726 for fiscal 2025. We spent $4,350 on purchases of property and equipment, $6,939 in dividends and $2,150 to repurchase shares under our existing stock repurchase program. As of November 29, 2025, $ 18,254 remains available for future purchases under our stock repurchase plan. During the fourth quarter of fiscal 2025, a $2,500 CD which had formerly been pledged as collateral against our merchant services agreement with a bank matured and was not reinvested. With cash and cash equivalents and short-term investments totaling $59,240 on hand at November 29, 2025, expected future operating cash flows and the availability under our credit line noted below, we believe we have sufficient liquidity to fund operations for the foreseeable future.</w:t>
      </w:r>
    </w:p>
    <w:p>
      <w:pPr>
        <w:spacing w:after="0" w:line="13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color w:val="auto"/>
        </w:rPr>
        <w:t>8</w:t>
      </w:r>
    </w:p>
    <w:p>
      <w:pPr>
        <w:sectPr>
          <w:pgSz w:w="15840" w:h="12240" w:orient="landscape"/>
          <w:cols w:equalWidth="0" w:num="2">
            <w:col w:w="7200" w:space="720"/>
            <w:col w:w="6440"/>
          </w:cols>
          <w:pgMar w:left="740" w:top="1424" w:right="740" w:bottom="929" w:gutter="0" w:footer="0" w:header="0"/>
        </w:sectPr>
      </w:pPr>
    </w:p>
    <w:bookmarkStart w:id="8" w:name="page9"/>
    <w:bookmarkEnd w:id="8"/>
    <w:p>
      <w:pPr>
        <w:ind w:right="156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Debt and Other Obligations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13335</wp:posOffset>
                </wp:positionV>
                <wp:extent cx="92456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4560" cy="4763"/>
                        </a:xfrm>
                        <a:prstGeom prst="line">
                          <a:avLst/>
                        </a:prstGeom>
                        <a:solidFill>
                          <a:srgbClr val="FFFFFF"/>
                        </a:solidFill>
                        <a:ln w="3949">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05pt" to="73.05pt,1.05pt" o:allowincell="f" strokecolor="#000000" strokeweight="0.3109pt"/>
            </w:pict>
          </mc:Fallback>
        </mc:AlternateConten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Bank Credit Facility</w:t>
      </w:r>
    </w:p>
    <w:p>
      <w:pPr>
        <w:spacing w:after="0" w:line="149" w:lineRule="exact"/>
        <w:rPr>
          <w:sz w:val="20"/>
          <w:szCs w:val="20"/>
          <w:color w:val="auto"/>
        </w:rPr>
      </w:pPr>
    </w:p>
    <w:p>
      <w:pPr>
        <w:jc w:val="both"/>
        <w:ind w:right="760"/>
        <w:spacing w:after="0" w:line="243" w:lineRule="auto"/>
        <w:rPr>
          <w:sz w:val="20"/>
          <w:szCs w:val="20"/>
          <w:color w:val="auto"/>
        </w:rPr>
      </w:pPr>
      <w:r>
        <w:rPr>
          <w:rFonts w:ascii="Times New Roman" w:cs="Times New Roman" w:eastAsia="Times New Roman" w:hAnsi="Times New Roman"/>
          <w:sz w:val="13"/>
          <w:szCs w:val="13"/>
          <w:color w:val="auto"/>
        </w:rPr>
        <w:t>On May 15, 2024, we entered into the Eighth Amended and Restated Credit Agreement with our bank (the “Credit Facility”). This Credit Facility provides for a line of credit of up to $25,000. At November 29, 2025, we had $8,182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25" w:lineRule="exact"/>
        <w:rPr>
          <w:sz w:val="20"/>
          <w:szCs w:val="20"/>
          <w:color w:val="auto"/>
        </w:rPr>
      </w:pPr>
    </w:p>
    <w:p>
      <w:pPr>
        <w:ind w:left="480" w:hanging="242"/>
        <w:spacing w:after="0"/>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Fixed Charge Coverage Ratio (as defined in the Credit Facility) of not less than 1.2 times; and</w:t>
      </w:r>
    </w:p>
    <w:p>
      <w:pPr>
        <w:spacing w:after="0" w:line="147" w:lineRule="exact"/>
        <w:rPr>
          <w:rFonts w:ascii="Times New Roman" w:cs="Times New Roman" w:eastAsia="Times New Roman" w:hAnsi="Times New Roman"/>
          <w:sz w:val="13"/>
          <w:szCs w:val="13"/>
          <w:color w:val="auto"/>
        </w:rPr>
      </w:pPr>
    </w:p>
    <w:p>
      <w:pPr>
        <w:ind w:left="480" w:right="760" w:hanging="242"/>
        <w:spacing w:after="0" w:line="274" w:lineRule="auto"/>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Lease Adjusted Leverage to EBITDAR Ratio (as defined in the Credit Facility) not to exceed 3.35 times.</w:t>
      </w:r>
    </w:p>
    <w:p>
      <w:pPr>
        <w:spacing w:after="0" w:line="105" w:lineRule="exact"/>
        <w:rPr>
          <w:sz w:val="20"/>
          <w:szCs w:val="20"/>
          <w:color w:val="auto"/>
        </w:rPr>
      </w:pPr>
    </w:p>
    <w:p>
      <w:pPr>
        <w:jc w:val="both"/>
        <w:ind w:right="760"/>
        <w:spacing w:after="0" w:line="273" w:lineRule="auto"/>
        <w:rPr>
          <w:sz w:val="20"/>
          <w:szCs w:val="20"/>
          <w:color w:val="auto"/>
        </w:rPr>
      </w:pPr>
      <w:r>
        <w:rPr>
          <w:rFonts w:ascii="Times New Roman" w:cs="Times New Roman" w:eastAsia="Times New Roman" w:hAnsi="Times New Roman"/>
          <w:sz w:val="12"/>
          <w:szCs w:val="12"/>
          <w:color w:val="auto"/>
        </w:rPr>
        <w:t>Since our used commitment was less than $8,250 at November 29, 2025, we were not required to test the Consolidated Fixed Charge Coverage Ratio or the Consolidated Lease Adjusted Leverage to EBITDAR Ratio. However, had we been required to test those ratios, we would have been in full compliance. Consequently, our availability under the Credit Facility is currently $16,818. As of November 29, 2025 the Credit Facility was scheduled to expire on January 31, 2027. Subsequent to November 29, 2025, the Credit Facility has been extended through January 31, 2029 under substantially the same terms.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Leases</w:t>
      </w:r>
    </w:p>
    <w:p>
      <w:pPr>
        <w:spacing w:after="0" w:line="148" w:lineRule="exact"/>
        <w:rPr>
          <w:sz w:val="20"/>
          <w:szCs w:val="20"/>
          <w:color w:val="auto"/>
        </w:rPr>
      </w:pPr>
    </w:p>
    <w:p>
      <w:pPr>
        <w:jc w:val="both"/>
        <w:ind w:right="760"/>
        <w:spacing w:after="0" w:line="243" w:lineRule="auto"/>
        <w:rPr>
          <w:sz w:val="20"/>
          <w:szCs w:val="20"/>
          <w:color w:val="auto"/>
        </w:rPr>
      </w:pPr>
      <w:r>
        <w:rPr>
          <w:rFonts w:ascii="Times New Roman" w:cs="Times New Roman" w:eastAsia="Times New Roman" w:hAnsi="Times New Roman"/>
          <w:sz w:val="13"/>
          <w:szCs w:val="13"/>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trucks used in our wholesale and retail segments. The total future minimum lease payments for leases with terms in excess of one year at November 29, 2025 is $105,045 the present value of which is $89,392 and is included in our accompanying consolidated balance sheet at November 29, 2025. We were contingently liable under licensee lease obligation guarantees in the amount of $4,148 at November 29, 2025. The remaining terms under these lease guarantees range from approximately one to five years. See Note 15 to our consolidated financial statements for a schedule of future cash payments on our lease obligations and additional details regarding our leases and lease guarantees.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Post-Employment Benefits</w:t>
      </w:r>
    </w:p>
    <w:p>
      <w:pPr>
        <w:spacing w:after="0" w:line="148" w:lineRule="exact"/>
        <w:rPr>
          <w:sz w:val="20"/>
          <w:szCs w:val="20"/>
          <w:color w:val="auto"/>
        </w:rPr>
      </w:pPr>
    </w:p>
    <w:p>
      <w:pPr>
        <w:jc w:val="both"/>
        <w:ind w:right="760"/>
        <w:spacing w:after="0" w:line="246" w:lineRule="auto"/>
        <w:rPr>
          <w:sz w:val="20"/>
          <w:szCs w:val="20"/>
          <w:color w:val="auto"/>
        </w:rPr>
      </w:pPr>
      <w:r>
        <w:rPr>
          <w:rFonts w:ascii="Times New Roman" w:cs="Times New Roman" w:eastAsia="Times New Roman" w:hAnsi="Times New Roman"/>
          <w:sz w:val="13"/>
          <w:szCs w:val="13"/>
          <w:color w:val="auto"/>
        </w:rPr>
        <w:t>We provide post-employment benefits to certain current and former executives and management level employees of the Company. Included among these benefits are two defined-benefit plans with a combined projected benefit obligation of $6,990 at November 29, 2025. See Note 10 to our consolidated financial statements for a projection of future benefit payments under these plans from 2026 through 2035. We also have deferred compensation plans with a total liability of $5,530 at November 29, 2025, the current portion of which is $327. See Note 10 to our consolidated financial statements for additional information regarding these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Dividends and Share Repurchases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12065</wp:posOffset>
                </wp:positionV>
                <wp:extent cx="112966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9665" cy="4763"/>
                        </a:xfrm>
                        <a:prstGeom prst="line">
                          <a:avLst/>
                        </a:prstGeom>
                        <a:solidFill>
                          <a:srgbClr val="FFFFFF"/>
                        </a:solidFill>
                        <a:ln w="3949">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0.95pt" to="89.2pt,0.95pt" o:allowincell="f" strokecolor="#000000" strokeweight="0.3109pt"/>
            </w:pict>
          </mc:Fallback>
        </mc:AlternateContent>
      </w:r>
    </w:p>
    <w:p>
      <w:pPr>
        <w:spacing w:after="0" w:line="127" w:lineRule="exact"/>
        <w:rPr>
          <w:sz w:val="20"/>
          <w:szCs w:val="20"/>
          <w:color w:val="auto"/>
        </w:rPr>
      </w:pPr>
    </w:p>
    <w:p>
      <w:pPr>
        <w:jc w:val="both"/>
        <w:ind w:right="760"/>
        <w:spacing w:after="0" w:line="245" w:lineRule="auto"/>
        <w:rPr>
          <w:sz w:val="20"/>
          <w:szCs w:val="20"/>
          <w:color w:val="auto"/>
        </w:rPr>
      </w:pPr>
      <w:r>
        <w:rPr>
          <w:rFonts w:ascii="Times New Roman" w:cs="Times New Roman" w:eastAsia="Times New Roman" w:hAnsi="Times New Roman"/>
          <w:sz w:val="13"/>
          <w:szCs w:val="13"/>
          <w:color w:val="auto"/>
        </w:rPr>
        <w:t>During fiscal 2025, we declared and paid four quarterly dividends totaling $6,939, or $0.80 per share. During fiscal 2025, we repurchased 142,121 shares of our stock for an aggregate of $2,150 under our share repurchase program. The weighted-average effect of these share repurchases on basic earnings per share from continuing operations was less than $0.01 per share. On March 9, 2022, our Board of Directors increased the remaining limit of the repurchase plan to $40,000. The approximate dollar value that may yet be purchased pursuant to our stock repurchase program as of November 29, 2025 was $18,254.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br w:type="column"/>
      </w:r>
    </w:p>
    <w:p>
      <w:pPr>
        <w:ind w:right="80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Capital Expenditures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13335</wp:posOffset>
                </wp:positionV>
                <wp:extent cx="70040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0405" cy="4763"/>
                        </a:xfrm>
                        <a:prstGeom prst="line">
                          <a:avLst/>
                        </a:prstGeom>
                        <a:solidFill>
                          <a:srgbClr val="FFFFFF"/>
                        </a:solidFill>
                        <a:ln w="3949">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05pt" to="55.4pt,1.05pt" o:allowincell="f" strokecolor="#000000" strokeweight="0.3109pt"/>
            </w:pict>
          </mc:Fallback>
        </mc:AlternateContent>
      </w:r>
    </w:p>
    <w:p>
      <w:pPr>
        <w:spacing w:after="0" w:line="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We currently anticipate that total capital expenditures for fiscal 2026 will be between $8 million and $12 million, which will be used for tenant improvements on new retail stores and additional investments in information technology, including enhancements to our website. Our capital expenditure and working capital requirements in the foreseeable future may change depending on many factors, including but not limited to the overall performance of the store program, our rate of growth, our operating results and any adjustments in our operating plan needed in response to industry conditions, competition or unexpected events. We believe that our existing cash, together with cash from operations, will be sufficient to meet our capital expenditure and working capital requirements for the foreseeable future.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Fair Value Measurements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89027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0270"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70.35pt,1.2pt" o:allowincell="f" strokecolor="#000000" strokeweight="0.6209pt"/>
            </w:pict>
          </mc:Fallback>
        </mc:AlternateConten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 xml:space="preserve">We account for items measured at fair value in accordance with ASC Topic 820, </w:t>
      </w:r>
      <w:r>
        <w:rPr>
          <w:rFonts w:ascii="Times New Roman" w:cs="Times New Roman" w:eastAsia="Times New Roman" w:hAnsi="Times New Roman"/>
          <w:sz w:val="13"/>
          <w:szCs w:val="13"/>
          <w:i w:val="1"/>
          <w:iCs w:val="1"/>
          <w:color w:val="auto"/>
        </w:rPr>
        <w:t>Fair Value Measurements and Disclosures</w:t>
      </w:r>
      <w:r>
        <w:rPr>
          <w:rFonts w:ascii="Times New Roman" w:cs="Times New Roman" w:eastAsia="Times New Roman" w:hAnsi="Times New Roman"/>
          <w:sz w:val="13"/>
          <w:szCs w:val="13"/>
          <w:color w:val="auto"/>
        </w:rPr>
        <w:t>. ASC 820’s valuation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Level 1 Inputs</w:t>
      </w:r>
      <w:r>
        <w:rPr>
          <w:rFonts w:ascii="Times New Roman" w:cs="Times New Roman" w:eastAsia="Times New Roman" w:hAnsi="Times New Roman"/>
          <w:sz w:val="13"/>
          <w:szCs w:val="13"/>
          <w:color w:val="auto"/>
        </w:rPr>
        <w:t>– Quoted prices for identical instruments in active markets.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Level 2 Inputs</w:t>
      </w:r>
      <w:r>
        <w:rPr>
          <w:rFonts w:ascii="Times New Roman" w:cs="Times New Roman" w:eastAsia="Times New Roman" w:hAnsi="Times New Roman"/>
          <w:sz w:val="13"/>
          <w:szCs w:val="13"/>
          <w:color w:val="auto"/>
        </w:rPr>
        <w:t>– Quoted prices for similar instruments in active markets; quoted prices for identical or similar instruments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markets that are not active; and model-derived valuations whose inputs are observable or whose significant value drivers are observable.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Level 3 Inputs</w:t>
      </w:r>
      <w:r>
        <w:rPr>
          <w:rFonts w:ascii="Times New Roman" w:cs="Times New Roman" w:eastAsia="Times New Roman" w:hAnsi="Times New Roman"/>
          <w:sz w:val="13"/>
          <w:szCs w:val="13"/>
          <w:color w:val="auto"/>
        </w:rPr>
        <w:t>– Instruments with primarily unobservable value drivers.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believe that the carrying amounts of our current assets and current liabilities approximate fair value due to the short-term nature of these items. Our primary non-recurring fair value estimates, typically involving the valuation of goodwill impairments (see Note 7 to the Consolidated Financial Statements) and asset impairments (see Note 14 to the Consolidated Financial Statements) have utilized Level 3 inputs.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Off-Balance Sheet Arrangements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113220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2205"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89.4pt,1.2pt" o:allowincell="f" strokecolor="#000000" strokeweight="0.6209pt"/>
            </w:pict>
          </mc:Fallback>
        </mc:AlternateContent>
      </w:r>
    </w:p>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utilize stand-by letters of credit in the procurement of certain goods in the normal course of business. We lease land and buildings that are primarily used in the operation of our retail BHF stores and distribution facilities as well as certain manufacturing facilities in our upholstery operations. We have guaranteed certain lease obligations of licensee operators as part of our retail strategy. See Note 15 to the Consolidated Financial Statements, included in Item 8 of this Annual Report on Form 10-K, for further discussion of lease guarantees, including descriptions of the terms of such commitments and methods used to mitigate risks associated with these arrangements.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Contingencies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48387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870" cy="4763"/>
                        </a:xfrm>
                        <a:prstGeom prst="line">
                          <a:avLst/>
                        </a:prstGeom>
                        <a:solidFill>
                          <a:srgbClr val="FFFFFF"/>
                        </a:solidFill>
                        <a:ln w="7899">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38.35pt,1.2pt" o:allowincell="f" strokecolor="#000000" strokeweight="0.622pt"/>
            </w:pict>
          </mc:Fallback>
        </mc:AlternateConten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are involved in various claims and litigation as well as environmental matters, which arise in the normal course of business. Although the final outcome of these legal and environmental matters cannot be determined, based on the facts presently known, it is our opinion that the final resolution of these matters will not have a material adverse effect on our financial position or future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Critical Accounting Estimates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101790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7905"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80.4pt,1.2pt" o:allowincell="f" strokecolor="#000000" strokeweight="0.6209pt"/>
            </w:pict>
          </mc:Fallback>
        </mc:AlternateContent>
      </w:r>
    </w:p>
    <w:p>
      <w:pPr>
        <w:spacing w:after="0" w:line="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Our consolidated financial statements have been prepared in conformity with accounting principles generally accepted in the United States of America (“GAAP”) which requires that certain estimates and assumptions be made that affect the amounts and disclosures reported in those financial statements and the related accompanying notes. Actual results could differ from these estimates and assumptions. We use our best judgment in valuing these estimates and may, as warranted, solicit external advice. Estimates are based on current facts and circumstances, prior experience and other assumptions believed to be reasonable. The following critical accounting estimates, some of which are impacted significantly by judgments, assumptions and estimates, affect our consolidated financial statements.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Returns and Allowances </w:t>
      </w:r>
      <w:r>
        <w:rPr>
          <w:rFonts w:ascii="Times New Roman" w:cs="Times New Roman" w:eastAsia="Times New Roman" w:hAnsi="Times New Roman"/>
          <w:sz w:val="12"/>
          <w:szCs w:val="12"/>
          <w:color w:val="auto"/>
        </w:rPr>
        <w:t>– We record an estimate for returns and allowances as a reduction of revenue based on our historical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return patterns. The estimate for returns and allowances was $2,732, $3,970 and $4,883 at November 29, 2025, November 30, 2024 and November 25, 2023.</w:t>
      </w:r>
      <w:r>
        <w:rPr>
          <w:rFonts w:ascii="Times New Roman" w:cs="Times New Roman" w:eastAsia="Times New Roman" w:hAnsi="Times New Roman"/>
          <w:sz w:val="12"/>
          <w:szCs w:val="12"/>
          <w:i w:val="1"/>
          <w:iCs w:val="1"/>
          <w:color w:val="auto"/>
        </w:rPr>
        <w:t>Allowance for credit losses</w:t>
      </w:r>
      <w:r>
        <w:rPr>
          <w:rFonts w:ascii="Times New Roman" w:cs="Times New Roman" w:eastAsia="Times New Roman" w:hAnsi="Times New Roman"/>
          <w:sz w:val="12"/>
          <w:szCs w:val="12"/>
          <w:color w:val="auto"/>
        </w:rPr>
        <w:t xml:space="preserve"> - We maintain an allowance for credit losses for estimated losses resulting from the inability of our customers to make required payments. Our accounts receivable reserves were $429 and $1,097 at November 29, 2025 and November 30, 2024, respectively, representing 2.9% and 7.7% of our gross accounts receivable balances at those dates, respectively. The allowance for credit losses is based on a review of specifically identified</w:t>
      </w:r>
    </w:p>
    <w:p>
      <w:pPr>
        <w:spacing w:after="0" w:line="5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10</w:t>
      </w:r>
    </w:p>
    <w:p>
      <w:pPr>
        <w:sectPr>
          <w:pgSz w:w="15840" w:h="12240" w:orient="landscape"/>
          <w:cols w:equalWidth="0" w:num="2">
            <w:col w:w="7200" w:space="720"/>
            <w:col w:w="6440"/>
          </w:cols>
          <w:pgMar w:left="740" w:top="1424" w:right="740" w:bottom="929" w:gutter="0" w:footer="0" w:header="0"/>
        </w:sectPr>
      </w:pPr>
    </w:p>
    <w:bookmarkStart w:id="9" w:name="page10"/>
    <w:bookmarkEnd w:id="9"/>
    <w:p>
      <w:pPr>
        <w:ind w:right="156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jc w:val="both"/>
        <w:ind w:right="760"/>
        <w:spacing w:after="0" w:line="243" w:lineRule="auto"/>
        <w:rPr>
          <w:sz w:val="20"/>
          <w:szCs w:val="20"/>
          <w:color w:val="auto"/>
        </w:rPr>
      </w:pPr>
      <w:r>
        <w:rPr>
          <w:rFonts w:ascii="Times New Roman" w:cs="Times New Roman" w:eastAsia="Times New Roman" w:hAnsi="Times New Roman"/>
          <w:sz w:val="13"/>
          <w:szCs w:val="13"/>
          <w:color w:val="auto"/>
        </w:rPr>
        <w:t>customer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We have elected to use the practical expedient under ASC Topic 326 which allows us to assume that current conditions as of the balance sheet date do not change over the expected life of the receivables (see Recent Accounting Pronouncements below regarding the early adoption of ASU 2025-05). Although actual losses have not differed materially from our previous estimates, future losses could differ from our current estimates. Unforeseen events such as a licensee or customer bankruptcy filing could have a material impact on our results of operations.</w:t>
      </w:r>
    </w:p>
    <w:p>
      <w:pPr>
        <w:spacing w:after="0" w:line="98" w:lineRule="exact"/>
        <w:rPr>
          <w:sz w:val="20"/>
          <w:szCs w:val="20"/>
          <w:color w:val="auto"/>
        </w:rPr>
      </w:pPr>
    </w:p>
    <w:p>
      <w:pPr>
        <w:jc w:val="both"/>
        <w:ind w:right="760"/>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Inventory Reserves </w:t>
      </w:r>
      <w:r>
        <w:rPr>
          <w:rFonts w:ascii="Times New Roman" w:cs="Times New Roman" w:eastAsia="Times New Roman" w:hAnsi="Times New Roman"/>
          <w:sz w:val="13"/>
          <w:szCs w:val="13"/>
          <w:color w:val="auto"/>
        </w:rPr>
        <w:t>– We estimate an inventory reserve for excess quantities and obsolete items based on specific</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identification and historical write-offs, taking into account future demand and market conditions. Our reserves for excess and obsolete inventory were $6,027 and $5,395 at November 29, 2025 and November 30, 2024, respectively, representing 8.9% of our inventories on a LIFO basis at both years. If actual demand or market conditions in the future are less favorable than those estimated, additional inventory write-downs may be required.</w:t>
      </w:r>
    </w:p>
    <w:p>
      <w:pPr>
        <w:spacing w:after="0" w:line="94" w:lineRule="exact"/>
        <w:rPr>
          <w:sz w:val="20"/>
          <w:szCs w:val="20"/>
          <w:color w:val="auto"/>
        </w:rPr>
      </w:pPr>
    </w:p>
    <w:p>
      <w:pPr>
        <w:jc w:val="both"/>
        <w:ind w:right="760"/>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Goodwill </w:t>
      </w:r>
      <w:r>
        <w:rPr>
          <w:rFonts w:ascii="Times New Roman" w:cs="Times New Roman" w:eastAsia="Times New Roman" w:hAnsi="Times New Roman"/>
          <w:sz w:val="13"/>
          <w:szCs w:val="13"/>
          <w:color w:val="auto"/>
        </w:rPr>
        <w:t>– Goodwill represents the excess of the fair value of consideration given over the fair value of the tangible assets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liabilities and identifiable intangible assets of businesses acquired. The acquisition of assets and liabilities and the resulting goodwill is allocated to the respective reporting unit: Wood, Upholstery, Retail – Company-Owned Stores, and Noa Home. We review goodwill at the reporting unit level annually for impairment or more frequently if events or circumstances indicate that assets might be impaired.</w:t>
      </w:r>
    </w:p>
    <w:p>
      <w:pPr>
        <w:spacing w:after="0" w:line="94" w:lineRule="exact"/>
        <w:rPr>
          <w:sz w:val="20"/>
          <w:szCs w:val="20"/>
          <w:color w:val="auto"/>
        </w:rPr>
      </w:pPr>
    </w:p>
    <w:p>
      <w:pPr>
        <w:jc w:val="both"/>
        <w:ind w:right="760"/>
        <w:spacing w:after="0" w:line="241" w:lineRule="auto"/>
        <w:rPr>
          <w:sz w:val="20"/>
          <w:szCs w:val="20"/>
          <w:color w:val="auto"/>
        </w:rPr>
      </w:pPr>
      <w:r>
        <w:rPr>
          <w:rFonts w:ascii="Times New Roman" w:cs="Times New Roman" w:eastAsia="Times New Roman" w:hAnsi="Times New Roman"/>
          <w:sz w:val="13"/>
          <w:szCs w:val="13"/>
          <w:color w:val="auto"/>
        </w:rPr>
        <w:t xml:space="preserve">In accordance with ASC Topic 350, </w:t>
      </w:r>
      <w:r>
        <w:rPr>
          <w:rFonts w:ascii="Times New Roman" w:cs="Times New Roman" w:eastAsia="Times New Roman" w:hAnsi="Times New Roman"/>
          <w:sz w:val="13"/>
          <w:szCs w:val="13"/>
          <w:i w:val="1"/>
          <w:iCs w:val="1"/>
          <w:color w:val="auto"/>
        </w:rPr>
        <w:t>Intangibles</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Goodwill &amp; Other,</w:t>
      </w:r>
      <w:r>
        <w:rPr>
          <w:rFonts w:ascii="Times New Roman" w:cs="Times New Roman" w:eastAsia="Times New Roman" w:hAnsi="Times New Roman"/>
          <w:sz w:val="13"/>
          <w:szCs w:val="13"/>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The more likely than not threshold is defined as having a likelihood of more than 50 percent. If, after 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2025, 2024 and 2023 we performed the qualitative assessment as described above with respect to our upholstery reporting unit and concluded that there was no impairment of goodwill. With respect to our former Noa Home reporting unit, for the annual test of goodwill as of the beginnng of the fourth quarter of fiscal 2023 we proceeded to the quantitative test and concluded that the goodwill allocated to that reporting unit as of November 25, 2023 was fully impaired.</w:t>
      </w:r>
    </w:p>
    <w:p>
      <w:pPr>
        <w:spacing w:after="0" w:line="102" w:lineRule="exact"/>
        <w:rPr>
          <w:sz w:val="20"/>
          <w:szCs w:val="20"/>
          <w:color w:val="auto"/>
        </w:rPr>
      </w:pPr>
    </w:p>
    <w:p>
      <w:pPr>
        <w:jc w:val="both"/>
        <w:ind w:right="760"/>
        <w:spacing w:after="0" w:line="241" w:lineRule="auto"/>
        <w:rPr>
          <w:sz w:val="20"/>
          <w:szCs w:val="20"/>
          <w:color w:val="auto"/>
        </w:rPr>
      </w:pPr>
      <w:r>
        <w:rPr>
          <w:rFonts w:ascii="Times New Roman" w:cs="Times New Roman" w:eastAsia="Times New Roman" w:hAnsi="Times New Roman"/>
          <w:sz w:val="13"/>
          <w:szCs w:val="13"/>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3"/>
          <w:szCs w:val="13"/>
          <w:i w:val="1"/>
          <w:iCs w:val="1"/>
          <w:color w:val="auto"/>
        </w:rPr>
        <w:t>Fair Value Measurements and Disclosure</w:t>
      </w:r>
      <w:r>
        <w:rPr>
          <w:rFonts w:ascii="Times New Roman" w:cs="Times New Roman" w:eastAsia="Times New Roman" w:hAnsi="Times New Roman"/>
          <w:sz w:val="13"/>
          <w:szCs w:val="13"/>
          <w:color w:val="auto"/>
        </w:rPr>
        <w:t>,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w:t>
      </w:r>
    </w:p>
    <w:p>
      <w:pPr>
        <w:spacing w:after="0" w:line="100"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13"/>
          <w:szCs w:val="13"/>
          <w:b w:val="1"/>
          <w:bCs w:val="1"/>
          <w:i w:val="1"/>
          <w:iCs w:val="1"/>
          <w:color w:val="auto"/>
        </w:rPr>
        <w:t xml:space="preserve">Other Intangible Assets </w:t>
      </w:r>
      <w:r>
        <w:rPr>
          <w:rFonts w:ascii="Times New Roman" w:cs="Times New Roman" w:eastAsia="Times New Roman" w:hAnsi="Times New Roman"/>
          <w:sz w:val="13"/>
          <w:szCs w:val="13"/>
          <w:color w:val="auto"/>
        </w:rPr>
        <w:t>– Intangible assets acquired in a business combination and determined to have an indefinite useful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life are not amortized but are 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 During fiscal 2024, as a result of our decision to cease operations at Noa Home, we recognized a charge of $1,827 to fully impair the Noa Home trade name intangible asset. At November 29, 2025, our indefinite-lived intangible asset other than goodwill consisted of the trade name acquired in the acquisition of Lane Venture and had a carrying value of $6,848.</w:t>
      </w:r>
    </w:p>
    <w:p>
      <w:pPr>
        <w:spacing w:after="0" w:line="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br w:type="column"/>
      </w:r>
    </w:p>
    <w:p>
      <w:pPr>
        <w:ind w:right="800"/>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Management’s Discussion and Analysis of Financial Condition and Results of Operations – Continued </w:t>
      </w:r>
      <w:r>
        <w:rPr>
          <w:rFonts w:ascii="Times New Roman" w:cs="Times New Roman" w:eastAsia="Times New Roman" w:hAnsi="Times New Roman"/>
          <w:sz w:val="13"/>
          <w:szCs w:val="13"/>
          <w:color w:val="auto"/>
        </w:rPr>
        <w:t>(Amounts in thousands except share and per share data)</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 At November 29, 2025 our definite-lived intangible assets consist of customer relationships acquired in the acquisition of Lane Venture with a carrying value of $62.</w:t>
      </w:r>
    </w:p>
    <w:p>
      <w:pPr>
        <w:spacing w:after="0" w:line="1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b w:val="1"/>
          <w:bCs w:val="1"/>
          <w:i w:val="1"/>
          <w:iCs w:val="1"/>
          <w:color w:val="auto"/>
        </w:rPr>
        <w:t xml:space="preserve">Impairment of Long-Lived Assets </w:t>
      </w:r>
      <w:r>
        <w:rPr>
          <w:rFonts w:ascii="Times New Roman" w:cs="Times New Roman" w:eastAsia="Times New Roman" w:hAnsi="Times New Roman"/>
          <w:sz w:val="13"/>
          <w:szCs w:val="13"/>
          <w:color w:val="auto"/>
        </w:rPr>
        <w:t>– We periodically evaluate whether events or circumstances have occurred that indicate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long-lived assets may not be 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of the asset. In the event the sum of the expected undiscounted future cash flows is less than the carrying value of the asset, an impairment loss equal to the excess of the asset’s carrying value over its fair value is recorded. 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Right of use assets under operating leases are written down to their estimated fair value. Our estimates of the fair value of the impaired right of use assets include estimates of discounted cash flows based upon current market rents and other inputs which we consider to be Level 3 inputs as specified in the fair value hierarchy in ASC Topic 820, Fair Value Measurement and Disclosure.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See Note 2 to our Consolidated Financial Statements regarding the impact or potential impact of recent accounting pronouncements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12</w:t>
      </w:r>
    </w:p>
    <w:p>
      <w:pPr>
        <w:sectPr>
          <w:pgSz w:w="15840" w:h="12240" w:orient="landscape"/>
          <w:cols w:equalWidth="0" w:num="2">
            <w:col w:w="7200" w:space="720"/>
            <w:col w:w="6440"/>
          </w:cols>
          <w:pgMar w:left="740" w:top="1424" w:right="740" w:bottom="929" w:gutter="0" w:footer="0" w:header="0"/>
        </w:sectPr>
      </w:pPr>
    </w:p>
    <w:bookmarkStart w:id="10" w:name="page11"/>
    <w:bookmarkEnd w:id="10"/>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QUANTITATIVE AND QUALITATIVE DISCLOSURES ABOUT MARKET RISK</w:t>
      </w:r>
    </w:p>
    <w:p>
      <w:pPr>
        <w:spacing w:after="0" w:line="152"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We are exposed to market risk from changes in the value of foreign currencies. Substantially all of our purchases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2025.</w:t>
      </w:r>
    </w:p>
    <w:p>
      <w:pPr>
        <w:spacing w:after="0" w:line="121"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3"/>
          <w:szCs w:val="13"/>
          <w:color w:val="auto"/>
        </w:rPr>
        <w:t>We are exposed to market risk from changes in the cost of raw materials used in our manufacturing processes, principally wood, woven fabric, and foam products. The cost of foam products, which are petroleum-based, is sensitive to changes in the prices of oil and refined petroleum materials.</w:t>
      </w:r>
    </w:p>
    <w:p>
      <w:pPr>
        <w:spacing w:after="0" w:line="115" w:lineRule="exact"/>
        <w:rPr>
          <w:sz w:val="20"/>
          <w:szCs w:val="20"/>
          <w:color w:val="auto"/>
        </w:rPr>
      </w:pPr>
    </w:p>
    <w:p>
      <w:pPr>
        <w:jc w:val="both"/>
        <w:ind w:right="760"/>
        <w:spacing w:after="0" w:line="256" w:lineRule="auto"/>
        <w:rPr>
          <w:sz w:val="20"/>
          <w:szCs w:val="20"/>
          <w:color w:val="auto"/>
        </w:rPr>
      </w:pPr>
      <w:r>
        <w:rPr>
          <w:rFonts w:ascii="Times New Roman" w:cs="Times New Roman" w:eastAsia="Times New Roman" w:hAnsi="Times New Roman"/>
          <w:sz w:val="13"/>
          <w:szCs w:val="13"/>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17" w:lineRule="exact"/>
        <w:rPr>
          <w:sz w:val="20"/>
          <w:szCs w:val="20"/>
          <w:color w:val="auto"/>
        </w:rPr>
      </w:pPr>
    </w:p>
    <w:p>
      <w:pPr>
        <w:jc w:val="both"/>
        <w:ind w:right="760"/>
        <w:spacing w:after="0" w:line="242" w:lineRule="auto"/>
        <w:rPr>
          <w:sz w:val="20"/>
          <w:szCs w:val="20"/>
          <w:color w:val="auto"/>
        </w:rPr>
      </w:pPr>
      <w:r>
        <w:rPr>
          <w:rFonts w:ascii="Times New Roman" w:cs="Times New Roman" w:eastAsia="Times New Roman" w:hAnsi="Times New Roman"/>
          <w:sz w:val="13"/>
          <w:szCs w:val="13"/>
          <w:color w:val="auto"/>
        </w:rPr>
        <w:t>We have potential exposure to market risk related to conditions in the commercial real estate market. Our retail real estate holdings of $23,513 and $24,127 at November 29, 2025 and November 30, 2024, respectively, for Company-owned stores, consisting of eight locations with a total of 203,465 square feet of space, could suffer significant impairment in value if we are forced to close additional stores and sell or lease the related properties during periods of weakness in certain markets. Additionally, if we are required to assume responsibility for payment under the lease obligations of $4,148 and $5,131 which we have guaranteed on behalf of licensees as of November 29, 2025 and November 30, 2024, respectively,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and warehouse facilities. At November 29, 2025, the unamortized balance of such right-of-use assets totaled $77,180. Should we have to close or otherwise abandon one of these leased locations, we could incur additional impairment charges if rental market conditions do not support a fair value for the right of use asset in excess of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firstLine="233"/>
        <w:spacing w:after="0" w:line="249" w:lineRule="auto"/>
        <w:rPr>
          <w:sz w:val="20"/>
          <w:szCs w:val="20"/>
          <w:color w:val="auto"/>
        </w:rPr>
      </w:pPr>
      <w:r>
        <w:rPr>
          <w:rFonts w:ascii="Times New Roman" w:cs="Times New Roman" w:eastAsia="Times New Roman" w:hAnsi="Times New Roman"/>
          <w:sz w:val="13"/>
          <w:szCs w:val="13"/>
          <w:i w:val="1"/>
          <w:iCs w:val="1"/>
          <w:color w:val="auto"/>
        </w:rPr>
        <w:t xml:space="preserve">As used herein, unless the context otherwise requires,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Bassett,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we,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us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and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our</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refer to Bassett Furniture Industries, Incorporated and its subsidiaries. References to 2025, 2024 and 2023 mean the fiscal years ended November 29, 2024, November 30,2024 and November 25, 2023. Please note that fiscal 2024 contained 53 weeks while fiscal 2025 and 2023 each contained 52 weeks.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SAFE-HARBOR, FORWARD-LOOKING STATEMENTS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“anticipates”, “believes”, “plans”, “estimates”, “expects”, “aimed” and “intends” or words or phrases of similar expression. These forward-looking statements involve certain risks and uncertainties. No assurance can be given that any such matters will be realized. Important factors, which should be read in conjunction with Item 1A “Risk Factors”, that could cause actual results to differ materially from those contemplated by such forward-looking statements include:</w:t>
      </w:r>
    </w:p>
    <w:p>
      <w:pPr>
        <w:spacing w:after="0" w:line="127" w:lineRule="exact"/>
        <w:rPr>
          <w:sz w:val="20"/>
          <w:szCs w:val="20"/>
          <w:color w:val="auto"/>
        </w:rPr>
      </w:pPr>
    </w:p>
    <w:p>
      <w:pPr>
        <w:jc w:val="both"/>
        <w:ind w:left="500" w:hanging="250"/>
        <w:spacing w:after="0" w:line="256" w:lineRule="auto"/>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16"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competitive conditions in the home furnishings industry</w:t>
      </w:r>
    </w:p>
    <w:p>
      <w:pPr>
        <w:spacing w:after="0" w:line="147"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overall retail traffic levels in stores and on the internet and consumer demand for home furnishings</w:t>
      </w:r>
    </w:p>
    <w:p>
      <w:pPr>
        <w:spacing w:after="0" w:line="147"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ability of our customers and consumers to obtain affordable credit due to increased interest rates</w:t>
      </w:r>
    </w:p>
    <w:p>
      <w:pPr>
        <w:spacing w:after="0" w:line="148" w:lineRule="exact"/>
        <w:rPr>
          <w:rFonts w:ascii="Times New Roman" w:cs="Times New Roman" w:eastAsia="Times New Roman" w:hAnsi="Times New Roman"/>
          <w:sz w:val="13"/>
          <w:szCs w:val="13"/>
          <w:color w:val="auto"/>
        </w:rPr>
      </w:pPr>
    </w:p>
    <w:p>
      <w:pPr>
        <w:ind w:left="500" w:hanging="249"/>
        <w:spacing w:after="0" w:line="273" w:lineRule="auto"/>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profitability of the stores (independent licensees and Company-owned retail stores) which may result in future store closings</w:t>
      </w:r>
    </w:p>
    <w:p>
      <w:pPr>
        <w:spacing w:after="0" w:line="106"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additional asset impairment charges arising from the ongoing efforts to consolidate our retail warehouses</w:t>
      </w:r>
    </w:p>
    <w:p>
      <w:pPr>
        <w:spacing w:after="0" w:line="159" w:lineRule="exact"/>
        <w:rPr>
          <w:rFonts w:ascii="Times New Roman" w:cs="Times New Roman" w:eastAsia="Times New Roman" w:hAnsi="Times New Roman"/>
          <w:sz w:val="12"/>
          <w:szCs w:val="12"/>
          <w:color w:val="auto"/>
        </w:rPr>
      </w:pPr>
    </w:p>
    <w:p>
      <w:pPr>
        <w:ind w:left="500" w:hanging="249"/>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ability to implement our Company-owned retail strategies and realize the benefits from such strategies</w:t>
      </w:r>
    </w:p>
    <w:p>
      <w:pPr>
        <w:spacing w:after="0" w:line="147" w:lineRule="exact"/>
        <w:rPr>
          <w:rFonts w:ascii="Times New Roman" w:cs="Times New Roman" w:eastAsia="Times New Roman" w:hAnsi="Times New Roman"/>
          <w:sz w:val="13"/>
          <w:szCs w:val="13"/>
          <w:color w:val="auto"/>
        </w:rPr>
      </w:pPr>
    </w:p>
    <w:p>
      <w:pPr>
        <w:jc w:val="both"/>
        <w:ind w:left="500" w:hanging="249"/>
        <w:spacing w:after="0" w:line="256" w:lineRule="auto"/>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17"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tax legislation, or regulatory or judicial positions</w:t>
      </w:r>
    </w:p>
    <w:p>
      <w:pPr>
        <w:spacing w:after="0" w:line="147"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ability to efficiently manage the import supply chain to minimize business interruption</w:t>
      </w:r>
    </w:p>
    <w:p>
      <w:pPr>
        <w:spacing w:after="0" w:line="147" w:lineRule="exact"/>
        <w:rPr>
          <w:rFonts w:ascii="Times New Roman" w:cs="Times New Roman" w:eastAsia="Times New Roman" w:hAnsi="Times New Roman"/>
          <w:sz w:val="13"/>
          <w:szCs w:val="13"/>
          <w:color w:val="auto"/>
        </w:rPr>
      </w:pPr>
    </w:p>
    <w:p>
      <w:pPr>
        <w:ind w:left="500" w:hanging="249"/>
        <w:spacing w:after="0" w:line="274" w:lineRule="auto"/>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concentration of domestic manufacturing, particularly of upholstery products, and the resulting exposure to business interruption from accidents, weather and other events and circumstances beyond our control</w:t>
      </w:r>
    </w:p>
    <w:p>
      <w:pPr>
        <w:spacing w:after="0" w:line="1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You should keep in mind that any forward-looking statement made by us in this report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report after the date hereof, except as may be required by law. In light of these risks and uncertainties, you should keep in mind that the events described in any forward-looking statement made in this report might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14</w:t>
      </w:r>
    </w:p>
    <w:p>
      <w:pPr>
        <w:sectPr>
          <w:pgSz w:w="15840" w:h="12240" w:orient="landscape"/>
          <w:cols w:equalWidth="0" w:num="2">
            <w:col w:w="7200" w:space="720"/>
            <w:col w:w="6440"/>
          </w:cols>
          <w:pgMar w:left="740" w:top="1440" w:right="740" w:bottom="929" w:gutter="0" w:footer="0" w:header="0"/>
        </w:sectPr>
      </w:pPr>
    </w:p>
    <w:bookmarkStart w:id="11" w:name="page12"/>
    <w:bookmarkEnd w:id="11"/>
    <w:p>
      <w:pPr>
        <w:spacing w:after="0" w:line="17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Bassett Furniture Industries, Incorporated and Subsidiaries</w:t>
      </w:r>
    </w:p>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November 29, 2025 and November 30, 2024</w:t>
      </w:r>
    </w:p>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74"/>
              </w:rPr>
              <w:t>Current</w:t>
            </w:r>
          </w:p>
        </w:tc>
        <w:tc>
          <w:tcPr>
            <w:tcW w:w="4200" w:type="dxa"/>
            <w:vAlign w:val="bottom"/>
            <w:gridSpan w:val="2"/>
          </w:tcPr>
          <w:p>
            <w:pPr>
              <w:ind w:left="140"/>
              <w:spacing w:after="0" w:line="115"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gridSpan w:val="2"/>
          </w:tcPr>
          <w:p>
            <w:pPr>
              <w:jc w:val="right"/>
              <w:ind w:right="46"/>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rPr>
              <w:t>41,277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39,551</w:t>
            </w: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Short-term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17,963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20,360</w:t>
            </w: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$429 and $1,097 as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3"/>
                <w:szCs w:val="13"/>
                <w:color w:val="auto"/>
              </w:rPr>
              <w:t>November 29, 2025 and November 30, 2024, respectively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14,410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13,181</w:t>
            </w: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61,790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54,965</w:t>
            </w: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Recoverable income taxes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2,878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4,240</w:t>
            </w:r>
          </w:p>
        </w:tc>
        <w:tc>
          <w:tcPr>
            <w:tcW w:w="0" w:type="dxa"/>
            <w:vAlign w:val="bottom"/>
          </w:tcPr>
          <w:p>
            <w:pPr>
              <w:spacing w:after="0"/>
              <w:rPr>
                <w:sz w:val="1"/>
                <w:szCs w:val="1"/>
                <w:color w:val="auto"/>
              </w:rPr>
            </w:pPr>
          </w:p>
        </w:tc>
      </w:tr>
      <w:tr>
        <w:trPr>
          <w:trHeight w:val="172"/>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7,224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60" w:type="dxa"/>
            <w:vAlign w:val="bottom"/>
            <w:gridSpan w:val="3"/>
          </w:tcPr>
          <w:p>
            <w:pPr>
              <w:spacing w:after="0" w:line="143" w:lineRule="exact"/>
              <w:rPr>
                <w:sz w:val="20"/>
                <w:szCs w:val="20"/>
                <w:color w:val="auto"/>
              </w:rPr>
            </w:pPr>
            <w:r>
              <w:rPr>
                <w:rFonts w:ascii="Times New Roman" w:cs="Times New Roman" w:eastAsia="Times New Roman" w:hAnsi="Times New Roman"/>
                <w:sz w:val="13"/>
                <w:szCs w:val="13"/>
                <w:color w:val="auto"/>
              </w:rPr>
              <w:t>Total current assets</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0"/>
              <w:spacing w:after="0" w:line="143" w:lineRule="exact"/>
              <w:rPr>
                <w:sz w:val="20"/>
                <w:szCs w:val="20"/>
                <w:color w:val="auto"/>
              </w:rPr>
            </w:pPr>
            <w:r>
              <w:rPr>
                <w:rFonts w:ascii="Times New Roman" w:cs="Times New Roman" w:eastAsia="Times New Roman" w:hAnsi="Times New Roman"/>
                <w:sz w:val="13"/>
                <w:szCs w:val="13"/>
                <w:color w:val="auto"/>
              </w:rPr>
              <w:t>145,542</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141,539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73,175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77,047</w:t>
            </w:r>
          </w:p>
        </w:tc>
        <w:tc>
          <w:tcPr>
            <w:tcW w:w="0" w:type="dxa"/>
            <w:vAlign w:val="bottom"/>
          </w:tcPr>
          <w:p>
            <w:pPr>
              <w:spacing w:after="0"/>
              <w:rPr>
                <w:sz w:val="1"/>
                <w:szCs w:val="1"/>
                <w:color w:val="auto"/>
              </w:rPr>
            </w:pPr>
          </w:p>
        </w:tc>
      </w:tr>
      <w:tr>
        <w:trPr>
          <w:trHeight w:val="280"/>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Other long-term assets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3"/>
                <w:szCs w:val="13"/>
                <w:color w:val="auto"/>
              </w:rPr>
              <w:t>Deferred income taxes, net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5,979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6,867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7,217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7,217</w:t>
            </w:r>
          </w:p>
        </w:tc>
        <w:tc>
          <w:tcPr>
            <w:tcW w:w="0" w:type="dxa"/>
            <w:vAlign w:val="bottom"/>
          </w:tcPr>
          <w:p>
            <w:pPr>
              <w:spacing w:after="0"/>
              <w:rPr>
                <w:sz w:val="1"/>
                <w:szCs w:val="1"/>
                <w:color w:val="auto"/>
              </w:rPr>
            </w:pPr>
          </w:p>
        </w:tc>
      </w:tr>
      <w:tr>
        <w:trPr>
          <w:trHeight w:val="148"/>
        </w:trPr>
        <w:tc>
          <w:tcPr>
            <w:tcW w:w="45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3"/>
                <w:szCs w:val="13"/>
                <w:color w:val="auto"/>
              </w:rPr>
              <w:t>Intangible assets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6,910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6,968</w:t>
            </w: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Right of use assets under operating leases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76,727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93,624</w:t>
            </w:r>
          </w:p>
        </w:tc>
        <w:tc>
          <w:tcPr>
            <w:tcW w:w="0" w:type="dxa"/>
            <w:vAlign w:val="bottom"/>
          </w:tcPr>
          <w:p>
            <w:pPr>
              <w:spacing w:after="0"/>
              <w:rPr>
                <w:sz w:val="1"/>
                <w:szCs w:val="1"/>
                <w:color w:val="auto"/>
              </w:rPr>
            </w:pPr>
          </w:p>
        </w:tc>
      </w:tr>
      <w:tr>
        <w:trPr>
          <w:trHeight w:val="172"/>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Total other long-term assets</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105,102</w:t>
            </w:r>
          </w:p>
        </w:tc>
        <w:tc>
          <w:tcPr>
            <w:tcW w:w="40" w:type="dxa"/>
            <w:vAlign w:val="bottom"/>
            <w:tcBorders>
              <w:bottom w:val="single" w:sz="8" w:color="auto"/>
            </w:tcBorders>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122,584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6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323,819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341,170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Equity</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gridSpan w:val="2"/>
          </w:tcPr>
          <w:p>
            <w:pPr>
              <w:jc w:val="right"/>
              <w:ind w:right="46"/>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14,739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13,303</w:t>
            </w: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color w:val="auto"/>
              </w:rPr>
              <w:t>10,227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6,898</w:t>
            </w:r>
          </w:p>
        </w:tc>
        <w:tc>
          <w:tcPr>
            <w:tcW w:w="0" w:type="dxa"/>
            <w:vAlign w:val="bottom"/>
          </w:tcPr>
          <w:p>
            <w:pPr>
              <w:spacing w:after="0"/>
              <w:rPr>
                <w:sz w:val="1"/>
                <w:szCs w:val="1"/>
                <w:color w:val="auto"/>
              </w:rPr>
            </w:pPr>
          </w:p>
        </w:tc>
      </w:tr>
      <w:tr>
        <w:trPr>
          <w:trHeight w:val="148"/>
        </w:trPr>
        <w:tc>
          <w:tcPr>
            <w:tcW w:w="45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3"/>
                <w:szCs w:val="13"/>
                <w:color w:val="auto"/>
              </w:rPr>
              <w:t>Customer deposits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24,969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25,742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Current portion of operating lease obligations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19,299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18,050</w:t>
            </w:r>
          </w:p>
        </w:tc>
        <w:tc>
          <w:tcPr>
            <w:tcW w:w="0" w:type="dxa"/>
            <w:vAlign w:val="bottom"/>
          </w:tcPr>
          <w:p>
            <w:pPr>
              <w:spacing w:after="0"/>
              <w:rPr>
                <w:sz w:val="1"/>
                <w:szCs w:val="1"/>
                <w:color w:val="auto"/>
              </w:rPr>
            </w:pPr>
          </w:p>
        </w:tc>
      </w:tr>
      <w:tr>
        <w:trPr>
          <w:trHeight w:val="172"/>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7,750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9,410</w:t>
            </w:r>
          </w:p>
        </w:tc>
        <w:tc>
          <w:tcPr>
            <w:tcW w:w="0" w:type="dxa"/>
            <w:vAlign w:val="bottom"/>
          </w:tcPr>
          <w:p>
            <w:pPr>
              <w:spacing w:after="0"/>
              <w:rPr>
                <w:sz w:val="1"/>
                <w:szCs w:val="1"/>
                <w:color w:val="auto"/>
              </w:rPr>
            </w:pPr>
          </w:p>
        </w:tc>
      </w:tr>
      <w:tr>
        <w:trPr>
          <w:trHeight w:val="144"/>
        </w:trPr>
        <w:tc>
          <w:tcPr>
            <w:tcW w:w="45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Total current liabilities</w:t>
            </w: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4"/>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76,984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73,403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Long-term liabilities</w:t>
            </w: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5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3"/>
                <w:szCs w:val="13"/>
                <w:color w:val="auto"/>
              </w:rPr>
              <w:t>Post employment benefit obligations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11,379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10,882</w:t>
            </w: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Long-term portion of operating lease obligations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69,353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88,395</w:t>
            </w:r>
          </w:p>
        </w:tc>
        <w:tc>
          <w:tcPr>
            <w:tcW w:w="0" w:type="dxa"/>
            <w:vAlign w:val="bottom"/>
          </w:tcPr>
          <w:p>
            <w:pPr>
              <w:spacing w:after="0"/>
              <w:rPr>
                <w:sz w:val="1"/>
                <w:szCs w:val="1"/>
                <w:color w:val="auto"/>
              </w:rPr>
            </w:pPr>
          </w:p>
        </w:tc>
      </w:tr>
      <w:tr>
        <w:trPr>
          <w:trHeight w:val="172"/>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996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1,163</w:t>
            </w:r>
          </w:p>
        </w:tc>
        <w:tc>
          <w:tcPr>
            <w:tcW w:w="0" w:type="dxa"/>
            <w:vAlign w:val="bottom"/>
          </w:tcPr>
          <w:p>
            <w:pPr>
              <w:spacing w:after="0"/>
              <w:rPr>
                <w:sz w:val="1"/>
                <w:szCs w:val="1"/>
                <w:color w:val="auto"/>
              </w:rPr>
            </w:pPr>
          </w:p>
        </w:tc>
      </w:tr>
      <w:tr>
        <w:trPr>
          <w:trHeight w:val="144"/>
        </w:trPr>
        <w:tc>
          <w:tcPr>
            <w:tcW w:w="456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Total long-term liabilities</w:t>
            </w: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81,728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100,440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(Notes 15 and 16)</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equity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Common stock, $5 par value; 50,000,000 shares authorized; issued and outstanding: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3"/>
                <w:szCs w:val="13"/>
                <w:color w:val="auto"/>
              </w:rPr>
              <w:t>8,651,054 at November 29, 2025 and 8,736,046 at November 30, 2024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5"/>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43,256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43,681</w:t>
            </w: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121,128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Additional paid-in-capital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793</w:t>
            </w:r>
          </w:p>
        </w:tc>
        <w:tc>
          <w:tcPr>
            <w:tcW w:w="0" w:type="dxa"/>
            <w:vAlign w:val="bottom"/>
          </w:tcPr>
          <w:p>
            <w:pPr>
              <w:spacing w:after="0"/>
              <w:rPr>
                <w:sz w:val="1"/>
                <w:szCs w:val="1"/>
                <w:color w:val="auto"/>
              </w:rPr>
            </w:pPr>
          </w:p>
        </w:tc>
      </w:tr>
      <w:tr>
        <w:trPr>
          <w:trHeight w:val="143"/>
        </w:trPr>
        <w:tc>
          <w:tcPr>
            <w:tcW w:w="4560" w:type="dxa"/>
            <w:vAlign w:val="bottom"/>
            <w:gridSpan w:val="3"/>
          </w:tcPr>
          <w:p>
            <w:pPr>
              <w:spacing w:after="0" w:line="143" w:lineRule="exact"/>
              <w:rPr>
                <w:sz w:val="20"/>
                <w:szCs w:val="20"/>
                <w:color w:val="auto"/>
              </w:rPr>
            </w:pPr>
            <w:r>
              <w:rPr>
                <w:rFonts w:ascii="Times New Roman" w:cs="Times New Roman" w:eastAsia="Times New Roman" w:hAnsi="Times New Roman"/>
                <w:sz w:val="13"/>
                <w:szCs w:val="13"/>
                <w:color w:val="auto"/>
              </w:rPr>
              <w:t>Total stockholders' equity</w:t>
            </w: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165,107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167,327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3"/>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Total liabilities and stockholders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equity</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323,819</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341,170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Bassett Furniture Industries, Incorporated and Subsidiaries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years ended November 29, 2025, November 30, 2024, and November 25, 2023</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r>
      <w:tr>
        <w:trPr>
          <w:trHeight w:val="263"/>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Net sales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335,280</w:t>
            </w:r>
          </w:p>
        </w:tc>
        <w:tc>
          <w:tcPr>
            <w:tcW w:w="120" w:type="dxa"/>
            <w:vAlign w:val="bottom"/>
          </w:tcPr>
          <w:p>
            <w:pPr>
              <w:spacing w:after="0"/>
              <w:rPr>
                <w:sz w:val="22"/>
                <w:szCs w:val="22"/>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329,923</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390,136</w:t>
            </w:r>
          </w:p>
        </w:tc>
      </w:tr>
      <w:tr>
        <w:trPr>
          <w:trHeight w:val="172"/>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146,598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150,508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183,648</w:t>
            </w:r>
          </w:p>
        </w:tc>
        <w:tc>
          <w:tcPr>
            <w:tcW w:w="40" w:type="dxa"/>
            <w:vAlign w:val="bottom"/>
          </w:tcPr>
          <w:p>
            <w:pPr>
              <w:spacing w:after="0"/>
              <w:rPr>
                <w:sz w:val="14"/>
                <w:szCs w:val="14"/>
                <w:color w:val="auto"/>
              </w:rPr>
            </w:pPr>
          </w:p>
        </w:tc>
      </w:tr>
      <w:tr>
        <w:trPr>
          <w:trHeight w:val="166"/>
        </w:trPr>
        <w:tc>
          <w:tcPr>
            <w:tcW w:w="3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188,682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179,415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206,488</w:t>
            </w:r>
          </w:p>
        </w:tc>
        <w:tc>
          <w:tcPr>
            <w:tcW w:w="40" w:type="dxa"/>
            <w:vAlign w:val="bottom"/>
          </w:tcPr>
          <w:p>
            <w:pPr>
              <w:spacing w:after="0"/>
              <w:rPr>
                <w:sz w:val="14"/>
                <w:szCs w:val="14"/>
                <w:color w:val="auto"/>
              </w:rPr>
            </w:pPr>
          </w:p>
        </w:tc>
      </w:tr>
      <w:tr>
        <w:trPr>
          <w:trHeight w:val="248"/>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187,527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205,227</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Asset impairment charges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498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Loss on contract abandonment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Loss upon realization of cumulative translation adjustment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Restructuring charges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440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Goodwill impairment charge</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5,409</w:t>
            </w:r>
          </w:p>
        </w:tc>
      </w:tr>
      <w:tr>
        <w:trPr>
          <w:trHeight w:val="174"/>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Gain on revaluation of contingent consideration</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40" w:type="dxa"/>
            <w:vAlign w:val="bottom"/>
          </w:tcPr>
          <w:p>
            <w:pPr>
              <w:spacing w:after="0"/>
              <w:rPr>
                <w:sz w:val="15"/>
                <w:szCs w:val="15"/>
                <w:color w:val="auto"/>
              </w:rPr>
            </w:pPr>
          </w:p>
        </w:tc>
      </w:tr>
      <w:tr>
        <w:trPr>
          <w:trHeight w:val="280"/>
        </w:trPr>
        <w:tc>
          <w:tcPr>
            <w:tcW w:w="3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(16,269 )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(3,135)</w:t>
            </w:r>
          </w:p>
        </w:tc>
      </w:tr>
      <w:tr>
        <w:trPr>
          <w:trHeight w:val="279"/>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2,528</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(52)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rPr>
              <w:t>(30 )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(22)</w:t>
            </w:r>
          </w:p>
        </w:tc>
      </w:tr>
      <w:tr>
        <w:trPr>
          <w:trHeight w:val="174"/>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Other loss, net</w:t>
            </w:r>
          </w:p>
        </w:tc>
        <w:tc>
          <w:tcPr>
            <w:tcW w:w="18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(994)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(744 )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(1,859)</w:t>
            </w: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0"/>
        </w:trPr>
        <w:tc>
          <w:tcPr>
            <w:tcW w:w="3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(14,370 )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(2,488)</w:t>
            </w:r>
          </w:p>
        </w:tc>
      </w:tr>
      <w:tr>
        <w:trPr>
          <w:trHeight w:val="302"/>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(4,675 )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683</w:t>
            </w: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2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(9,695 )</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(3,171)</w:t>
            </w: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5"/>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(loss) per share:</w:t>
            </w:r>
          </w:p>
        </w:tc>
        <w:tc>
          <w:tcPr>
            <w:tcW w:w="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12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(1.11 )</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(0.36)</w:t>
            </w: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12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(1.11 )</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(0.36)</w:t>
            </w:r>
          </w:p>
        </w:tc>
      </w:tr>
      <w:tr>
        <w:trPr>
          <w:trHeight w:val="33"/>
        </w:trPr>
        <w:tc>
          <w:tcPr>
            <w:tcW w:w="3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319"/>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Regular dividends per share</w:t>
            </w:r>
          </w:p>
        </w:tc>
        <w:tc>
          <w:tcPr>
            <w:tcW w:w="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0.80</w:t>
            </w:r>
          </w:p>
        </w:tc>
        <w:tc>
          <w:tcPr>
            <w:tcW w:w="120" w:type="dxa"/>
            <w:vAlign w:val="bottom"/>
          </w:tcPr>
          <w:p>
            <w:pPr>
              <w:spacing w:after="0"/>
              <w:rPr>
                <w:sz w:val="24"/>
                <w:szCs w:val="24"/>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120" w:type="dxa"/>
            <w:vAlign w:val="bottom"/>
          </w:tcPr>
          <w:p>
            <w:pPr>
              <w:spacing w:after="0"/>
              <w:rPr>
                <w:sz w:val="24"/>
                <w:szCs w:val="24"/>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40" w:type="dxa"/>
            <w:vAlign w:val="bottom"/>
          </w:tcPr>
          <w:p>
            <w:pPr>
              <w:spacing w:after="0"/>
              <w:rPr>
                <w:sz w:val="24"/>
                <w:szCs w:val="24"/>
                <w:color w:val="auto"/>
              </w:rPr>
            </w:pPr>
          </w:p>
        </w:tc>
      </w:tr>
    </w:tbl>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16</w:t>
      </w:r>
    </w:p>
    <w:p>
      <w:pPr>
        <w:sectPr>
          <w:pgSz w:w="15840" w:h="12240" w:orient="landscape"/>
          <w:cols w:equalWidth="0" w:num="2">
            <w:col w:w="7200" w:space="720"/>
            <w:col w:w="6420"/>
          </w:cols>
          <w:pgMar w:left="740" w:top="1440" w:right="760" w:bottom="929" w:gutter="0" w:footer="0" w:header="0"/>
        </w:sectPr>
      </w:pPr>
    </w:p>
    <w:bookmarkStart w:id="12" w:name="page13"/>
    <w:bookmarkEnd w:id="12"/>
    <w:p>
      <w:pPr>
        <w:spacing w:after="0" w:line="171" w:lineRule="exact"/>
        <w:rPr>
          <w:sz w:val="20"/>
          <w:szCs w:val="20"/>
          <w:color w:val="auto"/>
        </w:rPr>
      </w:pPr>
    </w:p>
    <w:p>
      <w:pPr>
        <w:jc w:val="center"/>
        <w:ind w:right="760"/>
        <w:spacing w:after="0" w:line="255" w:lineRule="auto"/>
        <w:rPr>
          <w:sz w:val="20"/>
          <w:szCs w:val="20"/>
          <w:color w:val="auto"/>
        </w:rPr>
      </w:pPr>
      <w:r>
        <w:rPr>
          <w:rFonts w:ascii="Times New Roman" w:cs="Times New Roman" w:eastAsia="Times New Roman" w:hAnsi="Times New Roman"/>
          <w:sz w:val="13"/>
          <w:szCs w:val="13"/>
          <w:b w:val="1"/>
          <w:bCs w:val="1"/>
          <w:color w:val="auto"/>
        </w:rPr>
        <w:t>Consolidated Statements of Comprehensive Income (Loss) Bassett Furniture Industries, Incorporated and Subsidiaries For the years ended November 29, 2025, November 30, 2024, and November 25, 2023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r>
      <w:tr>
        <w:trPr>
          <w:trHeight w:val="263"/>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40" w:type="dxa"/>
            <w:vAlign w:val="bottom"/>
          </w:tcPr>
          <w:p>
            <w:pPr>
              <w:spacing w:after="0"/>
              <w:rPr>
                <w:sz w:val="22"/>
                <w:szCs w:val="2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(9,695 )</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(3,171)</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652</w:t>
            </w: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w:t>
            </w:r>
          </w:p>
        </w:tc>
      </w:tr>
      <w:tr>
        <w:trPr>
          <w:trHeight w:val="149"/>
        </w:trPr>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Income taxes related to foreign currency translation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600" w:type="dxa"/>
            <w:vAlign w:val="bottom"/>
          </w:tcPr>
          <w:p>
            <w:pPr>
              <w:ind w:left="360"/>
              <w:spacing w:after="0" w:line="149" w:lineRule="exact"/>
              <w:rPr>
                <w:sz w:val="20"/>
                <w:szCs w:val="20"/>
                <w:color w:val="auto"/>
              </w:rPr>
            </w:pPr>
            <w:r>
              <w:rPr>
                <w:rFonts w:ascii="Times New Roman" w:cs="Times New Roman" w:eastAsia="Times New Roman" w:hAnsi="Times New Roman"/>
                <w:sz w:val="13"/>
                <w:szCs w:val="13"/>
                <w:color w:val="auto"/>
              </w:rPr>
              <w:t>adjustments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(166 )</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96</w:t>
            </w:r>
          </w:p>
        </w:tc>
      </w:tr>
      <w:tr>
        <w:trPr>
          <w:trHeight w:val="149"/>
        </w:trPr>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Actuarial adjustment to</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Long Term Cash Awards (LTCA)</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(117 )</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r>
      <w:tr>
        <w:trPr>
          <w:trHeight w:val="148"/>
        </w:trPr>
        <w:tc>
          <w:tcPr>
            <w:tcW w:w="3600" w:type="dxa"/>
            <w:vAlign w:val="bottom"/>
          </w:tcPr>
          <w:p>
            <w:pPr>
              <w:ind w:left="240"/>
              <w:spacing w:after="0" w:line="149" w:lineRule="exact"/>
              <w:rPr>
                <w:sz w:val="20"/>
                <w:szCs w:val="20"/>
                <w:color w:val="auto"/>
              </w:rPr>
            </w:pPr>
            <w:r>
              <w:rPr>
                <w:rFonts w:ascii="Times New Roman" w:cs="Times New Roman" w:eastAsia="Times New Roman" w:hAnsi="Times New Roman"/>
                <w:sz w:val="13"/>
                <w:szCs w:val="13"/>
                <w:color w:val="auto"/>
              </w:rPr>
              <w:t>Amortization associated with LTCA</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61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119</w:t>
            </w:r>
          </w:p>
        </w:tc>
      </w:tr>
      <w:tr>
        <w:trPr>
          <w:trHeight w:val="149"/>
        </w:trPr>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Income taxes related to LTCA</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49"/>
        </w:trPr>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Actuarial adjustment to supplemental executive retirement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600" w:type="dxa"/>
            <w:vAlign w:val="bottom"/>
          </w:tcPr>
          <w:p>
            <w:pPr>
              <w:ind w:left="360"/>
              <w:spacing w:after="0" w:line="149" w:lineRule="exact"/>
              <w:rPr>
                <w:sz w:val="20"/>
                <w:szCs w:val="20"/>
                <w:color w:val="auto"/>
              </w:rPr>
            </w:pPr>
            <w:r>
              <w:rPr>
                <w:rFonts w:ascii="Times New Roman" w:cs="Times New Roman" w:eastAsia="Times New Roman" w:hAnsi="Times New Roman"/>
                <w:sz w:val="13"/>
                <w:szCs w:val="13"/>
                <w:color w:val="auto"/>
              </w:rPr>
              <w:t>defined benefit plan (SERP)</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287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324</w:t>
            </w:r>
          </w:p>
        </w:tc>
      </w:tr>
      <w:tr>
        <w:trPr>
          <w:trHeight w:val="149"/>
        </w:trPr>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associated with SERP</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w:t>
            </w:r>
          </w:p>
        </w:tc>
        <w:tc>
          <w:tcPr>
            <w:tcW w:w="1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(22 )</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Income taxes related to SERP</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(68 )</w:t>
            </w: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w:t>
            </w:r>
          </w:p>
        </w:tc>
        <w:tc>
          <w:tcPr>
            <w:tcW w:w="1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641</w:t>
            </w:r>
          </w:p>
        </w:tc>
        <w:tc>
          <w:tcPr>
            <w:tcW w:w="1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w:t>
            </w: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3"/>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Total comprehensive income (loss)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6,030</w:t>
            </w:r>
          </w:p>
        </w:tc>
        <w:tc>
          <w:tcPr>
            <w:tcW w:w="140" w:type="dxa"/>
            <w:vAlign w:val="bottom"/>
          </w:tcPr>
          <w:p>
            <w:pPr>
              <w:spacing w:after="0"/>
              <w:rPr>
                <w:sz w:val="24"/>
                <w:szCs w:val="24"/>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(9,054 )</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(3,069)</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Bassett Furniture Industries, Incorporated and Subsidiaries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years ended November 29, 2025, November 30, 2024, and November 25, 2023</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5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(9,695 )</w:t>
            </w:r>
          </w:p>
        </w:tc>
        <w:tc>
          <w:tcPr>
            <w:tcW w:w="2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(3,171)</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by (used in) operating activities: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8,801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9,918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10,141</w:t>
            </w:r>
          </w:p>
        </w:tc>
        <w:tc>
          <w:tcPr>
            <w:tcW w:w="0" w:type="dxa"/>
            <w:vAlign w:val="bottom"/>
          </w:tcPr>
          <w:p>
            <w:pPr>
              <w:spacing w:after="0"/>
              <w:rPr>
                <w:sz w:val="1"/>
                <w:szCs w:val="1"/>
                <w:color w:val="auto"/>
              </w:rPr>
            </w:pPr>
          </w:p>
        </w:tc>
      </w:tr>
      <w:tr>
        <w:trPr>
          <w:trHeight w:val="148"/>
        </w:trPr>
        <w:tc>
          <w:tcPr>
            <w:tcW w:w="3500" w:type="dxa"/>
            <w:vAlign w:val="bottom"/>
          </w:tcPr>
          <w:p>
            <w:pPr>
              <w:ind w:left="360"/>
              <w:spacing w:after="0" w:line="149" w:lineRule="exact"/>
              <w:rPr>
                <w:sz w:val="20"/>
                <w:szCs w:val="20"/>
                <w:color w:val="auto"/>
              </w:rPr>
            </w:pPr>
            <w:r>
              <w:rPr>
                <w:rFonts w:ascii="Times New Roman" w:cs="Times New Roman" w:eastAsia="Times New Roman" w:hAnsi="Times New Roman"/>
                <w:sz w:val="13"/>
                <w:szCs w:val="13"/>
                <w:color w:val="auto"/>
              </w:rPr>
              <w:t>Non-cash goodwill impairment charge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line="14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5,409</w:t>
            </w:r>
          </w:p>
        </w:tc>
        <w:tc>
          <w:tcPr>
            <w:tcW w:w="0" w:type="dxa"/>
            <w:vAlign w:val="bottom"/>
          </w:tcPr>
          <w:p>
            <w:pPr>
              <w:spacing w:after="0"/>
              <w:rPr>
                <w:sz w:val="1"/>
                <w:szCs w:val="1"/>
                <w:color w:val="auto"/>
              </w:rPr>
            </w:pPr>
          </w:p>
        </w:tc>
      </w:tr>
      <w:tr>
        <w:trPr>
          <w:trHeight w:val="149"/>
        </w:trPr>
        <w:tc>
          <w:tcPr>
            <w:tcW w:w="3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Gain on revaluation of contingent consideration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0" w:type="dxa"/>
            <w:vAlign w:val="bottom"/>
          </w:tcPr>
          <w:p>
            <w:pPr>
              <w:spacing w:after="0"/>
              <w:rPr>
                <w:sz w:val="1"/>
                <w:szCs w:val="1"/>
                <w:color w:val="auto"/>
              </w:rPr>
            </w:pPr>
          </w:p>
        </w:tc>
      </w:tr>
      <w:tr>
        <w:trPr>
          <w:trHeight w:val="149"/>
        </w:trPr>
        <w:tc>
          <w:tcPr>
            <w:tcW w:w="3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Asset impairment charges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500" w:type="dxa"/>
            <w:vAlign w:val="bottom"/>
          </w:tcPr>
          <w:p>
            <w:pPr>
              <w:ind w:left="360"/>
              <w:spacing w:after="0" w:line="149" w:lineRule="exact"/>
              <w:rPr>
                <w:sz w:val="20"/>
                <w:szCs w:val="20"/>
                <w:color w:val="auto"/>
              </w:rPr>
            </w:pPr>
            <w:r>
              <w:rPr>
                <w:rFonts w:ascii="Times New Roman" w:cs="Times New Roman" w:eastAsia="Times New Roman" w:hAnsi="Times New Roman"/>
                <w:sz w:val="13"/>
                <w:szCs w:val="13"/>
                <w:color w:val="auto"/>
              </w:rPr>
              <w:t>Inventory valuation charges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2,389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5,001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4,626</w:t>
            </w:r>
          </w:p>
        </w:tc>
        <w:tc>
          <w:tcPr>
            <w:tcW w:w="0" w:type="dxa"/>
            <w:vAlign w:val="bottom"/>
          </w:tcPr>
          <w:p>
            <w:pPr>
              <w:spacing w:after="0"/>
              <w:rPr>
                <w:sz w:val="1"/>
                <w:szCs w:val="1"/>
                <w:color w:val="auto"/>
              </w:rPr>
            </w:pPr>
          </w:p>
        </w:tc>
      </w:tr>
      <w:tr>
        <w:trPr>
          <w:trHeight w:val="149"/>
        </w:trPr>
        <w:tc>
          <w:tcPr>
            <w:tcW w:w="3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income taxes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(2,442 )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831</w:t>
            </w:r>
          </w:p>
        </w:tc>
        <w:tc>
          <w:tcPr>
            <w:tcW w:w="0" w:type="dxa"/>
            <w:vAlign w:val="bottom"/>
          </w:tcPr>
          <w:p>
            <w:pPr>
              <w:spacing w:after="0"/>
              <w:rPr>
                <w:sz w:val="1"/>
                <w:szCs w:val="1"/>
                <w:color w:val="auto"/>
              </w:rPr>
            </w:pPr>
          </w:p>
        </w:tc>
      </w:tr>
      <w:tr>
        <w:trPr>
          <w:trHeight w:val="149"/>
        </w:trPr>
        <w:tc>
          <w:tcPr>
            <w:tcW w:w="3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net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360"/>
              <w:spacing w:after="0" w:line="149"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Accounts receivable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(1,229)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555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4,102</w:t>
            </w:r>
          </w:p>
        </w:tc>
        <w:tc>
          <w:tcPr>
            <w:tcW w:w="0" w:type="dxa"/>
            <w:vAlign w:val="bottom"/>
          </w:tcPr>
          <w:p>
            <w:pPr>
              <w:spacing w:after="0"/>
              <w:rPr>
                <w:sz w:val="1"/>
                <w:szCs w:val="1"/>
                <w:color w:val="auto"/>
              </w:rPr>
            </w:pPr>
          </w:p>
        </w:tc>
      </w:tr>
      <w:tr>
        <w:trPr>
          <w:trHeight w:val="149"/>
        </w:trPr>
        <w:tc>
          <w:tcPr>
            <w:tcW w:w="3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Inventories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(9,214)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3,016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17,869</w:t>
            </w:r>
          </w:p>
        </w:tc>
        <w:tc>
          <w:tcPr>
            <w:tcW w:w="0" w:type="dxa"/>
            <w:vAlign w:val="bottom"/>
          </w:tcPr>
          <w:p>
            <w:pPr>
              <w:spacing w:after="0"/>
              <w:rPr>
                <w:sz w:val="1"/>
                <w:szCs w:val="1"/>
                <w:color w:val="auto"/>
              </w:rPr>
            </w:pPr>
          </w:p>
        </w:tc>
      </w:tr>
      <w:tr>
        <w:trPr>
          <w:trHeight w:val="148"/>
        </w:trPr>
        <w:tc>
          <w:tcPr>
            <w:tcW w:w="3500" w:type="dxa"/>
            <w:vAlign w:val="bottom"/>
          </w:tcPr>
          <w:p>
            <w:pPr>
              <w:ind w:left="480"/>
              <w:spacing w:after="0" w:line="149" w:lineRule="exact"/>
              <w:rPr>
                <w:sz w:val="20"/>
                <w:szCs w:val="20"/>
                <w:color w:val="auto"/>
              </w:rPr>
            </w:pPr>
            <w:r>
              <w:rPr>
                <w:rFonts w:ascii="Times New Roman" w:cs="Times New Roman" w:eastAsia="Times New Roman" w:hAnsi="Times New Roman"/>
                <w:sz w:val="13"/>
                <w:szCs w:val="13"/>
                <w:color w:val="auto"/>
              </w:rPr>
              <w:t>Other current and long-term assets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3,380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2"/>
              <w:spacing w:after="0" w:line="149" w:lineRule="exact"/>
              <w:rPr>
                <w:sz w:val="20"/>
                <w:szCs w:val="20"/>
                <w:color w:val="auto"/>
              </w:rPr>
            </w:pPr>
            <w:r>
              <w:rPr>
                <w:rFonts w:ascii="Times New Roman" w:cs="Times New Roman" w:eastAsia="Times New Roman" w:hAnsi="Times New Roman"/>
                <w:sz w:val="13"/>
                <w:szCs w:val="13"/>
                <w:color w:val="auto"/>
              </w:rPr>
              <w:t>(2,427 )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1,773</w:t>
            </w:r>
          </w:p>
        </w:tc>
        <w:tc>
          <w:tcPr>
            <w:tcW w:w="0" w:type="dxa"/>
            <w:vAlign w:val="bottom"/>
          </w:tcPr>
          <w:p>
            <w:pPr>
              <w:spacing w:after="0"/>
              <w:rPr>
                <w:sz w:val="1"/>
                <w:szCs w:val="1"/>
                <w:color w:val="auto"/>
              </w:rPr>
            </w:pPr>
          </w:p>
        </w:tc>
      </w:tr>
      <w:tr>
        <w:trPr>
          <w:trHeight w:val="149"/>
        </w:trPr>
        <w:tc>
          <w:tcPr>
            <w:tcW w:w="3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Right of use assets under operating leases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17,114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17,254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18,680</w:t>
            </w:r>
          </w:p>
        </w:tc>
        <w:tc>
          <w:tcPr>
            <w:tcW w:w="0" w:type="dxa"/>
            <w:vAlign w:val="bottom"/>
          </w:tcPr>
          <w:p>
            <w:pPr>
              <w:spacing w:after="0"/>
              <w:rPr>
                <w:sz w:val="1"/>
                <w:szCs w:val="1"/>
                <w:color w:val="auto"/>
              </w:rPr>
            </w:pPr>
          </w:p>
        </w:tc>
      </w:tr>
      <w:tr>
        <w:trPr>
          <w:trHeight w:val="148"/>
        </w:trPr>
        <w:tc>
          <w:tcPr>
            <w:tcW w:w="3500" w:type="dxa"/>
            <w:vAlign w:val="bottom"/>
          </w:tcPr>
          <w:p>
            <w:pPr>
              <w:ind w:left="480"/>
              <w:spacing w:after="0" w:line="149" w:lineRule="exact"/>
              <w:rPr>
                <w:sz w:val="20"/>
                <w:szCs w:val="20"/>
                <w:color w:val="auto"/>
              </w:rPr>
            </w:pPr>
            <w:r>
              <w:rPr>
                <w:rFonts w:ascii="Times New Roman" w:cs="Times New Roman" w:eastAsia="Times New Roman" w:hAnsi="Times New Roman"/>
                <w:sz w:val="13"/>
                <w:szCs w:val="13"/>
                <w:color w:val="auto"/>
              </w:rPr>
              <w:t>Customer deposits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(773)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line="149" w:lineRule="exact"/>
              <w:rPr>
                <w:sz w:val="20"/>
                <w:szCs w:val="20"/>
                <w:color w:val="auto"/>
              </w:rPr>
            </w:pPr>
            <w:r>
              <w:rPr>
                <w:rFonts w:ascii="Times New Roman" w:cs="Times New Roman" w:eastAsia="Times New Roman" w:hAnsi="Times New Roman"/>
                <w:sz w:val="13"/>
                <w:szCs w:val="13"/>
                <w:color w:val="auto"/>
              </w:rPr>
              <w:t>2,954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(13,175)</w:t>
            </w:r>
          </w:p>
        </w:tc>
        <w:tc>
          <w:tcPr>
            <w:tcW w:w="0" w:type="dxa"/>
            <w:vAlign w:val="bottom"/>
          </w:tcPr>
          <w:p>
            <w:pPr>
              <w:spacing w:after="0"/>
              <w:rPr>
                <w:sz w:val="1"/>
                <w:szCs w:val="1"/>
                <w:color w:val="auto"/>
              </w:rPr>
            </w:pPr>
          </w:p>
        </w:tc>
      </w:tr>
      <w:tr>
        <w:trPr>
          <w:trHeight w:val="149"/>
        </w:trPr>
        <w:tc>
          <w:tcPr>
            <w:tcW w:w="3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2,713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(7,246 )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(9,188)</w:t>
            </w:r>
          </w:p>
        </w:tc>
        <w:tc>
          <w:tcPr>
            <w:tcW w:w="0" w:type="dxa"/>
            <w:vAlign w:val="bottom"/>
          </w:tcPr>
          <w:p>
            <w:pPr>
              <w:spacing w:after="0"/>
              <w:rPr>
                <w:sz w:val="1"/>
                <w:szCs w:val="1"/>
                <w:color w:val="auto"/>
              </w:rPr>
            </w:pPr>
          </w:p>
        </w:tc>
      </w:tr>
      <w:tr>
        <w:trPr>
          <w:trHeight w:val="172"/>
        </w:trPr>
        <w:tc>
          <w:tcPr>
            <w:tcW w:w="3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Obligations under operating leases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(18,508)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(20,637 )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(20,196)</w:t>
            </w:r>
          </w:p>
        </w:tc>
        <w:tc>
          <w:tcPr>
            <w:tcW w:w="0" w:type="dxa"/>
            <w:vAlign w:val="bottom"/>
          </w:tcPr>
          <w:p>
            <w:pPr>
              <w:spacing w:after="0"/>
              <w:rPr>
                <w:sz w:val="1"/>
                <w:szCs w:val="1"/>
                <w:color w:val="auto"/>
              </w:rPr>
            </w:pPr>
          </w:p>
        </w:tc>
      </w:tr>
      <w:tr>
        <w:trPr>
          <w:trHeight w:val="144"/>
        </w:trPr>
        <w:tc>
          <w:tcPr>
            <w:tcW w:w="35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13,491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4,050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18,724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(4,530)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2"/>
              <w:spacing w:after="0" w:line="149" w:lineRule="exact"/>
              <w:rPr>
                <w:sz w:val="20"/>
                <w:szCs w:val="20"/>
                <w:color w:val="auto"/>
              </w:rPr>
            </w:pPr>
            <w:r>
              <w:rPr>
                <w:rFonts w:ascii="Times New Roman" w:cs="Times New Roman" w:eastAsia="Times New Roman" w:hAnsi="Times New Roman"/>
                <w:sz w:val="13"/>
                <w:szCs w:val="13"/>
                <w:color w:val="auto"/>
              </w:rPr>
              <w:t>(5,211 )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(17,489)</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sales of property and equipment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 certificates of deposit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(2,585 )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Proceeds from the maturity of certificates of deposit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2,713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the disposition of discontinued operations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(597)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(972 )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0" w:type="dxa"/>
            <w:vAlign w:val="bottom"/>
          </w:tcPr>
          <w:p>
            <w:pPr>
              <w:spacing w:after="0"/>
              <w:rPr>
                <w:sz w:val="1"/>
                <w:szCs w:val="1"/>
                <w:color w:val="auto"/>
              </w:rPr>
            </w:pPr>
          </w:p>
        </w:tc>
      </w:tr>
      <w:tr>
        <w:trPr>
          <w:trHeight w:val="144"/>
        </w:trPr>
        <w:tc>
          <w:tcPr>
            <w:tcW w:w="35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(2,730)</w:t>
            </w: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(8,768</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(17,763)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Cash dividends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(6,939)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2"/>
              <w:spacing w:after="0" w:line="149" w:lineRule="exact"/>
              <w:rPr>
                <w:sz w:val="20"/>
                <w:szCs w:val="20"/>
                <w:color w:val="auto"/>
              </w:rPr>
            </w:pPr>
            <w:r>
              <w:rPr>
                <w:rFonts w:ascii="Times New Roman" w:cs="Times New Roman" w:eastAsia="Times New Roman" w:hAnsi="Times New Roman"/>
                <w:sz w:val="13"/>
                <w:szCs w:val="13"/>
                <w:color w:val="auto"/>
              </w:rPr>
              <w:t>(6,654 )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(5,982)</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318</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(2,150)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(1,420 )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(136)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2"/>
              <w:spacing w:after="0" w:line="149" w:lineRule="exact"/>
              <w:rPr>
                <w:sz w:val="20"/>
                <w:szCs w:val="20"/>
                <w:color w:val="auto"/>
              </w:rPr>
            </w:pPr>
            <w:r>
              <w:rPr>
                <w:rFonts w:ascii="Times New Roman" w:cs="Times New Roman" w:eastAsia="Times New Roman" w:hAnsi="Times New Roman"/>
                <w:sz w:val="13"/>
                <w:szCs w:val="13"/>
                <w:color w:val="auto"/>
              </w:rPr>
              <w:t>(161 )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Repayment of finance lease obligations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(145)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(253 )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116"/>
        </w:trPr>
        <w:tc>
          <w:tcPr>
            <w:tcW w:w="3500" w:type="dxa"/>
            <w:vAlign w:val="bottom"/>
          </w:tcPr>
          <w:p>
            <w:pPr>
              <w:ind w:left="360"/>
              <w:spacing w:after="0" w:line="116" w:lineRule="exact"/>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(9,035)</w:t>
            </w: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(8,117</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(10,227)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Effect of exchange rate changes on cash and cash equivalents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(21 )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10"/>
        </w:trPr>
        <w:tc>
          <w:tcPr>
            <w:tcW w:w="3500" w:type="dxa"/>
            <w:vAlign w:val="bottom"/>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Change in cash and cash equivalents</w:t>
            </w:r>
          </w:p>
        </w:tc>
        <w:tc>
          <w:tcPr>
            <w:tcW w:w="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1,726</w:t>
            </w: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(12,856</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(9,218)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beginning of year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39,551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52,407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61,625</w:t>
            </w:r>
          </w:p>
        </w:tc>
        <w:tc>
          <w:tcPr>
            <w:tcW w:w="0" w:type="dxa"/>
            <w:vAlign w:val="bottom"/>
          </w:tcPr>
          <w:p>
            <w:pPr>
              <w:spacing w:after="0"/>
              <w:rPr>
                <w:sz w:val="1"/>
                <w:szCs w:val="1"/>
                <w:color w:val="auto"/>
              </w:rPr>
            </w:pPr>
          </w:p>
        </w:tc>
      </w:tr>
      <w:tr>
        <w:trPr>
          <w:trHeight w:val="148"/>
        </w:trPr>
        <w:tc>
          <w:tcPr>
            <w:tcW w:w="3500" w:type="dxa"/>
            <w:vAlign w:val="bottom"/>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Cash and cash equivalents - end of year</w:t>
            </w:r>
          </w:p>
        </w:tc>
        <w:tc>
          <w:tcPr>
            <w:tcW w:w="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41,277</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39,551</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52,407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18</w:t>
      </w:r>
    </w:p>
    <w:p>
      <w:pPr>
        <w:sectPr>
          <w:pgSz w:w="15840" w:h="12240" w:orient="landscape"/>
          <w:cols w:equalWidth="0" w:num="2">
            <w:col w:w="7200" w:space="720"/>
            <w:col w:w="6420"/>
          </w:cols>
          <w:pgMar w:left="740" w:top="1440" w:right="760" w:bottom="929" w:gutter="0" w:footer="0" w:header="0"/>
        </w:sectPr>
      </w:pPr>
    </w:p>
    <w:bookmarkStart w:id="13" w:name="page14"/>
    <w:bookmarkEnd w:id="13"/>
    <w:p>
      <w:pPr>
        <w:spacing w:after="0" w:line="186" w:lineRule="exact"/>
        <w:rPr>
          <w:sz w:val="20"/>
          <w:szCs w:val="20"/>
          <w:color w:val="auto"/>
        </w:rPr>
      </w:pPr>
    </w:p>
    <w:p>
      <w:pPr>
        <w:jc w:val="center"/>
        <w:ind w:right="760"/>
        <w:spacing w:after="0" w:line="255" w:lineRule="auto"/>
        <w:rPr>
          <w:sz w:val="20"/>
          <w:szCs w:val="20"/>
          <w:color w:val="auto"/>
        </w:rPr>
      </w:pPr>
      <w:r>
        <w:rPr>
          <w:rFonts w:ascii="Times New Roman" w:cs="Times New Roman" w:eastAsia="Times New Roman" w:hAnsi="Times New Roman"/>
          <w:sz w:val="13"/>
          <w:szCs w:val="13"/>
          <w:b w:val="1"/>
          <w:bCs w:val="1"/>
          <w:color w:val="auto"/>
        </w:rPr>
        <w:t>Consolidated Statements of Stockholders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Equity Bassett Furniture Industries, Incorporated and Subsidiaries For the years ended November 29, 2025, November 30, 2024, and November 25, 2023 (In thousands, except share and per share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7"/>
          </w:tcPr>
          <w:p>
            <w:pPr>
              <w:ind w:left="2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4"/>
                <w:szCs w:val="14"/>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90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1"/>
        </w:trPr>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bottom w:val="single" w:sz="8" w:color="auto"/>
            </w:tcBorders>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gridSpan w:val="2"/>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39"/>
              <w:spacing w:after="0" w:line="132"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39"/>
              <w:spacing w:after="0" w:line="132"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
              <w:spacing w:after="0" w:line="132"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gridSpan w:val="2"/>
          </w:tcPr>
          <w:p>
            <w:pPr>
              <w:spacing w:after="0"/>
              <w:rPr>
                <w:sz w:val="11"/>
                <w:szCs w:val="11"/>
                <w:color w:val="auto"/>
              </w:rPr>
            </w:pPr>
          </w:p>
        </w:tc>
        <w:tc>
          <w:tcPr>
            <w:tcW w:w="780" w:type="dxa"/>
            <w:vAlign w:val="bottom"/>
            <w:tcBorders>
              <w:bottom w:val="single" w:sz="8" w:color="auto"/>
            </w:tcBorders>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9"/>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gridSpan w:val="2"/>
          </w:tcPr>
          <w:p>
            <w:pPr>
              <w:spacing w:after="0"/>
              <w:rPr>
                <w:sz w:val="11"/>
                <w:szCs w:val="11"/>
                <w:color w:val="auto"/>
              </w:rPr>
            </w:pPr>
          </w:p>
        </w:tc>
      </w:tr>
      <w:tr>
        <w:trPr>
          <w:trHeight w:val="266"/>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November 26, 2022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8,951,839</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44,759</w:t>
            </w: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150,800</w:t>
            </w:r>
          </w:p>
        </w:tc>
        <w:tc>
          <w:tcPr>
            <w:tcW w:w="20" w:type="dxa"/>
            <w:vAlign w:val="bottom"/>
          </w:tcPr>
          <w:p>
            <w:pPr>
              <w:spacing w:after="0"/>
              <w:rPr>
                <w:sz w:val="23"/>
                <w:szCs w:val="23"/>
                <w:color w:val="auto"/>
              </w:rPr>
            </w:pPr>
          </w:p>
        </w:tc>
        <w:tc>
          <w:tcPr>
            <w:tcW w:w="14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w:t>
            </w: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195,609</w:t>
            </w:r>
          </w:p>
        </w:tc>
        <w:tc>
          <w:tcPr>
            <w:tcW w:w="20" w:type="dxa"/>
            <w:vAlign w:val="bottom"/>
          </w:tcPr>
          <w:p>
            <w:pPr>
              <w:spacing w:after="0"/>
              <w:rPr>
                <w:sz w:val="23"/>
                <w:szCs w:val="23"/>
                <w:color w:val="auto"/>
              </w:rPr>
            </w:pPr>
          </w:p>
        </w:tc>
      </w:tr>
      <w:tr>
        <w:trPr>
          <w:trHeight w:val="263"/>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Comprehensive income (loss)</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(3,171)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(3,171)</w:t>
            </w: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adjustments, net of tax</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(282)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(282)</w:t>
            </w: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Amortization of defined benefit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plan costs, net of tax</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12"/>
                <w:szCs w:val="12"/>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Actuarial adjustments to defined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benefit plans, net of tax</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316</w:t>
            </w:r>
          </w:p>
        </w:tc>
      </w:tr>
      <w:tr>
        <w:trPr>
          <w:trHeight w:val="141"/>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Regular dividends ($0.68 per share)</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(5,982)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(5,982)</w:t>
            </w:r>
          </w:p>
        </w:tc>
      </w:tr>
      <w:tr>
        <w:trPr>
          <w:trHeight w:val="141"/>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74,421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373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(55 )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318</w:t>
            </w:r>
          </w:p>
        </w:tc>
        <w:tc>
          <w:tcPr>
            <w:tcW w:w="20" w:type="dxa"/>
            <w:vAlign w:val="bottom"/>
          </w:tcPr>
          <w:p>
            <w:pPr>
              <w:spacing w:after="0"/>
              <w:rPr>
                <w:sz w:val="12"/>
                <w:szCs w:val="12"/>
                <w:color w:val="auto"/>
              </w:rPr>
            </w:pPr>
          </w:p>
        </w:tc>
      </w:tr>
      <w:tr>
        <w:trPr>
          <w:trHeight w:val="141"/>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Purchase and retirement of common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(258,039)</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(701 )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(2,293)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(4,284)</w:t>
            </w:r>
          </w:p>
        </w:tc>
      </w:tr>
      <w:tr>
        <w:trPr>
          <w:trHeight w:val="173"/>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849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849</w:t>
            </w:r>
          </w:p>
        </w:tc>
        <w:tc>
          <w:tcPr>
            <w:tcW w:w="20" w:type="dxa"/>
            <w:vAlign w:val="bottom"/>
          </w:tcPr>
          <w:p>
            <w:pPr>
              <w:spacing w:after="0"/>
              <w:rPr>
                <w:sz w:val="15"/>
                <w:szCs w:val="15"/>
                <w:color w:val="auto"/>
              </w:rPr>
            </w:pPr>
          </w:p>
        </w:tc>
      </w:tr>
      <w:tr>
        <w:trPr>
          <w:trHeight w:val="163"/>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November 25, 2023</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8,768,221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43,842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139,354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183,441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4"/>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Comprehensive income (loss)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(9,695)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(9,695)</w:t>
            </w:r>
          </w:p>
        </w:tc>
      </w:tr>
      <w:tr>
        <w:trPr>
          <w:trHeight w:val="142"/>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adjustments, net of tax</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486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486</w:t>
            </w:r>
          </w:p>
        </w:tc>
        <w:tc>
          <w:tcPr>
            <w:tcW w:w="20" w:type="dxa"/>
            <w:vAlign w:val="bottom"/>
          </w:tcPr>
          <w:p>
            <w:pPr>
              <w:spacing w:after="0"/>
              <w:rPr>
                <w:sz w:val="12"/>
                <w:szCs w:val="12"/>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Amortization of defined benefit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plan costs, net of tax</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2"/>
                <w:szCs w:val="12"/>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Actuarial adjustments to defined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benefit plans, net of tax</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126</w:t>
            </w:r>
          </w:p>
        </w:tc>
      </w:tr>
      <w:tr>
        <w:trPr>
          <w:trHeight w:val="141"/>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Regular dividends ($0.76 per share)</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(6,654)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(6,654)</w:t>
            </w:r>
          </w:p>
        </w:tc>
      </w:tr>
      <w:tr>
        <w:trPr>
          <w:trHeight w:val="141"/>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79,490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371</w:t>
            </w:r>
          </w:p>
        </w:tc>
        <w:tc>
          <w:tcPr>
            <w:tcW w:w="20" w:type="dxa"/>
            <w:vAlign w:val="bottom"/>
          </w:tcPr>
          <w:p>
            <w:pPr>
              <w:spacing w:after="0"/>
              <w:rPr>
                <w:sz w:val="12"/>
                <w:szCs w:val="12"/>
                <w:color w:val="auto"/>
              </w:rPr>
            </w:pPr>
          </w:p>
        </w:tc>
      </w:tr>
      <w:tr>
        <w:trPr>
          <w:trHeight w:val="141"/>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Purchase and retirement of common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(111,665)</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(865 )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(1,581)</w:t>
            </w:r>
          </w:p>
        </w:tc>
      </w:tr>
      <w:tr>
        <w:trPr>
          <w:trHeight w:val="172"/>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804</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804</w:t>
            </w:r>
          </w:p>
        </w:tc>
        <w:tc>
          <w:tcPr>
            <w:tcW w:w="20" w:type="dxa"/>
            <w:vAlign w:val="bottom"/>
          </w:tcPr>
          <w:p>
            <w:pPr>
              <w:spacing w:after="0"/>
              <w:rPr>
                <w:sz w:val="14"/>
                <w:szCs w:val="14"/>
                <w:color w:val="auto"/>
              </w:rPr>
            </w:pPr>
          </w:p>
        </w:tc>
      </w:tr>
      <w:tr>
        <w:trPr>
          <w:trHeight w:val="163"/>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November 30, 2024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8,736,046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43,681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122,847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793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167,327</w:t>
            </w:r>
          </w:p>
        </w:tc>
        <w:tc>
          <w:tcPr>
            <w:tcW w:w="20" w:type="dxa"/>
            <w:vAlign w:val="bottom"/>
          </w:tcPr>
          <w:p>
            <w:pPr>
              <w:spacing w:after="0"/>
              <w:rPr>
                <w:sz w:val="14"/>
                <w:szCs w:val="14"/>
                <w:color w:val="auto"/>
              </w:rPr>
            </w:pPr>
          </w:p>
        </w:tc>
      </w:tr>
      <w:tr>
        <w:trPr>
          <w:trHeight w:val="235"/>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Comprehensive income (loss)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6,100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6,100</w:t>
            </w:r>
          </w:p>
        </w:tc>
        <w:tc>
          <w:tcPr>
            <w:tcW w:w="20" w:type="dxa"/>
            <w:vAlign w:val="bottom"/>
          </w:tcPr>
          <w:p>
            <w:pPr>
              <w:spacing w:after="0"/>
              <w:rPr>
                <w:sz w:val="12"/>
                <w:szCs w:val="12"/>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Amortization of defined benefit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plan costs, net of tax</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Actuarial adjustments to defined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benefit plans, net of tax</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41"/>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Regular dividends ($0.80 per share)</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(6,939)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(6,939)</w:t>
            </w:r>
          </w:p>
        </w:tc>
      </w:tr>
      <w:tr>
        <w:trPr>
          <w:trHeight w:val="142"/>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66,964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335</w:t>
            </w:r>
          </w:p>
        </w:tc>
        <w:tc>
          <w:tcPr>
            <w:tcW w:w="20" w:type="dxa"/>
            <w:vAlign w:val="bottom"/>
          </w:tcPr>
          <w:p>
            <w:pPr>
              <w:spacing w:after="0"/>
              <w:rPr>
                <w:sz w:val="12"/>
                <w:szCs w:val="12"/>
                <w:color w:val="auto"/>
              </w:rPr>
            </w:pPr>
          </w:p>
        </w:tc>
      </w:tr>
      <w:tr>
        <w:trPr>
          <w:trHeight w:val="141"/>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Purchase and retirement of common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(151,956)</w:t>
            </w: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(645 )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(880)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(2,285)</w:t>
            </w:r>
          </w:p>
        </w:tc>
      </w:tr>
      <w:tr>
        <w:trPr>
          <w:trHeight w:val="172"/>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639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639</w:t>
            </w:r>
          </w:p>
        </w:tc>
        <w:tc>
          <w:tcPr>
            <w:tcW w:w="20" w:type="dxa"/>
            <w:vAlign w:val="bottom"/>
          </w:tcPr>
          <w:p>
            <w:pPr>
              <w:spacing w:after="0"/>
              <w:rPr>
                <w:sz w:val="14"/>
                <w:szCs w:val="14"/>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November 29, 2025</w:t>
            </w:r>
          </w:p>
        </w:tc>
        <w:tc>
          <w:tcPr>
            <w:tcW w:w="2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8,651,054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43,256</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121,128</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165,107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accompanying notes to consolidated financial statements are an integral part of these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37" w:lineRule="exact"/>
        <w:rPr>
          <w:sz w:val="20"/>
          <w:szCs w:val="20"/>
          <w:color w:val="auto"/>
        </w:rPr>
      </w:pPr>
    </w:p>
    <w:p>
      <w:pPr>
        <w:ind w:left="240" w:hanging="235"/>
        <w:spacing w:after="0"/>
        <w:tabs>
          <w:tab w:leader="none" w:pos="24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Business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Bassett Furniture Industries, Incorporated (together with its consolidated subsidiaries, “Bassett”, “we”, “our”, the “Company”) based in Bassett, Virginia, is a leading manufacturer, marketer and retailer of branded home furnishings. Bassett’s full range of furniture products and accessories, designed to provide quality, style and value, are sold through an exclusive nation-wide network of 86 retail stores known as Bassett Home Furnishings (referred to as “BHF”) . Of the 86 stores, the Company owns and operates 57 stores (“Company-owned retail stores”) with the other 29 being independently owned (“licensee operated”). We also distribute our products through other multi-line furniture stores, many of which feature Bassett galleries or design centers. Products can also be purchased by the end consumer directly from our website.</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In 2025 we sourced approximately 23% of our wholesale products from various foreign countries, with the remaining volume produced at our five domestic manufacturing facilities.</w:t>
      </w:r>
    </w:p>
    <w:p>
      <w:pPr>
        <w:spacing w:after="0" w:line="101" w:lineRule="exact"/>
        <w:rPr>
          <w:sz w:val="20"/>
          <w:szCs w:val="20"/>
          <w:color w:val="auto"/>
        </w:rPr>
      </w:pPr>
    </w:p>
    <w:p>
      <w:pPr>
        <w:ind w:left="240" w:hanging="235"/>
        <w:spacing w:after="0"/>
        <w:tabs>
          <w:tab w:leader="none" w:pos="24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Significant Accounting Policies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of Presentation and Principles of Consolidation</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Our fiscal year ends on the last Saturday in November, which periodically results in a 53-week year. Fiscal 2025 and 2023 each contained 52 weeks while fiscal 2024 contained 53 weeks. The Consolidated Financial Statements include the accounts of Bassett Furniture Industries, Incorporated and our subsidiaries, all of which are wholly owned.. All significant intercompany balances and transactions are eliminated in consolidation. The financial statements have been prepared in accordance with generally accepted accounting principles in the United States ("GAAP"). Unless otherwise indicated, references in the Consolidated Financial Statements to fiscal 2025, 2024 and 2023 are to Bassett's fiscal years ended November 29, 2025, November 30, 2024 and November 25, 2023, respectively. References to the “ASC” included hereinafter refer to the Accounting Standards Codification established by the Financial Accounting Standards Board as the source of authoritative GAAP.</w:t>
      </w:r>
    </w:p>
    <w:p>
      <w:pPr>
        <w:spacing w:after="0" w:line="1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We analyzed our licensees under the requirements for variable interest entities (“VIEs”). All of these licensees operate as BHF stores and are furniture retailers. We sell furniture to these licensees, and in some cases have acted as a sublessor and made lease guarantees. We have recorded reserves for potential exposures related to these licensees. See Note 15 for disclosure of leases and lease guarantees. Based on financial projections and best available information, all licensees have sufficient equity to carry out their principal operating activities without subordinated financial support. Furthermore, we believe that the power to direct the activities that most significantly impact the licensees’ operating performance continues to lie with the ownership of the licensee dealers. Our rights to assume control over or otherwise influence the licensees’ significant activities only exist pursuant to our license and security agreements and are in the nature of protective rights as contemplated under ASC Topic 810. We completed our assessment for other potential VIEs and concluded that there were none. We will continue to reassess the status of potential VIEs including when facts and circumstances surrounding each potential VIE change.</w:t>
      </w:r>
    </w:p>
    <w:p>
      <w:pPr>
        <w:spacing w:after="0" w:line="1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On September 2, 2022, we acquired 100% of the capital stock of Noa Home Inc. (“Noa Home”), a mid-priced e-commerce furniture retailer headquartered in Montreal, Canada. Noa Home had operations in Canada, Australia, Singapore and the United Kingdom. Since acquisition, Noa Home was consolidated as a wholly-owned subsidiary. During the second quarter of fiscal 2024 we concluded that Noa Home was not likely to achieve profitability in the foreseeable future and decided to cease operations and sell the remaining inventory in an orderly manner. As of November 30, 2024 we had substantially completed the liquidation of Noa Home’s assets and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Use of Estimates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accounting principles generally accepted in the United States requires us to make estimates and assumptions that affect the reported amounts of assets and liabilities and disclosure of contingent liabilities at the date of the financial statements and the reported amounts of revenues and expenses during the reporting period. Some of the more significant estimates include allowances for credit losses, calculation of inventory reserves, the valuation of our reporting units for the purpose of testing the carrying value of goodwill, and the valuation of our right of use assets. We also utilize estimates in determining the valuation of income tax reserves, insurance reserves, and assumptions related to our post-employment benefit obligations. Actual results could differ from those estimates.</w:t>
      </w:r>
    </w:p>
    <w:p>
      <w:pPr>
        <w:spacing w:after="0" w:line="200" w:lineRule="exact"/>
        <w:rPr>
          <w:sz w:val="20"/>
          <w:szCs w:val="20"/>
          <w:color w:val="auto"/>
        </w:rPr>
      </w:pPr>
    </w:p>
    <w:p>
      <w:pPr>
        <w:sectPr>
          <w:pgSz w:w="15840" w:h="12240" w:orient="landscape"/>
          <w:cols w:equalWidth="0" w:num="2">
            <w:col w:w="7200" w:space="720"/>
            <w:col w:w="6440"/>
          </w:cols>
          <w:pgMar w:left="740" w:top="1424" w:right="740" w:bottom="940" w:gutter="0" w:footer="0" w:header="0"/>
        </w:sectPr>
      </w:pPr>
    </w:p>
    <w:p>
      <w:pPr>
        <w:spacing w:after="0" w:line="299"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19</w:t>
      </w:r>
      <w:r>
        <w:rPr>
          <w:sz w:val="20"/>
          <w:szCs w:val="20"/>
          <w:color w:val="auto"/>
        </w:rPr>
        <w:tab/>
      </w:r>
      <w:r>
        <w:rPr>
          <w:rFonts w:ascii="Times New Roman" w:cs="Times New Roman" w:eastAsia="Times New Roman" w:hAnsi="Times New Roman"/>
          <w:sz w:val="12"/>
          <w:szCs w:val="12"/>
          <w:color w:val="auto"/>
        </w:rPr>
        <w:t>20</w:t>
      </w:r>
    </w:p>
    <w:p>
      <w:pPr>
        <w:sectPr>
          <w:pgSz w:w="15840" w:h="12240" w:orient="landscape"/>
          <w:cols w:equalWidth="0" w:num="1">
            <w:col w:w="14360"/>
          </w:cols>
          <w:pgMar w:left="740" w:top="1424" w:right="740" w:bottom="9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 Recognition</w:t>
      </w:r>
    </w:p>
    <w:p>
      <w:pPr>
        <w:spacing w:after="0" w:line="152"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 xml:space="preserve">ASC Topic 606,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xml:space="preserve"> (“ASC 606”), requires a company to recognize revenue when it transfers promised goods or services to customers in an amount that reflects the consideration the company expects to receive in exchange for those goods or services. For our wholesale and retail segments, revenue is recognized at a point in time when the risks and rewards of ownership and title to the product have transferred to the buyer.</w:t>
      </w:r>
    </w:p>
    <w:p>
      <w:pPr>
        <w:spacing w:after="0" w:line="121" w:lineRule="exact"/>
        <w:rPr>
          <w:sz w:val="20"/>
          <w:szCs w:val="20"/>
          <w:color w:val="auto"/>
        </w:rPr>
      </w:pPr>
    </w:p>
    <w:p>
      <w:pPr>
        <w:jc w:val="both"/>
        <w:ind w:right="760"/>
        <w:spacing w:after="0" w:line="245" w:lineRule="auto"/>
        <w:rPr>
          <w:sz w:val="20"/>
          <w:szCs w:val="20"/>
          <w:color w:val="auto"/>
        </w:rPr>
      </w:pPr>
      <w:r>
        <w:rPr>
          <w:rFonts w:ascii="Times New Roman" w:cs="Times New Roman" w:eastAsia="Times New Roman" w:hAnsi="Times New Roman"/>
          <w:sz w:val="13"/>
          <w:szCs w:val="13"/>
          <w:color w:val="auto"/>
        </w:rPr>
        <w:t>At wholesale, transfer occurs and revenue is recognized upon the shipment of goods to independent dealers and licensee-owned BHF stores. We offer payment terms varying from 30 to 60 days for licensees and wholesale customers. Estimates for returns and allowances have been recorded as a reduction of revenue based on our historical return patterns. Our accounts receivable, net, which are associated with our wholesale segment, were $14,410, $13,181 and $13,736 at November 29, 2025, November 30, 2024 and November 25, 2023, respectively. The contracts with our licensee store owners do not provide for any royalty or license fee to be paid to us.</w:t>
      </w:r>
    </w:p>
    <w:p>
      <w:pPr>
        <w:spacing w:after="0" w:line="127" w:lineRule="exact"/>
        <w:rPr>
          <w:sz w:val="20"/>
          <w:szCs w:val="20"/>
          <w:color w:val="auto"/>
        </w:rPr>
      </w:pPr>
    </w:p>
    <w:p>
      <w:pPr>
        <w:jc w:val="both"/>
        <w:ind w:right="760"/>
        <w:spacing w:after="0" w:line="264" w:lineRule="auto"/>
        <w:rPr>
          <w:sz w:val="20"/>
          <w:szCs w:val="20"/>
          <w:color w:val="auto"/>
        </w:rPr>
      </w:pPr>
      <w:r>
        <w:rPr>
          <w:rFonts w:ascii="Times New Roman" w:cs="Times New Roman" w:eastAsia="Times New Roman" w:hAnsi="Times New Roman"/>
          <w:sz w:val="12"/>
          <w:szCs w:val="12"/>
          <w:color w:val="auto"/>
        </w:rPr>
        <w:t>At retail, transfer occurs and revenue is recognized upon delivery of goods to the customer. We typically collect a significant portion of the purchase price as a customer deposit upon order, with the balance typically collected upon delivery. These deposits are carried on our balance sheet as a current liability until delivery is fulfilled and amounted to $24,969, $25,742 and $22,788 as of November 29, 2025, November 30, 2024 and November 25, 2023, respectively. Substantially all of the customer deposits held at November 30, 2024 related to performance obligations that were satisfied during fiscal 2025 and have therefore been recognized in revenue for the year ended November 29, 2025. Estimates for returns and allowances have been recorded as a reduction of revenue based on our historical return patterns. The estimate for returns and allowances was $2,732, $3,970 and $4,883 at November 29, 2025, November 30, 2024 and November 25, 2023, respectively, and is included with other accrued liabilities in the accompanying balance sheets. We also sell furniture protection plans to our retail customers on behalf of a third party which is responsible for the performance obligations under the plans. Revenue from the sale of these plans is recognized upon delivery of the goods net of amounts payable to the third-party service provider.</w:t>
      </w:r>
    </w:p>
    <w:p>
      <w:pPr>
        <w:spacing w:after="0" w:line="117" w:lineRule="exact"/>
        <w:rPr>
          <w:sz w:val="20"/>
          <w:szCs w:val="20"/>
          <w:color w:val="auto"/>
        </w:rPr>
      </w:pPr>
    </w:p>
    <w:p>
      <w:pPr>
        <w:jc w:val="both"/>
        <w:ind w:right="760"/>
        <w:spacing w:after="0" w:line="245" w:lineRule="auto"/>
        <w:rPr>
          <w:sz w:val="20"/>
          <w:szCs w:val="20"/>
          <w:color w:val="auto"/>
        </w:rPr>
      </w:pPr>
      <w:r>
        <w:rPr>
          <w:rFonts w:ascii="Times New Roman" w:cs="Times New Roman" w:eastAsia="Times New Roman" w:hAnsi="Times New Roman"/>
          <w:sz w:val="13"/>
          <w:szCs w:val="13"/>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November 29, 2025, November 30, 2024 and November 25, 2023, our balance of prepaid commissions included in other current assets was $2,662, $2,928 and $2,245,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our accounting and reporting under ASC 606, we apply the following policy elections and practical expedients:</w:t>
      </w:r>
    </w:p>
    <w:p>
      <w:pPr>
        <w:spacing w:after="0" w:line="22" w:lineRule="exact"/>
        <w:rPr>
          <w:sz w:val="20"/>
          <w:szCs w:val="20"/>
          <w:color w:val="auto"/>
        </w:rPr>
      </w:pPr>
    </w:p>
    <w:p>
      <w:pPr>
        <w:ind w:left="480" w:hanging="242"/>
        <w:spacing w:after="0"/>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exclude from revenue amounts collected from customers for sales tax.</w:t>
      </w:r>
    </w:p>
    <w:p>
      <w:pPr>
        <w:jc w:val="both"/>
        <w:ind w:left="480" w:right="760" w:hanging="242"/>
        <w:spacing w:after="0" w:line="238" w:lineRule="auto"/>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do not adjust the promised amount of consideration for the effects of a significant financing component since the period of time between transfer of our goods or services and the collection of consideration from the customer is less than one year.</w:t>
      </w:r>
    </w:p>
    <w:p>
      <w:pPr>
        <w:ind w:left="480" w:right="760" w:hanging="242"/>
        <w:spacing w:after="0" w:line="238" w:lineRule="auto"/>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do not disclose the value of unsatisfied performance obligations because the transfer of goods or services is made within one year of the placement of customer orders.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19 for disaggregated revenue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Equivalents and Short-Term Investments</w:t>
      </w:r>
    </w:p>
    <w:p>
      <w:pPr>
        <w:spacing w:after="0" w:line="152" w:lineRule="exact"/>
        <w:rPr>
          <w:sz w:val="20"/>
          <w:szCs w:val="20"/>
          <w:color w:val="auto"/>
        </w:rPr>
      </w:pPr>
    </w:p>
    <w:p>
      <w:pPr>
        <w:jc w:val="both"/>
        <w:ind w:right="760"/>
        <w:spacing w:after="0" w:line="247" w:lineRule="auto"/>
        <w:rPr>
          <w:sz w:val="20"/>
          <w:szCs w:val="20"/>
          <w:color w:val="auto"/>
        </w:rPr>
      </w:pPr>
      <w:r>
        <w:rPr>
          <w:rFonts w:ascii="Times New Roman" w:cs="Times New Roman" w:eastAsia="Times New Roman" w:hAnsi="Times New Roman"/>
          <w:sz w:val="13"/>
          <w:szCs w:val="13"/>
          <w:color w:val="auto"/>
        </w:rPr>
        <w:t>The Company considers cash on hand, demand deposits in banks and all highly liquid investments with an original maturity of three months or less to be cash and cash equivalents. Substantially all of our cash and cash equivalents are in excess of federal deposit insurance limits. Our short-term investments consist of certificates of deposit that have original maturities of twelve months or less but greater than three months and all placed with federally insured financial institutions and are within federal deposit insurance limits.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Accounts Receivable</w:t>
      </w:r>
    </w:p>
    <w:p>
      <w:pPr>
        <w:spacing w:after="0" w:line="152" w:lineRule="exact"/>
        <w:rPr>
          <w:sz w:val="20"/>
          <w:szCs w:val="20"/>
          <w:color w:val="auto"/>
        </w:rPr>
      </w:pPr>
    </w:p>
    <w:p>
      <w:pPr>
        <w:jc w:val="both"/>
        <w:ind w:right="760"/>
        <w:spacing w:after="0" w:line="273" w:lineRule="auto"/>
        <w:rPr>
          <w:sz w:val="20"/>
          <w:szCs w:val="20"/>
          <w:color w:val="auto"/>
        </w:rPr>
      </w:pPr>
      <w:r>
        <w:rPr>
          <w:rFonts w:ascii="Times New Roman" w:cs="Times New Roman" w:eastAsia="Times New Roman" w:hAnsi="Times New Roman"/>
          <w:sz w:val="12"/>
          <w:szCs w:val="12"/>
          <w:color w:val="auto"/>
        </w:rPr>
        <w:t>Substantially all of our trade accounts receivable is due from customers located within the United States. 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w:t>
      </w:r>
    </w:p>
    <w:p>
      <w:pPr>
        <w:spacing w:after="0" w:line="5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economic trends. Actual credit losses could differ from those estimates. We have elected to use the practical expedient under ASC Topic 326 which allows us to assume that current conditions as of the balance sheet date do not change over the expected life of the receivables (see Recent Accounting Pronouncements below regarding the early adoption of ASU 2025-05).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Concentrations of Credit Risk and Major Customers</w:t>
      </w:r>
    </w:p>
    <w:p>
      <w:pPr>
        <w:spacing w:after="0" w:line="1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Financial instruments that subject us to credit risk consist primarily of investments, accounts and financial guarantees. Investments are managed within established guidelines to mitigate risks. Accounts and notes receivable and financial guarantees subject us to credit risk partially due to the concentration of amounts due from and guaranteed on behalf of independent licensee customers. At November 29, 2025 and November 30, 2024, our aggregate exposure from receivables and guarantees related to customers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Accounts receivable, net of allowances (Note 4)</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14,410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13,181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Contingent obligations under lease and loan guarantees, less amounts recognized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5,100</w:t>
            </w:r>
          </w:p>
        </w:tc>
        <w:tc>
          <w:tcPr>
            <w:tcW w:w="0" w:type="dxa"/>
            <w:vAlign w:val="bottom"/>
          </w:tcPr>
          <w:p>
            <w:pPr>
              <w:spacing w:after="0"/>
              <w:rPr>
                <w:sz w:val="1"/>
                <w:szCs w:val="1"/>
                <w:color w:val="auto"/>
              </w:rPr>
            </w:pPr>
          </w:p>
        </w:tc>
      </w:tr>
      <w:tr>
        <w:trPr>
          <w:trHeight w:val="153"/>
        </w:trPr>
        <w:tc>
          <w:tcPr>
            <w:tcW w:w="4480" w:type="dxa"/>
            <w:vAlign w:val="bottom"/>
          </w:tcPr>
          <w:p>
            <w:pPr>
              <w:ind w:left="240"/>
              <w:spacing w:after="0" w:line="146" w:lineRule="exact"/>
              <w:rPr>
                <w:sz w:val="20"/>
                <w:szCs w:val="20"/>
                <w:color w:val="auto"/>
              </w:rPr>
            </w:pPr>
            <w:r>
              <w:rPr>
                <w:rFonts w:ascii="Times New Roman" w:cs="Times New Roman" w:eastAsia="Times New Roman" w:hAnsi="Times New Roman"/>
                <w:sz w:val="13"/>
                <w:szCs w:val="13"/>
                <w:color w:val="auto"/>
              </w:rPr>
              <w:t>Total credit risk exposure related to customers</w:t>
            </w: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18,528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18,281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At November 29, 2025 and November 30, 2024, approximately 41% and 43%, respectively, of the aggregate risk exposure, net of reserves, shown above was attributable to five customers. In fiscal 2025, 2024 and 2023, no customer accounted for more than 10% of total consolidated net sales.</w:t>
      </w:r>
    </w:p>
    <w:p>
      <w:pPr>
        <w:spacing w:after="0" w:line="11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2"/>
          <w:szCs w:val="12"/>
          <w:color w:val="auto"/>
        </w:rPr>
        <w:t>We have no foreign manufacturing operations. We define export sales from our wholesale segment as sales to any country or territory other than the United States or its territories or possessions. Our wholesale export sales were approximately $334, $323, and $406 in fiscal 2025, 2024, and 2023, respectively. All of our export sales are invoiced and settled in U.S. dollars.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Inventories</w:t>
      </w:r>
    </w:p>
    <w:p>
      <w:pPr>
        <w:spacing w:after="0" w:line="1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Inventories (finished goods, work in process, raw materials and retail merchandise) accounted for under the first-in, first out (“FIFO”) method are stated at the lower of cost or net realizable value or, in the case of inventory accounted for under the last-in, first out (“LIFO”) method, at the lower of cost or market. Cost is determined for domestic manufactured furniture inventories using the LIFO method because we believe this methodology provides better matching of revenue and expenses. The cost of imported inventories as well as Lane Venture and Bassett Outdoor product inventories are determined on a first-in, first-out (“FIFO”) basis. Inventories accounted for under the LIFO method represented 46% and 50% of total inventory before reserves at November 29, 2025 and November 30, 2024, respectively. We estimate inventory reserves for excess quantities and obsolete items based on specific identification and historical write-offs, taking into account future demand and market conditions. If actual demand or market conditions in the future are less favorable than those estimated, additional inventory write-downs may be required.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Property and Equipment</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Property and equipment is comprised of all land, buildings and leasehold improvements and machinery and equipment used in the manufacturing and warehousing of furniture, our Company-owned retail operations, our logistical services operations, and corporate administration. This property and equipment is stated at cost less accumulated depreciation. Depreciation is computed over the estimated useful lives of the respective assets utilizing the straight-line method. Buildings and improvements are generally depreciated over a period of 10 to 39 years. Machinery and equipment are generally depreciated over a period of 5 to 10 years. Leasehold improvements are amortized based on the underlying lease term, or the asset’s estimated useful life, whichever is shorter.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Goodwill</w:t>
      </w:r>
    </w:p>
    <w:p>
      <w:pPr>
        <w:spacing w:after="0" w:line="15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2"/>
          <w:szCs w:val="12"/>
          <w:color w:val="auto"/>
        </w:rPr>
        <w:t>Goodwill represents the excess of the fair value of consideration given over the fair value of the tangible assets and liabilities and identifiable intangible assets of businesses acquired. The acquisition of assets and liabilities and the resulting goodwill is allocated to the respective reporting unit: Wood, Upholstery, Retail or Noa Home. We review goodwill at the reporting unit level annually for impairment or more frequently if events or circumstances indicate that assets might be impaired.</w:t>
      </w: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22</w:t>
      </w:r>
    </w:p>
    <w:p>
      <w:pPr>
        <w:sectPr>
          <w:pgSz w:w="15840" w:h="12240" w:orient="landscape"/>
          <w:cols w:equalWidth="0" w:num="2">
            <w:col w:w="7200" w:space="720"/>
            <w:col w:w="6440"/>
          </w:cols>
          <w:pgMar w:left="740" w:top="1424" w:right="740" w:bottom="929"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ind w:right="760"/>
        <w:spacing w:after="0" w:line="241" w:lineRule="auto"/>
        <w:rPr>
          <w:sz w:val="20"/>
          <w:szCs w:val="20"/>
          <w:color w:val="auto"/>
        </w:rPr>
      </w:pPr>
      <w:r>
        <w:rPr>
          <w:rFonts w:ascii="Times New Roman" w:cs="Times New Roman" w:eastAsia="Times New Roman" w:hAnsi="Times New Roman"/>
          <w:sz w:val="13"/>
          <w:szCs w:val="13"/>
          <w:color w:val="auto"/>
        </w:rPr>
        <w:t xml:space="preserve">In accordance with ASC Topic 350, </w:t>
      </w:r>
      <w:r>
        <w:rPr>
          <w:rFonts w:ascii="Times New Roman" w:cs="Times New Roman" w:eastAsia="Times New Roman" w:hAnsi="Times New Roman"/>
          <w:sz w:val="13"/>
          <w:szCs w:val="13"/>
          <w:i w:val="1"/>
          <w:iCs w:val="1"/>
          <w:color w:val="auto"/>
        </w:rPr>
        <w:t>Intangibles</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Goodwill &amp; Other,</w:t>
      </w:r>
      <w:r>
        <w:rPr>
          <w:rFonts w:ascii="Times New Roman" w:cs="Times New Roman" w:eastAsia="Times New Roman" w:hAnsi="Times New Roman"/>
          <w:sz w:val="13"/>
          <w:szCs w:val="13"/>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The more likely than not threshold is defined as having a likelihood of more than 50 percent. If, after 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2025, 2024 and 2023 we performed the qualitative assessment as described above with respect to our upholstery reporting unit and concluded that there was no impairment of goodwill. With respect to our former Noa Home reporting unit, for the annual test of goodwill as of the beginning of the fourth quarter of fiscal 2023 we proceeded to the quantitative test and concluded that the goodwill allocated to that reporting unit as of November 25, 2023 was fully impaired.</w:t>
      </w:r>
    </w:p>
    <w:p>
      <w:pPr>
        <w:spacing w:after="0" w:line="132" w:lineRule="exact"/>
        <w:rPr>
          <w:sz w:val="20"/>
          <w:szCs w:val="20"/>
          <w:color w:val="auto"/>
        </w:rPr>
      </w:pPr>
    </w:p>
    <w:p>
      <w:pPr>
        <w:jc w:val="both"/>
        <w:ind w:right="760"/>
        <w:spacing w:after="0" w:line="262" w:lineRule="auto"/>
        <w:rPr>
          <w:sz w:val="20"/>
          <w:szCs w:val="20"/>
          <w:color w:val="auto"/>
        </w:rPr>
      </w:pPr>
      <w:r>
        <w:rPr>
          <w:rFonts w:ascii="Times New Roman" w:cs="Times New Roman" w:eastAsia="Times New Roman" w:hAnsi="Times New Roman"/>
          <w:sz w:val="12"/>
          <w:szCs w:val="12"/>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2"/>
          <w:szCs w:val="12"/>
          <w:i w:val="1"/>
          <w:iCs w:val="1"/>
          <w:color w:val="auto"/>
        </w:rPr>
        <w:t>Fair Value Measurements and Disclosure</w:t>
      </w:r>
      <w:r>
        <w:rPr>
          <w:rFonts w:ascii="Times New Roman" w:cs="Times New Roman" w:eastAsia="Times New Roman" w:hAnsi="Times New Roman"/>
          <w:sz w:val="12"/>
          <w:szCs w:val="12"/>
          <w:color w:val="auto"/>
        </w:rPr>
        <w:t xml:space="preserve"> (see Note 3),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 See Note 7 for additional information regarding the results of our goodwill impairment test performed as of the beginning of the fourth quarter of fiscal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Leases</w:t>
      </w:r>
    </w:p>
    <w:p>
      <w:pPr>
        <w:spacing w:after="0" w:line="152" w:lineRule="exact"/>
        <w:rPr>
          <w:sz w:val="20"/>
          <w:szCs w:val="20"/>
          <w:color w:val="auto"/>
        </w:rPr>
      </w:pPr>
    </w:p>
    <w:p>
      <w:pPr>
        <w:jc w:val="both"/>
        <w:ind w:right="760"/>
        <w:spacing w:after="0" w:line="274" w:lineRule="auto"/>
        <w:rPr>
          <w:sz w:val="20"/>
          <w:szCs w:val="20"/>
          <w:color w:val="auto"/>
        </w:rPr>
      </w:pPr>
      <w:r>
        <w:rPr>
          <w:rFonts w:ascii="Times New Roman" w:cs="Times New Roman" w:eastAsia="Times New Roman" w:hAnsi="Times New Roman"/>
          <w:sz w:val="13"/>
          <w:szCs w:val="13"/>
          <w:color w:val="auto"/>
        </w:rPr>
        <w:t xml:space="preserve">We account for leases in accordance with ASC Topic 842,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The guidance requires lessees to recognize substantially all leases on their balance sheet as a right-of-use (“ROU”) asset and a lease liability.</w:t>
      </w:r>
    </w:p>
    <w:p>
      <w:pPr>
        <w:spacing w:after="0" w:line="105"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13"/>
          <w:szCs w:val="13"/>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local delivery trucks used in our retail segment. We determine if a contract contains a lease at inception based on our right to control the use of an identified asset and our right to obtain substantially all of the economic benefits from the use of that identified asset. Our real estate lease terms range from one to 15 years and generally have renewal options of between five and 15 years. We assess these options to determine if we are reasonably certain of exercising these options based on all relevant economic and financial factors. Any options that meet this criteria are included in the lease term at lease commencement.</w:t>
      </w:r>
    </w:p>
    <w:p>
      <w:pPr>
        <w:spacing w:after="0" w:line="124" w:lineRule="exact"/>
        <w:rPr>
          <w:sz w:val="20"/>
          <w:szCs w:val="20"/>
          <w:color w:val="auto"/>
        </w:rPr>
      </w:pPr>
    </w:p>
    <w:p>
      <w:pPr>
        <w:jc w:val="both"/>
        <w:ind w:right="760"/>
        <w:spacing w:after="0" w:line="270" w:lineRule="auto"/>
        <w:rPr>
          <w:sz w:val="20"/>
          <w:szCs w:val="20"/>
          <w:color w:val="auto"/>
        </w:rPr>
      </w:pPr>
      <w:r>
        <w:rPr>
          <w:rFonts w:ascii="Times New Roman" w:cs="Times New Roman" w:eastAsia="Times New Roman" w:hAnsi="Times New Roman"/>
          <w:sz w:val="12"/>
          <w:szCs w:val="12"/>
          <w:color w:val="auto"/>
        </w:rPr>
        <w:t>Most of our leases do not have an interest rate implicit in the lease. As a result, for purposes of measuring our ROU asset and lease liability, we determine our incremental borrowing rate by applying a spread above the U.S. Treasury borrowing rates which we believe approximates the rate we would get if borrowing on a collateralized basis based on information available at the commencement date. In the case an interest rate is implicit in a lease we will use that rate as the discount rate for that lease. Some of our leases contain variable rent payments based on a Consumer Price Index or percentage of sales. Due to the variable nature of these costs, they are not included in the measurement of the ROU asset and lease liability.</w:t>
      </w:r>
    </w:p>
    <w:p>
      <w:pPr>
        <w:spacing w:after="0" w:line="110"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3"/>
          <w:szCs w:val="13"/>
          <w:color w:val="auto"/>
        </w:rPr>
        <w:t>We have made an accounting policy election to not recognize ROU assets and lease liabilities on the balance sheet for those leases with initial terms of one year or less and instead such lease obligations will be expensed on a straight-line basis over the lease term.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15 for additional information regarding our leases.</w:t>
      </w:r>
    </w:p>
    <w:p>
      <w:pPr>
        <w:spacing w:after="0" w:line="2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Intangible Assets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Intangible assets acquired in a business combination and determined to have an indefinite useful life are not amortized but are 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 During the second quarter of fiscal 2024, in conjunction with our decision to close Noa Home and cease operations by the end of fiscal 2024, we fully impaired the carrying value of the intangible asset for the Noa Home trade name.</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Impairment of Long Lived Assets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We periodically evaluate whether events or circumstances have occurred that indicate long-lived assets may not be 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and eventual disposition of the asset. In the event the sum of the expected undiscounted future cash flows is less than the carrying value of the asset, an impairment loss equal to the excess of the asset’s carrying value over its fair value is recorded. Fair value is determined based on discounted cash flows or appraised values depending on the nature of the assets. The long-term nature of these assets requires the estimation of cash inflows and outflows several years into the future.</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 xml:space="preserve">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ROU assets under operating leases are written down to their estimated fair value. Our estimates of the fair value of the impaired ROU assets included estimates of discounted cash flows based upon current market rents and other inputs which we consider to be Level 3 inputs as specified in the fair value hierarchy in ASC Topic 820, </w:t>
      </w:r>
      <w:r>
        <w:rPr>
          <w:rFonts w:ascii="Times New Roman" w:cs="Times New Roman" w:eastAsia="Times New Roman" w:hAnsi="Times New Roman"/>
          <w:sz w:val="13"/>
          <w:szCs w:val="13"/>
          <w:i w:val="1"/>
          <w:iCs w:val="1"/>
          <w:color w:val="auto"/>
        </w:rPr>
        <w:t>Fair Value Measurement and Disclosure</w:t>
      </w:r>
      <w:r>
        <w:rPr>
          <w:rFonts w:ascii="Times New Roman" w:cs="Times New Roman" w:eastAsia="Times New Roman" w:hAnsi="Times New Roman"/>
          <w:sz w:val="13"/>
          <w:szCs w:val="13"/>
          <w:color w:val="auto"/>
        </w:rPr>
        <w:t xml:space="preserve"> (see Note 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We account for income taxes under the liability method which requires that we recognize deferred tax assets and liabilities for the future tax consequences attributable to differences between the financial statement carrying amount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We recognize the tax benefit from an uncertain tax position only if it is more likely than not that the tax position will be sustained on examination by the taxing authorities, based on the technical merits of the position. Despite our belief that our liability for unrecognized tax benefits is adequate, it is often difficult to predict the final outcome or the timing of the resolution of any particular tax matters. We may adjust these liabilities as relevant circumstances evolve, such as guidance from the relevant tax authority or our tax advisors, or resolution of issues in the courts. These adjustments are recognized as a component of income tax expense in the period in which they are identified.</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We evaluate our deferred income tax assets to determine if valuation allowances are required or should be adjusted. A valuation allowance is established against our deferred tax assets based on consideration of all available evidence, both positive and negative, using a “more likely than not” standard. This assessment considers, among other matters, the nature, frequency and severity of recent losses, forecasts of future profitability, the duration of statutory carryforward or carryback periods, our experience with tax attributes expiring unused and tax planning alternatives. In making such judgments, significant weight is given to evidence that can be objectively verified. See Note 13 for additional information regarding our income taxes.</w:t>
      </w:r>
    </w:p>
    <w:p>
      <w:pPr>
        <w:spacing w:after="0" w:line="6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24</w:t>
      </w:r>
    </w:p>
    <w:p>
      <w:pPr>
        <w:sectPr>
          <w:pgSz w:w="15840" w:h="12240" w:orient="landscape"/>
          <w:cols w:equalWidth="0" w:num="2">
            <w:col w:w="7200" w:space="720"/>
            <w:col w:w="6440"/>
          </w:cols>
          <w:pgMar w:left="740" w:top="1424" w:right="740" w:bottom="929"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Shipping and Handling Costs</w:t>
      </w:r>
    </w:p>
    <w:p>
      <w:pPr>
        <w:spacing w:after="0" w:line="152" w:lineRule="exact"/>
        <w:rPr>
          <w:sz w:val="20"/>
          <w:szCs w:val="20"/>
          <w:color w:val="auto"/>
        </w:rPr>
      </w:pPr>
    </w:p>
    <w:p>
      <w:pPr>
        <w:jc w:val="both"/>
        <w:ind w:right="760"/>
        <w:spacing w:after="0" w:line="278" w:lineRule="auto"/>
        <w:rPr>
          <w:sz w:val="20"/>
          <w:szCs w:val="20"/>
          <w:color w:val="auto"/>
        </w:rPr>
      </w:pPr>
      <w:r>
        <w:rPr>
          <w:rFonts w:ascii="Times New Roman" w:cs="Times New Roman" w:eastAsia="Times New Roman" w:hAnsi="Times New Roman"/>
          <w:sz w:val="12"/>
          <w:szCs w:val="12"/>
          <w:color w:val="auto"/>
        </w:rPr>
        <w:t>Costs incurred to deliver wholesale merchandise to customers are recorded in selling, general and administrative expense and totaled $23,005, $22,721, and $26,125 for fiscal 2025, 2024 and 2023, respectively. Costs incurred to deliver retail merchandise to customers, including the cost of operating regional distribution warehouses, are also recorded in selling, general and administrative expense and totaled $20,317, $20,342, and $23,399 for fiscal 2025, 2024 and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Advertising</w:t>
      </w:r>
    </w:p>
    <w:p>
      <w:pPr>
        <w:spacing w:after="0" w:line="152"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3"/>
          <w:szCs w:val="13"/>
          <w:color w:val="auto"/>
        </w:rPr>
        <w:t>Costs incurred for producing and distributing advertising and advertising materials are expensed when incurred and are included in selling, general and administrative expenses. Advertising costs totaled $10,330, $13,256, and $19,106 in fiscal 2025, 2024, and 2023,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Insurance Reserves</w:t>
      </w:r>
    </w:p>
    <w:p>
      <w:pPr>
        <w:spacing w:after="0" w:line="152" w:lineRule="exact"/>
        <w:rPr>
          <w:sz w:val="20"/>
          <w:szCs w:val="20"/>
          <w:color w:val="auto"/>
        </w:rPr>
      </w:pPr>
    </w:p>
    <w:p>
      <w:pPr>
        <w:jc w:val="both"/>
        <w:ind w:right="760"/>
        <w:spacing w:after="0" w:line="247" w:lineRule="auto"/>
        <w:rPr>
          <w:sz w:val="20"/>
          <w:szCs w:val="20"/>
          <w:color w:val="auto"/>
        </w:rPr>
      </w:pPr>
      <w:r>
        <w:rPr>
          <w:rFonts w:ascii="Times New Roman" w:cs="Times New Roman" w:eastAsia="Times New Roman" w:hAnsi="Times New Roman"/>
          <w:sz w:val="13"/>
          <w:szCs w:val="13"/>
          <w:color w:val="auto"/>
        </w:rPr>
        <w:t>We have self-funded insurance programs in place to cover workers’ compensation and health insurance. These insurance programs are subject to various stop-loss limitations. We accrue estimated losses using historical loss experience. Although we believe that the insurance reserves are adequate, the reserve estimates are based on historical experience, which may not be indicative of current and future losses. We adjust insurance reserves, as needed, in the event that future loss experience differs from historical loss patterns.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p>
      <w:pPr>
        <w:spacing w:after="0" w:line="153"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Refer to the supplemental lease disclosures in Note 15 for cash flow impacts of leasing transactions during fiscal 2025, 2024 and 2023. At November 29, 2025 and November 30, 2024, $34 and $273, respectively, of our fiscal 2025 and 2024 purchases of property and equipment were unpaid and included in accounts payable in the accompanying balance sheets. Otherwise, there were no material non-cash investing or financing activities during fiscal 2025, 2024 or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paid during fiscal 2025, 2024 and 2023 was $36, $21 and $22,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13 for taxes paid net of refunds received.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Recently Adopted Pronouncements</w:t>
      </w:r>
    </w:p>
    <w:p>
      <w:pPr>
        <w:spacing w:after="0" w:line="148" w:lineRule="exact"/>
        <w:rPr>
          <w:sz w:val="20"/>
          <w:szCs w:val="20"/>
          <w:color w:val="auto"/>
        </w:rPr>
      </w:pPr>
    </w:p>
    <w:p>
      <w:pPr>
        <w:jc w:val="both"/>
        <w:ind w:right="760"/>
        <w:spacing w:after="0" w:line="242" w:lineRule="auto"/>
        <w:rPr>
          <w:sz w:val="20"/>
          <w:szCs w:val="20"/>
          <w:color w:val="auto"/>
        </w:rPr>
      </w:pPr>
      <w:r>
        <w:rPr>
          <w:rFonts w:ascii="Times New Roman" w:cs="Times New Roman" w:eastAsia="Times New Roman" w:hAnsi="Times New Roman"/>
          <w:sz w:val="13"/>
          <w:szCs w:val="13"/>
          <w:color w:val="auto"/>
        </w:rPr>
        <w:t>Effective as of the beginning of fiscal 2025, we adopted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As of and for the year ended November 29, 2025 we do not hold any investments in equity securities, therefore the adoption of this guidance did not have an impact upon our financial position or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July 2025, the FASB issued Accounting Standards Update 2025-05 – Financial Instruments – Credit Losses (Topic ASC</w:t>
      </w:r>
    </w:p>
    <w:p>
      <w:pPr>
        <w:spacing w:after="0" w:line="22" w:lineRule="exact"/>
        <w:rPr>
          <w:sz w:val="20"/>
          <w:szCs w:val="20"/>
          <w:color w:val="auto"/>
        </w:rPr>
      </w:pPr>
    </w:p>
    <w:p>
      <w:pPr>
        <w:jc w:val="both"/>
        <w:ind w:right="760" w:firstLine="5"/>
        <w:spacing w:after="0" w:line="238" w:lineRule="auto"/>
        <w:tabs>
          <w:tab w:leader="none" w:pos="2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Measurement of Credit Losses for Accounts Receivable and Contract Assets. The amendments in this ASU provide entities with a practical expedient they may elect to use when developing an estimate of expected credit losses on current accounts receivable and current contract asset balances arising from transactions accounted for under Topic ASC 606 – Revenue from Contracts with Customers. Under this practical expedient, entities may elect to assume that current conditions as of the balance sheet date do not change for the remaining life of the asset. The amendments in ASU 2025-05 become effective for fiscal years and for interim periods beginning after December 15, 2025, and early adoption is permitted. We have elected to adopt ASU 2025-05 beginning with the third quarter of fiscal 2025 and have elected to utilize the practical expedient provided therein. The adoption of this ASU as of June 1, 2025 did not have a material impact on our financial position or results of operations.</w:t>
      </w:r>
    </w:p>
    <w:p>
      <w:pPr>
        <w:spacing w:after="0" w:line="2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Effective November 29, 2025, we adopted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enhanced disclosures required by ASU 2023-07 are reflected in our segment disclosures in Note</w:t>
      </w:r>
    </w:p>
    <w:p>
      <w:pPr>
        <w:spacing w:after="0" w:line="1" w:lineRule="exact"/>
        <w:rPr>
          <w:sz w:val="20"/>
          <w:szCs w:val="20"/>
          <w:color w:val="auto"/>
        </w:rPr>
      </w:pPr>
    </w:p>
    <w:p>
      <w:pPr>
        <w:ind w:firstLine="5"/>
        <w:spacing w:after="0" w:line="238" w:lineRule="auto"/>
        <w:tabs>
          <w:tab w:leader="none" w:pos="205"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this guidance related solely to disclosures and did not have an impact upon our financial position or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Pronouncements Not Yet Adopted</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will become effective for us as of the beginning of our 2026 fiscal year. We do not expect that this guidance will have a material impact upon our financial position and results of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In November 2024, the FASB issued Accounting Standards Update 2024-03 – Income Statement – Reporting Comprehensive Income – Expense Disaggregation Disclosures (Subtopic ASC 220 -40)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provided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spacing w:after="0" w:line="257" w:lineRule="exact"/>
        <w:rPr>
          <w:sz w:val="20"/>
          <w:szCs w:val="20"/>
          <w:color w:val="auto"/>
        </w:rPr>
      </w:pPr>
    </w:p>
    <w:p>
      <w:pPr>
        <w:ind w:left="240" w:hanging="235"/>
        <w:spacing w:after="0"/>
        <w:tabs>
          <w:tab w:leader="none" w:pos="24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 Instruments, Investments and Fair Value Measurements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Financial Instruments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Our financial instruments include cash and cash equivalents, short-term investments in certificates of deposit, accounts receivable, and accounts payable. Because of their short maturities, the carrying amounts of cash and cash equivalents, short-term investments in certificates of deposit, accounts receivable, and accounts payable approximate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Investments</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Our short-term investments of $17,963 and $20,360 at November 29, 2025 and November 30, 2024 consisted of certificates of deposit (CDs) with original terms of six to twelve months, bearing interest at rates ranging from 2.01% to 4.21%. At November 29, 2025, the weighted average remaining time to maturity of the CDs was approximately three months and the weighted average yield of the CDs was approximately 4.0%. As the CDs mature, we expect to reinvest them in CDs of similar maturities of up to one year. Due to the nature of these investments and their relatively short maturities, the carrying amount of the short-term investments at November 29, 2025 and November 30, 2024 approximates their fair value.</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Our investment in CDs at November 30, 2024 included one CD in the amount of $2,500 which was placed with a financial institution that provided merchant services for our retail segment. This CD was pledged as security for the merchant services agreement. The CD, which was in excess of federal deposit insurance limits, had a six-month term which was renewed through October of 2025 and an interest rate of 2.0%. The requirement to maintain the pledge was waived prior to the maturity of the CD, therefore it was allowed to mature and the funds were returned to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26</w:t>
      </w:r>
    </w:p>
    <w:p>
      <w:pPr>
        <w:sectPr>
          <w:pgSz w:w="15840" w:h="12240" w:orient="landscape"/>
          <w:cols w:equalWidth="0" w:num="2">
            <w:col w:w="7200" w:space="720"/>
            <w:col w:w="6440"/>
          </w:cols>
          <w:pgMar w:left="740" w:top="1424" w:right="740" w:bottom="929"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Fair Value Measurement</w:t>
      </w:r>
    </w:p>
    <w:p>
      <w:pPr>
        <w:spacing w:after="0" w:line="118"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 xml:space="preserve">The Company accounts for items measured at fair value in accordance with ASC Topic 820, </w:t>
      </w:r>
      <w:r>
        <w:rPr>
          <w:rFonts w:ascii="Times New Roman" w:cs="Times New Roman" w:eastAsia="Times New Roman" w:hAnsi="Times New Roman"/>
          <w:sz w:val="13"/>
          <w:szCs w:val="13"/>
          <w:i w:val="1"/>
          <w:iCs w:val="1"/>
          <w:color w:val="auto"/>
        </w:rPr>
        <w:t>Fair Value Measurements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Disclosures</w:t>
      </w:r>
      <w:r>
        <w:rPr>
          <w:rFonts w:ascii="Times New Roman" w:cs="Times New Roman" w:eastAsia="Times New Roman" w:hAnsi="Times New Roman"/>
          <w:sz w:val="13"/>
          <w:szCs w:val="13"/>
          <w:color w:val="auto"/>
        </w:rPr>
        <w:t>. ASC 820’s valuation techniques are based on observable and unobservable inputs. Observable inputs reflect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readily obtainable data from independent sources, while unobservable inputs reflect our market assumptions. ASC 820 classifies these inputs into the following hierarchy: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Level 1 Inputs</w:t>
      </w:r>
      <w:r>
        <w:rPr>
          <w:rFonts w:ascii="Times New Roman" w:cs="Times New Roman" w:eastAsia="Times New Roman" w:hAnsi="Times New Roman"/>
          <w:sz w:val="13"/>
          <w:szCs w:val="13"/>
          <w:color w:val="auto"/>
        </w:rPr>
        <w:t>– Quoted prices for identical instruments in active markets.</w:t>
      </w:r>
    </w:p>
    <w:p>
      <w:pPr>
        <w:spacing w:after="0" w:line="118"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3"/>
          <w:szCs w:val="13"/>
          <w:i w:val="1"/>
          <w:iCs w:val="1"/>
          <w:color w:val="auto"/>
        </w:rPr>
        <w:t>Level 2 Inputs</w:t>
      </w:r>
      <w:r>
        <w:rPr>
          <w:rFonts w:ascii="Times New Roman" w:cs="Times New Roman" w:eastAsia="Times New Roman" w:hAnsi="Times New Roman"/>
          <w:sz w:val="13"/>
          <w:szCs w:val="13"/>
          <w:color w:val="auto"/>
        </w:rPr>
        <w:t>– Quoted prices for similar instruments in active markets; quoted prices for identical or similar instruments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markets that are not active; and model-derived valuations whose inputs are observable or whose significant value drivers are observable.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Level 3 Inputs</w:t>
      </w:r>
      <w:r>
        <w:rPr>
          <w:rFonts w:ascii="Times New Roman" w:cs="Times New Roman" w:eastAsia="Times New Roman" w:hAnsi="Times New Roman"/>
          <w:sz w:val="13"/>
          <w:szCs w:val="13"/>
          <w:color w:val="auto"/>
        </w:rPr>
        <w:t>– Instruments with primarily unobservable value drivers.</w:t>
      </w:r>
    </w:p>
    <w:p>
      <w:pPr>
        <w:spacing w:after="0" w:line="118" w:lineRule="exact"/>
        <w:rPr>
          <w:sz w:val="20"/>
          <w:szCs w:val="20"/>
          <w:color w:val="auto"/>
        </w:rPr>
      </w:pPr>
    </w:p>
    <w:p>
      <w:pPr>
        <w:jc w:val="both"/>
        <w:ind w:right="760"/>
        <w:spacing w:after="0" w:line="256" w:lineRule="auto"/>
        <w:rPr>
          <w:sz w:val="20"/>
          <w:szCs w:val="20"/>
          <w:color w:val="auto"/>
        </w:rPr>
      </w:pPr>
      <w:r>
        <w:rPr>
          <w:rFonts w:ascii="Times New Roman" w:cs="Times New Roman" w:eastAsia="Times New Roman" w:hAnsi="Times New Roman"/>
          <w:sz w:val="13"/>
          <w:szCs w:val="13"/>
          <w:color w:val="auto"/>
        </w:rPr>
        <w:t>We believe that the carrying amounts of our current assets and current liabilities approximate fair value due to the short-term nature of these items. Our primary non-recurring fair value estimates typically involve the following: goodwill impairment testing (Note 7), which involves Level 3 inputs; and asset impairments (Note 14) which utilize Level 3 inputs.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4.  Accounts Receivable</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consist of the following:</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vMerge w:val="restart"/>
          </w:tcPr>
          <w:p>
            <w:pPr>
              <w:ind w:left="640"/>
              <w:spacing w:after="0"/>
              <w:rPr>
                <w:sz w:val="20"/>
                <w:szCs w:val="20"/>
                <w:color w:val="auto"/>
              </w:rPr>
            </w:pPr>
            <w:r>
              <w:rPr>
                <w:rFonts w:ascii="Times New Roman" w:cs="Times New Roman" w:eastAsia="Times New Roman" w:hAnsi="Times New Roman"/>
                <w:sz w:val="13"/>
                <w:szCs w:val="13"/>
                <w:color w:val="auto"/>
              </w:rPr>
              <w:t>Gross accounts receivable</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November 29, 2025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gridSpan w:val="7"/>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November 30, 2024</w:t>
            </w:r>
          </w:p>
        </w:tc>
        <w:tc>
          <w:tcPr>
            <w:tcW w:w="0" w:type="dxa"/>
            <w:vAlign w:val="bottom"/>
          </w:tcPr>
          <w:p>
            <w:pPr>
              <w:spacing w:after="0"/>
              <w:rPr>
                <w:sz w:val="1"/>
                <w:szCs w:val="1"/>
                <w:color w:val="auto"/>
              </w:rPr>
            </w:pPr>
          </w:p>
        </w:tc>
      </w:tr>
      <w:tr>
        <w:trPr>
          <w:trHeight w:val="118"/>
        </w:trPr>
        <w:tc>
          <w:tcPr>
            <w:tcW w:w="2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14,839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top w:val="single" w:sz="8" w:color="auto"/>
            </w:tcBorders>
          </w:tcPr>
          <w:p>
            <w:pPr>
              <w:jc w:val="right"/>
              <w:ind w:right="142"/>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14,278</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84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(429 )</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40" w:type="dxa"/>
            <w:vAlign w:val="bottom"/>
          </w:tcPr>
          <w:p>
            <w:pPr>
              <w:ind w:left="640"/>
              <w:spacing w:after="0" w:line="146" w:lineRule="exact"/>
              <w:rPr>
                <w:sz w:val="20"/>
                <w:szCs w:val="20"/>
                <w:color w:val="auto"/>
              </w:rPr>
            </w:pPr>
            <w:r>
              <w:rPr>
                <w:rFonts w:ascii="Times New Roman" w:cs="Times New Roman" w:eastAsia="Times New Roman" w:hAnsi="Times New Roman"/>
                <w:sz w:val="13"/>
                <w:szCs w:val="13"/>
                <w:color w:val="auto"/>
              </w:rPr>
              <w:t>Net accounts receivable</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color w:val="auto"/>
              </w:rPr>
              <w:t>14,410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13,181</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35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Activity in the allowance for credit losses was as follows: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Balance, beginning of the year</w:t>
            </w:r>
          </w:p>
        </w:tc>
        <w:tc>
          <w:tcPr>
            <w:tcW w:w="560" w:type="dxa"/>
            <w:vAlign w:val="bottom"/>
            <w:gridSpan w:val="2"/>
          </w:tcPr>
          <w:p>
            <w:pPr>
              <w:jc w:val="right"/>
              <w:ind w:right="45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100" w:type="dxa"/>
            <w:vAlign w:val="bottom"/>
          </w:tcPr>
          <w:p>
            <w:pPr>
              <w:spacing w:after="0"/>
              <w:rPr>
                <w:sz w:val="22"/>
                <w:szCs w:val="22"/>
                <w:color w:val="auto"/>
              </w:rPr>
            </w:pPr>
          </w:p>
        </w:tc>
        <w:tc>
          <w:tcPr>
            <w:tcW w:w="600" w:type="dxa"/>
            <w:vAlign w:val="bottom"/>
            <w:gridSpan w:val="2"/>
          </w:tcPr>
          <w:p>
            <w:pPr>
              <w:jc w:val="right"/>
              <w:ind w:right="461"/>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2"/>
                <w:szCs w:val="22"/>
                <w:color w:val="auto"/>
              </w:rPr>
            </w:pP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535</w:t>
            </w:r>
          </w:p>
        </w:tc>
        <w:tc>
          <w:tcPr>
            <w:tcW w:w="20" w:type="dxa"/>
            <w:vAlign w:val="bottom"/>
          </w:tcPr>
          <w:p>
            <w:pPr>
              <w:spacing w:after="0"/>
              <w:rPr>
                <w:sz w:val="22"/>
                <w:szCs w:val="2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1,261</w:t>
            </w:r>
          </w:p>
        </w:tc>
        <w:tc>
          <w:tcPr>
            <w:tcW w:w="0" w:type="dxa"/>
            <w:vAlign w:val="bottom"/>
          </w:tcPr>
          <w:p>
            <w:pPr>
              <w:spacing w:after="0"/>
              <w:rPr>
                <w:sz w:val="1"/>
                <w:szCs w:val="1"/>
                <w:color w:val="auto"/>
              </w:rPr>
            </w:pPr>
          </w:p>
        </w:tc>
      </w:tr>
      <w:tr>
        <w:trPr>
          <w:trHeight w:val="149"/>
        </w:trPr>
        <w:tc>
          <w:tcPr>
            <w:tcW w:w="2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Additions (recoveries) charged to expense</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(62 )</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624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72"/>
        </w:trPr>
        <w:tc>
          <w:tcPr>
            <w:tcW w:w="2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Reductions to allowance, net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(606 )</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(62)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0" w:type="dxa"/>
            <w:vAlign w:val="bottom"/>
          </w:tcPr>
          <w:p>
            <w:pPr>
              <w:spacing w:after="0"/>
              <w:rPr>
                <w:sz w:val="1"/>
                <w:szCs w:val="1"/>
                <w:color w:val="auto"/>
              </w:rPr>
            </w:pPr>
          </w:p>
        </w:tc>
      </w:tr>
      <w:tr>
        <w:trPr>
          <w:trHeight w:val="153"/>
        </w:trPr>
        <w:tc>
          <w:tcPr>
            <w:tcW w:w="2840" w:type="dxa"/>
            <w:vAlign w:val="bottom"/>
          </w:tcPr>
          <w:p>
            <w:pPr>
              <w:ind w:left="380"/>
              <w:spacing w:after="0" w:line="145" w:lineRule="exact"/>
              <w:rPr>
                <w:sz w:val="20"/>
                <w:szCs w:val="20"/>
                <w:color w:val="auto"/>
              </w:rPr>
            </w:pPr>
            <w:r>
              <w:rPr>
                <w:rFonts w:ascii="Times New Roman" w:cs="Times New Roman" w:eastAsia="Times New Roman" w:hAnsi="Times New Roman"/>
                <w:sz w:val="13"/>
                <w:szCs w:val="13"/>
                <w:color w:val="auto"/>
              </w:rPr>
              <w:t>Balance, end of the year</w:t>
            </w:r>
          </w:p>
        </w:tc>
        <w:tc>
          <w:tcPr>
            <w:tcW w:w="2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429</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gridSpan w:val="3"/>
          </w:tcPr>
          <w:p>
            <w:pPr>
              <w:jc w:val="right"/>
              <w:spacing w:after="0" w:line="145" w:lineRule="exact"/>
              <w:rPr>
                <w:sz w:val="20"/>
                <w:szCs w:val="20"/>
                <w:color w:val="auto"/>
              </w:rPr>
            </w:pPr>
            <w:r>
              <w:rPr>
                <w:rFonts w:ascii="Times New Roman" w:cs="Times New Roman" w:eastAsia="Times New Roman" w:hAnsi="Times New Roman"/>
                <w:sz w:val="13"/>
                <w:szCs w:val="13"/>
                <w:color w:val="auto"/>
              </w:rPr>
              <w:t>1,097</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535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right="760"/>
        <w:spacing w:after="0" w:line="274" w:lineRule="auto"/>
        <w:rPr>
          <w:sz w:val="20"/>
          <w:szCs w:val="20"/>
          <w:color w:val="auto"/>
        </w:rPr>
      </w:pPr>
      <w:r>
        <w:rPr>
          <w:rFonts w:ascii="Times New Roman" w:cs="Times New Roman" w:eastAsia="Times New Roman" w:hAnsi="Times New Roman"/>
          <w:sz w:val="13"/>
          <w:szCs w:val="13"/>
          <w:color w:val="auto"/>
        </w:rPr>
        <w:t>Substantially all of the accounts receivable written off against the reserve during the year ended November 29, 2025 orginated during fiscal 2024.</w:t>
      </w:r>
    </w:p>
    <w:p>
      <w:pPr>
        <w:spacing w:after="0" w:line="76" w:lineRule="exact"/>
        <w:rPr>
          <w:sz w:val="20"/>
          <w:szCs w:val="20"/>
          <w:color w:val="auto"/>
        </w:rPr>
      </w:pPr>
    </w:p>
    <w:p>
      <w:pPr>
        <w:jc w:val="both"/>
        <w:ind w:right="760"/>
        <w:spacing w:after="0" w:line="256" w:lineRule="auto"/>
        <w:rPr>
          <w:sz w:val="20"/>
          <w:szCs w:val="20"/>
          <w:color w:val="auto"/>
        </w:rPr>
      </w:pPr>
      <w:r>
        <w:rPr>
          <w:rFonts w:ascii="Times New Roman" w:cs="Times New Roman" w:eastAsia="Times New Roman" w:hAnsi="Times New Roman"/>
          <w:sz w:val="13"/>
          <w:szCs w:val="13"/>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3"/>
          <w:szCs w:val="13"/>
          <w:i w:val="1"/>
          <w:iCs w:val="1"/>
          <w:color w:val="auto"/>
        </w:rPr>
        <w:t>Fair Value Measurements and Disclosures</w:t>
      </w:r>
      <w:r>
        <w:rPr>
          <w:rFonts w:ascii="Times New Roman" w:cs="Times New Roman" w:eastAsia="Times New Roman" w:hAnsi="Times New Roman"/>
          <w:sz w:val="13"/>
          <w:szCs w:val="13"/>
          <w:color w:val="auto"/>
        </w:rPr>
        <w:t>. See Note 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5.  Inventories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Inventories consist of the following:</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vMerge w:val="restart"/>
          </w:tcPr>
          <w:p>
            <w:pPr>
              <w:ind w:left="640"/>
              <w:spacing w:after="0"/>
              <w:rPr>
                <w:sz w:val="20"/>
                <w:szCs w:val="20"/>
                <w:color w:val="auto"/>
              </w:rPr>
            </w:pPr>
            <w:r>
              <w:rPr>
                <w:rFonts w:ascii="Times New Roman" w:cs="Times New Roman" w:eastAsia="Times New Roman" w:hAnsi="Times New Roman"/>
                <w:sz w:val="13"/>
                <w:szCs w:val="13"/>
                <w:color w:val="auto"/>
              </w:rPr>
              <w:t>Wholesale finished goods</w:t>
            </w:r>
          </w:p>
        </w:tc>
        <w:tc>
          <w:tcPr>
            <w:tcW w:w="20" w:type="dxa"/>
            <w:vAlign w:val="bottom"/>
          </w:tcPr>
          <w:p>
            <w:pPr>
              <w:spacing w:after="0"/>
              <w:rPr>
                <w:sz w:val="23"/>
                <w:szCs w:val="23"/>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November 29, 2025</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November 30, 2024</w:t>
            </w:r>
          </w:p>
        </w:tc>
        <w:tc>
          <w:tcPr>
            <w:tcW w:w="0" w:type="dxa"/>
            <w:vAlign w:val="bottom"/>
          </w:tcPr>
          <w:p>
            <w:pPr>
              <w:spacing w:after="0"/>
              <w:rPr>
                <w:sz w:val="1"/>
                <w:szCs w:val="1"/>
                <w:color w:val="auto"/>
              </w:rPr>
            </w:pPr>
          </w:p>
        </w:tc>
      </w:tr>
      <w:tr>
        <w:trPr>
          <w:trHeight w:val="118"/>
        </w:trPr>
        <w:tc>
          <w:tcPr>
            <w:tcW w:w="34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auto"/>
            </w:tcBorders>
          </w:tcPr>
          <w:p>
            <w:pPr>
              <w:jc w:val="right"/>
              <w:ind w:right="262"/>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30,746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auto"/>
            </w:tcBorders>
          </w:tcPr>
          <w:p>
            <w:pPr>
              <w:jc w:val="right"/>
              <w:ind w:right="262"/>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24,841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640"/>
              <w:spacing w:after="0" w:line="149" w:lineRule="exact"/>
              <w:rPr>
                <w:sz w:val="20"/>
                <w:szCs w:val="20"/>
                <w:color w:val="auto"/>
              </w:rPr>
            </w:pPr>
            <w:r>
              <w:rPr>
                <w:rFonts w:ascii="Times New Roman" w:cs="Times New Roman" w:eastAsia="Times New Roman" w:hAnsi="Times New Roman"/>
                <w:sz w:val="13"/>
                <w:szCs w:val="13"/>
                <w:color w:val="auto"/>
              </w:rPr>
              <w:t>Work in process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544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519</w:t>
            </w:r>
          </w:p>
        </w:tc>
        <w:tc>
          <w:tcPr>
            <w:tcW w:w="0" w:type="dxa"/>
            <w:vAlign w:val="bottom"/>
          </w:tcPr>
          <w:p>
            <w:pPr>
              <w:spacing w:after="0"/>
              <w:rPr>
                <w:sz w:val="1"/>
                <w:szCs w:val="1"/>
                <w:color w:val="auto"/>
              </w:rPr>
            </w:pPr>
          </w:p>
        </w:tc>
      </w:tr>
      <w:tr>
        <w:trPr>
          <w:trHeight w:val="149"/>
        </w:trPr>
        <w:tc>
          <w:tcPr>
            <w:tcW w:w="34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Raw materials and supplies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16,040</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14,921</w:t>
            </w:r>
          </w:p>
        </w:tc>
        <w:tc>
          <w:tcPr>
            <w:tcW w:w="0" w:type="dxa"/>
            <w:vAlign w:val="bottom"/>
          </w:tcPr>
          <w:p>
            <w:pPr>
              <w:spacing w:after="0"/>
              <w:rPr>
                <w:sz w:val="1"/>
                <w:szCs w:val="1"/>
                <w:color w:val="auto"/>
              </w:rPr>
            </w:pPr>
          </w:p>
        </w:tc>
      </w:tr>
      <w:tr>
        <w:trPr>
          <w:trHeight w:val="172"/>
        </w:trPr>
        <w:tc>
          <w:tcPr>
            <w:tcW w:w="34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Retail merchandise</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32,503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31,744</w:t>
            </w:r>
          </w:p>
        </w:tc>
        <w:tc>
          <w:tcPr>
            <w:tcW w:w="0" w:type="dxa"/>
            <w:vAlign w:val="bottom"/>
          </w:tcPr>
          <w:p>
            <w:pPr>
              <w:spacing w:after="0"/>
              <w:rPr>
                <w:sz w:val="1"/>
                <w:szCs w:val="1"/>
                <w:color w:val="auto"/>
              </w:rPr>
            </w:pPr>
          </w:p>
        </w:tc>
      </w:tr>
      <w:tr>
        <w:trPr>
          <w:trHeight w:val="116"/>
        </w:trPr>
        <w:tc>
          <w:tcPr>
            <w:tcW w:w="3400" w:type="dxa"/>
            <w:vAlign w:val="bottom"/>
          </w:tcPr>
          <w:p>
            <w:pPr>
              <w:ind w:left="640"/>
              <w:spacing w:after="0" w:line="116" w:lineRule="exact"/>
              <w:rPr>
                <w:sz w:val="20"/>
                <w:szCs w:val="20"/>
                <w:color w:val="auto"/>
              </w:rPr>
            </w:pPr>
            <w:r>
              <w:rPr>
                <w:rFonts w:ascii="Times New Roman" w:cs="Times New Roman" w:eastAsia="Times New Roman" w:hAnsi="Times New Roman"/>
                <w:sz w:val="13"/>
                <w:szCs w:val="13"/>
                <w:color w:val="auto"/>
              </w:rPr>
              <w:t>Total inventories on first-in, first-out method</w:t>
            </w:r>
          </w:p>
        </w:tc>
        <w:tc>
          <w:tcPr>
            <w:tcW w:w="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20"/>
              <w:spacing w:after="0" w:line="116" w:lineRule="exact"/>
              <w:rPr>
                <w:sz w:val="20"/>
                <w:szCs w:val="20"/>
                <w:color w:val="auto"/>
              </w:rPr>
            </w:pPr>
            <w:r>
              <w:rPr>
                <w:rFonts w:ascii="Times New Roman" w:cs="Times New Roman" w:eastAsia="Times New Roman" w:hAnsi="Times New Roman"/>
                <w:sz w:val="13"/>
                <w:szCs w:val="13"/>
                <w:color w:val="auto"/>
              </w:rPr>
              <w:t>79,833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72,025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640"/>
              <w:spacing w:after="0" w:line="148" w:lineRule="exact"/>
              <w:rPr>
                <w:sz w:val="20"/>
                <w:szCs w:val="20"/>
                <w:color w:val="auto"/>
              </w:rPr>
            </w:pPr>
            <w:r>
              <w:rPr>
                <w:rFonts w:ascii="Times New Roman" w:cs="Times New Roman" w:eastAsia="Times New Roman" w:hAnsi="Times New Roman"/>
                <w:sz w:val="13"/>
                <w:szCs w:val="13"/>
                <w:color w:val="auto"/>
              </w:rPr>
              <w:t>LIFO adjustment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(12,016 )</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(11,665)</w:t>
            </w:r>
          </w:p>
        </w:tc>
        <w:tc>
          <w:tcPr>
            <w:tcW w:w="0" w:type="dxa"/>
            <w:vAlign w:val="bottom"/>
          </w:tcPr>
          <w:p>
            <w:pPr>
              <w:spacing w:after="0"/>
              <w:rPr>
                <w:sz w:val="1"/>
                <w:szCs w:val="1"/>
                <w:color w:val="auto"/>
              </w:rPr>
            </w:pPr>
          </w:p>
        </w:tc>
      </w:tr>
      <w:tr>
        <w:trPr>
          <w:trHeight w:val="172"/>
        </w:trPr>
        <w:tc>
          <w:tcPr>
            <w:tcW w:w="34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Reserve for excess and obsolete inventory</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(6,027 )</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(5,395)</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61,790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54,965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color w:val="auto"/>
        </w:rPr>
        <w:t>We source a significant amount of our wholesale product from other countries. During 2025, 2024 and 2023, purchases from our three largest vendors primarily located in Vietnam were $15,108, $11,689 and $15,601 respectively.</w:t>
      </w:r>
    </w:p>
    <w:p>
      <w:pPr>
        <w:spacing w:after="0" w:line="1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26"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2"/>
          <w:szCs w:val="12"/>
          <w:color w:val="auto"/>
        </w:rPr>
        <w:t>Activity in the reserves for excess quantities and obsolete inventory by segment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Wholesale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Balance at November 26, 2022</w:t>
            </w:r>
          </w:p>
        </w:tc>
        <w:tc>
          <w:tcPr>
            <w:tcW w:w="100" w:type="dxa"/>
            <w:vAlign w:val="bottom"/>
          </w:tcPr>
          <w:p>
            <w:pPr>
              <w:spacing w:after="0"/>
              <w:rPr>
                <w:sz w:val="15"/>
                <w:szCs w:val="15"/>
                <w:color w:val="auto"/>
              </w:rPr>
            </w:pPr>
          </w:p>
        </w:tc>
        <w:tc>
          <w:tcPr>
            <w:tcW w:w="9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96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Retail Segment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1"/>
        </w:trPr>
        <w:tc>
          <w:tcPr>
            <w:tcW w:w="2640" w:type="dxa"/>
            <w:vAlign w:val="bottom"/>
            <w:gridSpan w:val="2"/>
            <w:vMerge w:val="continue"/>
          </w:tcPr>
          <w:p>
            <w:pPr>
              <w:spacing w:after="0"/>
              <w:rPr>
                <w:sz w:val="9"/>
                <w:szCs w:val="9"/>
                <w:color w:val="auto"/>
              </w:rPr>
            </w:pPr>
          </w:p>
        </w:tc>
        <w:tc>
          <w:tcPr>
            <w:tcW w:w="10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3"/>
          </w:tcPr>
          <w:p>
            <w:pPr>
              <w:ind w:left="500"/>
              <w:spacing w:after="0" w:line="111" w:lineRule="exact"/>
              <w:rPr>
                <w:sz w:val="20"/>
                <w:szCs w:val="20"/>
                <w:color w:val="auto"/>
              </w:rPr>
            </w:pPr>
            <w:r>
              <w:rPr>
                <w:rFonts w:ascii="Times New Roman" w:cs="Times New Roman" w:eastAsia="Times New Roman" w:hAnsi="Times New Roman"/>
                <w:sz w:val="12"/>
                <w:szCs w:val="12"/>
                <w:color w:val="auto"/>
                <w:w w:val="96"/>
              </w:rPr>
              <w:t>4,103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top w:val="single" w:sz="8" w:color="auto"/>
            </w:tcBorders>
          </w:tcPr>
          <w:p>
            <w:pPr>
              <w:jc w:val="right"/>
              <w:ind w:right="41"/>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gridSpan w:val="4"/>
          </w:tcPr>
          <w:p>
            <w:pPr>
              <w:jc w:val="right"/>
              <w:spacing w:after="0" w:line="111" w:lineRule="exact"/>
              <w:rPr>
                <w:sz w:val="20"/>
                <w:szCs w:val="20"/>
                <w:color w:val="auto"/>
              </w:rPr>
            </w:pPr>
            <w:r>
              <w:rPr>
                <w:rFonts w:ascii="Times New Roman" w:cs="Times New Roman" w:eastAsia="Times New Roman" w:hAnsi="Times New Roman"/>
                <w:sz w:val="12"/>
                <w:szCs w:val="12"/>
                <w:color w:val="auto"/>
              </w:rPr>
              <w:t>1,064</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jc w:val="right"/>
              <w:ind w:right="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5,167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3"/>
                <w:szCs w:val="13"/>
                <w:color w:val="auto"/>
              </w:rPr>
              <w:t>Additions charged to expense</w:t>
            </w:r>
          </w:p>
        </w:tc>
        <w:tc>
          <w:tcPr>
            <w:tcW w:w="100" w:type="dxa"/>
            <w:vAlign w:val="bottom"/>
          </w:tcPr>
          <w:p>
            <w:pPr>
              <w:spacing w:after="0"/>
              <w:rPr>
                <w:sz w:val="12"/>
                <w:szCs w:val="12"/>
                <w:color w:val="auto"/>
              </w:rPr>
            </w:pPr>
          </w:p>
        </w:tc>
        <w:tc>
          <w:tcPr>
            <w:tcW w:w="900" w:type="dxa"/>
            <w:vAlign w:val="bottom"/>
            <w:gridSpan w:val="4"/>
          </w:tcPr>
          <w:p>
            <w:pPr>
              <w:ind w:left="500"/>
              <w:spacing w:after="0" w:line="149" w:lineRule="exact"/>
              <w:rPr>
                <w:sz w:val="20"/>
                <w:szCs w:val="20"/>
                <w:color w:val="auto"/>
              </w:rPr>
            </w:pPr>
            <w:r>
              <w:rPr>
                <w:rFonts w:ascii="Times New Roman" w:cs="Times New Roman" w:eastAsia="Times New Roman" w:hAnsi="Times New Roman"/>
                <w:sz w:val="13"/>
                <w:szCs w:val="13"/>
                <w:color w:val="auto"/>
              </w:rPr>
              <w:t>3,876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w w:val="92"/>
              </w:rPr>
              <w:t>750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4,626</w:t>
            </w:r>
          </w:p>
        </w:tc>
        <w:tc>
          <w:tcPr>
            <w:tcW w:w="0" w:type="dxa"/>
            <w:vAlign w:val="bottom"/>
          </w:tcPr>
          <w:p>
            <w:pPr>
              <w:spacing w:after="0"/>
              <w:rPr>
                <w:sz w:val="1"/>
                <w:szCs w:val="1"/>
                <w:color w:val="auto"/>
              </w:rPr>
            </w:pPr>
          </w:p>
        </w:tc>
      </w:tr>
      <w:tr>
        <w:trPr>
          <w:trHeight w:val="172"/>
        </w:trPr>
        <w:tc>
          <w:tcPr>
            <w:tcW w:w="26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Write-offs</w:t>
            </w:r>
          </w:p>
        </w:tc>
        <w:tc>
          <w:tcPr>
            <w:tcW w:w="100" w:type="dxa"/>
            <w:vAlign w:val="bottom"/>
          </w:tcPr>
          <w:p>
            <w:pPr>
              <w:spacing w:after="0"/>
              <w:rPr>
                <w:sz w:val="14"/>
                <w:szCs w:val="14"/>
                <w:color w:val="auto"/>
              </w:rPr>
            </w:pPr>
          </w:p>
        </w:tc>
        <w:tc>
          <w:tcPr>
            <w:tcW w:w="900" w:type="dxa"/>
            <w:vAlign w:val="bottom"/>
            <w:gridSpan w:val="4"/>
          </w:tcPr>
          <w:p>
            <w:pPr>
              <w:ind w:left="460"/>
              <w:spacing w:after="0"/>
              <w:rPr>
                <w:sz w:val="20"/>
                <w:szCs w:val="20"/>
                <w:color w:val="auto"/>
              </w:rPr>
            </w:pPr>
            <w:r>
              <w:rPr>
                <w:rFonts w:ascii="Times New Roman" w:cs="Times New Roman" w:eastAsia="Times New Roman" w:hAnsi="Times New Roman"/>
                <w:sz w:val="13"/>
                <w:szCs w:val="13"/>
                <w:color w:val="auto"/>
              </w:rPr>
              <w:t>(3,834)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(776)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(4,610)</w:t>
            </w:r>
          </w:p>
        </w:tc>
        <w:tc>
          <w:tcPr>
            <w:tcW w:w="0" w:type="dxa"/>
            <w:vAlign w:val="bottom"/>
          </w:tcPr>
          <w:p>
            <w:pPr>
              <w:spacing w:after="0"/>
              <w:rPr>
                <w:sz w:val="1"/>
                <w:szCs w:val="1"/>
                <w:color w:val="auto"/>
              </w:rPr>
            </w:pPr>
          </w:p>
        </w:tc>
      </w:tr>
      <w:tr>
        <w:trPr>
          <w:trHeight w:val="116"/>
        </w:trPr>
        <w:tc>
          <w:tcPr>
            <w:tcW w:w="2640" w:type="dxa"/>
            <w:vAlign w:val="bottom"/>
            <w:gridSpan w:val="2"/>
          </w:tcPr>
          <w:p>
            <w:pPr>
              <w:ind w:left="800"/>
              <w:spacing w:after="0" w:line="116" w:lineRule="exact"/>
              <w:rPr>
                <w:sz w:val="20"/>
                <w:szCs w:val="20"/>
                <w:color w:val="auto"/>
              </w:rPr>
            </w:pPr>
            <w:r>
              <w:rPr>
                <w:rFonts w:ascii="Times New Roman" w:cs="Times New Roman" w:eastAsia="Times New Roman" w:hAnsi="Times New Roman"/>
                <w:sz w:val="13"/>
                <w:szCs w:val="13"/>
                <w:b w:val="1"/>
                <w:bCs w:val="1"/>
                <w:color w:val="auto"/>
              </w:rPr>
              <w:t>Balance at November 25, 2023</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500"/>
              <w:spacing w:after="0" w:line="116" w:lineRule="exact"/>
              <w:rPr>
                <w:sz w:val="20"/>
                <w:szCs w:val="20"/>
                <w:color w:val="auto"/>
              </w:rPr>
            </w:pPr>
            <w:r>
              <w:rPr>
                <w:rFonts w:ascii="Times New Roman" w:cs="Times New Roman" w:eastAsia="Times New Roman" w:hAnsi="Times New Roman"/>
                <w:sz w:val="13"/>
                <w:szCs w:val="13"/>
                <w:color w:val="auto"/>
                <w:w w:val="88"/>
              </w:rPr>
              <w:t>4,145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4"/>
          </w:tcPr>
          <w:p>
            <w:pPr>
              <w:jc w:val="right"/>
              <w:spacing w:after="0" w:line="116" w:lineRule="exact"/>
              <w:rPr>
                <w:sz w:val="20"/>
                <w:szCs w:val="20"/>
                <w:color w:val="auto"/>
              </w:rPr>
            </w:pPr>
            <w:r>
              <w:rPr>
                <w:rFonts w:ascii="Times New Roman" w:cs="Times New Roman" w:eastAsia="Times New Roman" w:hAnsi="Times New Roman"/>
                <w:sz w:val="13"/>
                <w:szCs w:val="13"/>
                <w:color w:val="auto"/>
              </w:rPr>
              <w:t>1,038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5,183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3"/>
                <w:szCs w:val="13"/>
                <w:color w:val="auto"/>
              </w:rPr>
              <w:t>Additions charged to expense</w:t>
            </w:r>
          </w:p>
        </w:tc>
        <w:tc>
          <w:tcPr>
            <w:tcW w:w="100" w:type="dxa"/>
            <w:vAlign w:val="bottom"/>
          </w:tcPr>
          <w:p>
            <w:pPr>
              <w:spacing w:after="0"/>
              <w:rPr>
                <w:sz w:val="12"/>
                <w:szCs w:val="12"/>
                <w:color w:val="auto"/>
              </w:rPr>
            </w:pPr>
          </w:p>
        </w:tc>
        <w:tc>
          <w:tcPr>
            <w:tcW w:w="900" w:type="dxa"/>
            <w:vAlign w:val="bottom"/>
            <w:gridSpan w:val="4"/>
          </w:tcPr>
          <w:p>
            <w:pPr>
              <w:ind w:left="500"/>
              <w:spacing w:after="0" w:line="149" w:lineRule="exact"/>
              <w:rPr>
                <w:sz w:val="20"/>
                <w:szCs w:val="20"/>
                <w:color w:val="auto"/>
              </w:rPr>
            </w:pPr>
            <w:r>
              <w:rPr>
                <w:rFonts w:ascii="Times New Roman" w:cs="Times New Roman" w:eastAsia="Times New Roman" w:hAnsi="Times New Roman"/>
                <w:sz w:val="13"/>
                <w:szCs w:val="13"/>
                <w:color w:val="auto"/>
              </w:rPr>
              <w:t>4,284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w w:val="92"/>
              </w:rPr>
              <w:t>717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5,001</w:t>
            </w:r>
          </w:p>
        </w:tc>
        <w:tc>
          <w:tcPr>
            <w:tcW w:w="0" w:type="dxa"/>
            <w:vAlign w:val="bottom"/>
          </w:tcPr>
          <w:p>
            <w:pPr>
              <w:spacing w:after="0"/>
              <w:rPr>
                <w:sz w:val="1"/>
                <w:szCs w:val="1"/>
                <w:color w:val="auto"/>
              </w:rPr>
            </w:pPr>
          </w:p>
        </w:tc>
      </w:tr>
      <w:tr>
        <w:trPr>
          <w:trHeight w:val="172"/>
        </w:trPr>
        <w:tc>
          <w:tcPr>
            <w:tcW w:w="26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Write-offs</w:t>
            </w:r>
          </w:p>
        </w:tc>
        <w:tc>
          <w:tcPr>
            <w:tcW w:w="100" w:type="dxa"/>
            <w:vAlign w:val="bottom"/>
          </w:tcPr>
          <w:p>
            <w:pPr>
              <w:spacing w:after="0"/>
              <w:rPr>
                <w:sz w:val="14"/>
                <w:szCs w:val="14"/>
                <w:color w:val="auto"/>
              </w:rPr>
            </w:pPr>
          </w:p>
        </w:tc>
        <w:tc>
          <w:tcPr>
            <w:tcW w:w="900" w:type="dxa"/>
            <w:vAlign w:val="bottom"/>
            <w:gridSpan w:val="4"/>
          </w:tcPr>
          <w:p>
            <w:pPr>
              <w:ind w:left="460"/>
              <w:spacing w:after="0"/>
              <w:rPr>
                <w:sz w:val="20"/>
                <w:szCs w:val="20"/>
                <w:color w:val="auto"/>
              </w:rPr>
            </w:pPr>
            <w:r>
              <w:rPr>
                <w:rFonts w:ascii="Times New Roman" w:cs="Times New Roman" w:eastAsia="Times New Roman" w:hAnsi="Times New Roman"/>
                <w:sz w:val="13"/>
                <w:szCs w:val="13"/>
                <w:color w:val="auto"/>
              </w:rPr>
              <w:t>(4,271)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(518)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(4,789)</w:t>
            </w:r>
          </w:p>
        </w:tc>
        <w:tc>
          <w:tcPr>
            <w:tcW w:w="0" w:type="dxa"/>
            <w:vAlign w:val="bottom"/>
          </w:tcPr>
          <w:p>
            <w:pPr>
              <w:spacing w:after="0"/>
              <w:rPr>
                <w:sz w:val="1"/>
                <w:szCs w:val="1"/>
                <w:color w:val="auto"/>
              </w:rPr>
            </w:pPr>
          </w:p>
        </w:tc>
      </w:tr>
      <w:tr>
        <w:trPr>
          <w:trHeight w:val="116"/>
        </w:trPr>
        <w:tc>
          <w:tcPr>
            <w:tcW w:w="2640" w:type="dxa"/>
            <w:vAlign w:val="bottom"/>
            <w:gridSpan w:val="2"/>
          </w:tcPr>
          <w:p>
            <w:pPr>
              <w:ind w:left="800"/>
              <w:spacing w:after="0" w:line="116" w:lineRule="exact"/>
              <w:rPr>
                <w:sz w:val="20"/>
                <w:szCs w:val="20"/>
                <w:color w:val="auto"/>
              </w:rPr>
            </w:pPr>
            <w:r>
              <w:rPr>
                <w:rFonts w:ascii="Times New Roman" w:cs="Times New Roman" w:eastAsia="Times New Roman" w:hAnsi="Times New Roman"/>
                <w:sz w:val="13"/>
                <w:szCs w:val="13"/>
                <w:b w:val="1"/>
                <w:bCs w:val="1"/>
                <w:color w:val="auto"/>
              </w:rPr>
              <w:t>Balance at November 30, 2024</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500"/>
              <w:spacing w:after="0" w:line="116" w:lineRule="exact"/>
              <w:rPr>
                <w:sz w:val="20"/>
                <w:szCs w:val="20"/>
                <w:color w:val="auto"/>
              </w:rPr>
            </w:pPr>
            <w:r>
              <w:rPr>
                <w:rFonts w:ascii="Times New Roman" w:cs="Times New Roman" w:eastAsia="Times New Roman" w:hAnsi="Times New Roman"/>
                <w:sz w:val="13"/>
                <w:szCs w:val="13"/>
                <w:color w:val="auto"/>
                <w:w w:val="88"/>
              </w:rPr>
              <w:t>4,158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4"/>
          </w:tcPr>
          <w:p>
            <w:pPr>
              <w:jc w:val="right"/>
              <w:spacing w:after="0" w:line="116" w:lineRule="exact"/>
              <w:rPr>
                <w:sz w:val="20"/>
                <w:szCs w:val="20"/>
                <w:color w:val="auto"/>
              </w:rPr>
            </w:pPr>
            <w:r>
              <w:rPr>
                <w:rFonts w:ascii="Times New Roman" w:cs="Times New Roman" w:eastAsia="Times New Roman" w:hAnsi="Times New Roman"/>
                <w:sz w:val="13"/>
                <w:szCs w:val="13"/>
                <w:color w:val="auto"/>
              </w:rPr>
              <w:t>1,237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5,395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Additions charged to expense</w:t>
            </w:r>
          </w:p>
        </w:tc>
        <w:tc>
          <w:tcPr>
            <w:tcW w:w="100" w:type="dxa"/>
            <w:vAlign w:val="bottom"/>
          </w:tcPr>
          <w:p>
            <w:pPr>
              <w:spacing w:after="0"/>
              <w:rPr>
                <w:sz w:val="12"/>
                <w:szCs w:val="12"/>
                <w:color w:val="auto"/>
              </w:rPr>
            </w:pPr>
          </w:p>
        </w:tc>
        <w:tc>
          <w:tcPr>
            <w:tcW w:w="90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1,717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w w:val="92"/>
              </w:rPr>
              <w:t>672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2,389</w:t>
            </w:r>
          </w:p>
        </w:tc>
        <w:tc>
          <w:tcPr>
            <w:tcW w:w="0" w:type="dxa"/>
            <w:vAlign w:val="bottom"/>
          </w:tcPr>
          <w:p>
            <w:pPr>
              <w:spacing w:after="0"/>
              <w:rPr>
                <w:sz w:val="1"/>
                <w:szCs w:val="1"/>
                <w:color w:val="auto"/>
              </w:rPr>
            </w:pPr>
          </w:p>
        </w:tc>
      </w:tr>
      <w:tr>
        <w:trPr>
          <w:trHeight w:val="172"/>
        </w:trPr>
        <w:tc>
          <w:tcPr>
            <w:tcW w:w="26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Write-offs</w:t>
            </w:r>
          </w:p>
        </w:tc>
        <w:tc>
          <w:tcPr>
            <w:tcW w:w="100" w:type="dxa"/>
            <w:vAlign w:val="bottom"/>
          </w:tcPr>
          <w:p>
            <w:pPr>
              <w:spacing w:after="0"/>
              <w:rPr>
                <w:sz w:val="14"/>
                <w:szCs w:val="14"/>
                <w:color w:val="auto"/>
              </w:rPr>
            </w:pPr>
          </w:p>
        </w:tc>
        <w:tc>
          <w:tcPr>
            <w:tcW w:w="900" w:type="dxa"/>
            <w:vAlign w:val="bottom"/>
            <w:gridSpan w:val="4"/>
          </w:tcPr>
          <w:p>
            <w:pPr>
              <w:ind w:left="460"/>
              <w:spacing w:after="0"/>
              <w:rPr>
                <w:sz w:val="20"/>
                <w:szCs w:val="20"/>
                <w:color w:val="auto"/>
              </w:rPr>
            </w:pPr>
            <w:r>
              <w:rPr>
                <w:rFonts w:ascii="Times New Roman" w:cs="Times New Roman" w:eastAsia="Times New Roman" w:hAnsi="Times New Roman"/>
                <w:sz w:val="13"/>
                <w:szCs w:val="13"/>
                <w:color w:val="auto"/>
              </w:rPr>
              <w:t>(1,290)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(467)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0" w:type="dxa"/>
            <w:vAlign w:val="bottom"/>
          </w:tcPr>
          <w:p>
            <w:pPr>
              <w:spacing w:after="0"/>
              <w:rPr>
                <w:sz w:val="1"/>
                <w:szCs w:val="1"/>
                <w:color w:val="auto"/>
              </w:rPr>
            </w:pPr>
          </w:p>
        </w:tc>
      </w:tr>
      <w:tr>
        <w:trPr>
          <w:trHeight w:val="153"/>
        </w:trPr>
        <w:tc>
          <w:tcPr>
            <w:tcW w:w="2620" w:type="dxa"/>
            <w:vAlign w:val="bottom"/>
          </w:tcPr>
          <w:p>
            <w:pPr>
              <w:ind w:left="800"/>
              <w:spacing w:after="0" w:line="145" w:lineRule="exact"/>
              <w:rPr>
                <w:sz w:val="20"/>
                <w:szCs w:val="20"/>
                <w:color w:val="auto"/>
              </w:rPr>
            </w:pPr>
            <w:r>
              <w:rPr>
                <w:rFonts w:ascii="Times New Roman" w:cs="Times New Roman" w:eastAsia="Times New Roman" w:hAnsi="Times New Roman"/>
                <w:sz w:val="13"/>
                <w:szCs w:val="13"/>
                <w:b w:val="1"/>
                <w:bCs w:val="1"/>
                <w:color w:val="auto"/>
              </w:rPr>
              <w:t>Balance at November 29, 2025</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3"/>
          </w:tcPr>
          <w:p>
            <w:pPr>
              <w:ind w:left="500"/>
              <w:spacing w:after="0" w:line="145" w:lineRule="exact"/>
              <w:rPr>
                <w:sz w:val="20"/>
                <w:szCs w:val="20"/>
                <w:color w:val="auto"/>
              </w:rPr>
            </w:pPr>
            <w:r>
              <w:rPr>
                <w:rFonts w:ascii="Times New Roman" w:cs="Times New Roman" w:eastAsia="Times New Roman" w:hAnsi="Times New Roman"/>
                <w:sz w:val="13"/>
                <w:szCs w:val="13"/>
                <w:color w:val="auto"/>
                <w:w w:val="88"/>
              </w:rPr>
              <w:t>4,585</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gridSpan w:val="4"/>
          </w:tcPr>
          <w:p>
            <w:pPr>
              <w:jc w:val="right"/>
              <w:spacing w:after="0" w:line="145" w:lineRule="exact"/>
              <w:rPr>
                <w:sz w:val="20"/>
                <w:szCs w:val="20"/>
                <w:color w:val="auto"/>
              </w:rPr>
            </w:pPr>
            <w:r>
              <w:rPr>
                <w:rFonts w:ascii="Times New Roman" w:cs="Times New Roman" w:eastAsia="Times New Roman" w:hAnsi="Times New Roman"/>
                <w:sz w:val="13"/>
                <w:szCs w:val="13"/>
                <w:color w:val="auto"/>
              </w:rPr>
              <w:t>1,442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6,027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6.  Property and Equipment, Net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Property and equipment consist of the following:</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November 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November 30,</w:t>
            </w:r>
          </w:p>
        </w:tc>
        <w:tc>
          <w:tcPr>
            <w:tcW w:w="0" w:type="dxa"/>
            <w:vAlign w:val="bottom"/>
          </w:tcPr>
          <w:p>
            <w:pPr>
              <w:spacing w:after="0"/>
              <w:rPr>
                <w:sz w:val="1"/>
                <w:szCs w:val="1"/>
                <w:color w:val="auto"/>
              </w:rPr>
            </w:pPr>
          </w:p>
        </w:tc>
      </w:tr>
      <w:tr>
        <w:trPr>
          <w:trHeight w:val="176"/>
        </w:trPr>
        <w:tc>
          <w:tcPr>
            <w:tcW w:w="26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color w:val="auto"/>
              </w:rPr>
              <w:t>Land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10,866</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10,866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60" w:type="dxa"/>
            <w:vAlign w:val="bottom"/>
            <w:gridSpan w:val="8"/>
          </w:tcPr>
          <w:p>
            <w:pPr>
              <w:ind w:left="800"/>
              <w:spacing w:after="0"/>
              <w:rPr>
                <w:sz w:val="20"/>
                <w:szCs w:val="20"/>
                <w:color w:val="auto"/>
              </w:rPr>
            </w:pPr>
            <w:r>
              <w:rPr>
                <w:rFonts w:ascii="Times New Roman" w:cs="Times New Roman" w:eastAsia="Times New Roman" w:hAnsi="Times New Roman"/>
                <w:sz w:val="13"/>
                <w:szCs w:val="13"/>
                <w:color w:val="auto"/>
              </w:rPr>
              <w:t>Buildings and leasehold improvements</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122,688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124,305</w:t>
            </w:r>
          </w:p>
        </w:tc>
        <w:tc>
          <w:tcPr>
            <w:tcW w:w="0" w:type="dxa"/>
            <w:vAlign w:val="bottom"/>
          </w:tcPr>
          <w:p>
            <w:pPr>
              <w:spacing w:after="0"/>
              <w:rPr>
                <w:sz w:val="1"/>
                <w:szCs w:val="1"/>
                <w:color w:val="auto"/>
              </w:rPr>
            </w:pPr>
          </w:p>
        </w:tc>
      </w:tr>
      <w:tr>
        <w:trPr>
          <w:trHeight w:val="172"/>
        </w:trPr>
        <w:tc>
          <w:tcPr>
            <w:tcW w:w="26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Machinery and equipment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106,318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40" w:type="dxa"/>
            <w:vAlign w:val="bottom"/>
            <w:gridSpan w:val="2"/>
          </w:tcPr>
          <w:p>
            <w:pPr>
              <w:ind w:left="900"/>
              <w:spacing w:after="0" w:line="116" w:lineRule="exact"/>
              <w:rPr>
                <w:sz w:val="20"/>
                <w:szCs w:val="20"/>
                <w:color w:val="auto"/>
              </w:rPr>
            </w:pPr>
            <w:r>
              <w:rPr>
                <w:rFonts w:ascii="Times New Roman" w:cs="Times New Roman" w:eastAsia="Times New Roman" w:hAnsi="Times New Roman"/>
                <w:sz w:val="13"/>
                <w:szCs w:val="13"/>
                <w:color w:val="auto"/>
              </w:rPr>
              <w:t>Property and equipment at cost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239,872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240,838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6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(166,697 )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(163,791)</w:t>
            </w:r>
          </w:p>
        </w:tc>
        <w:tc>
          <w:tcPr>
            <w:tcW w:w="0" w:type="dxa"/>
            <w:vAlign w:val="bottom"/>
          </w:tcPr>
          <w:p>
            <w:pPr>
              <w:spacing w:after="0"/>
              <w:rPr>
                <w:sz w:val="1"/>
                <w:szCs w:val="1"/>
                <w:color w:val="auto"/>
              </w:rPr>
            </w:pPr>
          </w:p>
        </w:tc>
      </w:tr>
      <w:tr>
        <w:trPr>
          <w:trHeight w:val="153"/>
        </w:trPr>
        <w:tc>
          <w:tcPr>
            <w:tcW w:w="2640" w:type="dxa"/>
            <w:vAlign w:val="bottom"/>
            <w:gridSpan w:val="2"/>
          </w:tcPr>
          <w:p>
            <w:pPr>
              <w:ind w:left="900"/>
              <w:spacing w:after="0" w:line="145" w:lineRule="exact"/>
              <w:rPr>
                <w:sz w:val="20"/>
                <w:szCs w:val="20"/>
                <w:color w:val="auto"/>
              </w:rPr>
            </w:pPr>
            <w:r>
              <w:rPr>
                <w:rFonts w:ascii="Times New Roman" w:cs="Times New Roman" w:eastAsia="Times New Roman" w:hAnsi="Times New Roman"/>
                <w:sz w:val="13"/>
                <w:szCs w:val="13"/>
                <w:color w:val="auto"/>
              </w:rPr>
              <w:t>Property and equipment, net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73,175</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77,047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net book value of our property and equipment by reportable segment is a follows:</w:t>
      </w:r>
    </w:p>
    <w:p>
      <w:pPr>
        <w:spacing w:after="0" w:line="145" w:lineRule="exact"/>
        <w:rPr>
          <w:sz w:val="20"/>
          <w:szCs w:val="20"/>
          <w:color w:val="auto"/>
        </w:rPr>
      </w:pPr>
    </w:p>
    <w:tbl>
      <w:tblPr>
        <w:tblLayout w:type="fixed"/>
        <w:tblInd w:w="800" w:type="dxa"/>
        <w:tblCellMar>
          <w:top w:w="0" w:type="dxa"/>
          <w:left w:w="0" w:type="dxa"/>
          <w:bottom w:w="0" w:type="dxa"/>
          <w:right w:w="0" w:type="dxa"/>
        </w:tblCellMar>
      </w:tblPr>
      <w:tr>
        <w:trPr>
          <w:trHeight w:val="158"/>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November 29,</w:t>
            </w: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November 30,</w:t>
            </w:r>
          </w:p>
        </w:tc>
        <w:tc>
          <w:tcPr>
            <w:tcW w:w="0" w:type="dxa"/>
            <w:vAlign w:val="bottom"/>
          </w:tcPr>
          <w:p>
            <w:pPr>
              <w:spacing w:after="0"/>
              <w:rPr>
                <w:sz w:val="1"/>
                <w:szCs w:val="1"/>
                <w:color w:val="auto"/>
              </w:rPr>
            </w:pPr>
          </w:p>
        </w:tc>
      </w:tr>
      <w:tr>
        <w:trPr>
          <w:trHeight w:val="176"/>
        </w:trPr>
        <w:tc>
          <w:tcPr>
            <w:tcW w:w="24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Wholesale</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21,019</w:t>
            </w:r>
          </w:p>
        </w:tc>
        <w:tc>
          <w:tcPr>
            <w:tcW w:w="120" w:type="dxa"/>
            <w:vAlign w:val="bottom"/>
          </w:tcPr>
          <w:p>
            <w:pPr>
              <w:spacing w:after="0"/>
              <w:rPr>
                <w:sz w:val="9"/>
                <w:szCs w:val="9"/>
                <w:color w:val="auto"/>
              </w:rPr>
            </w:pPr>
          </w:p>
        </w:tc>
        <w:tc>
          <w:tcPr>
            <w:tcW w:w="12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ind w:left="640"/>
              <w:spacing w:after="0" w:line="111" w:lineRule="exact"/>
              <w:rPr>
                <w:sz w:val="20"/>
                <w:szCs w:val="20"/>
                <w:color w:val="auto"/>
              </w:rPr>
            </w:pPr>
            <w:r>
              <w:rPr>
                <w:rFonts w:ascii="Times New Roman" w:cs="Times New Roman" w:eastAsia="Times New Roman" w:hAnsi="Times New Roman"/>
                <w:sz w:val="12"/>
                <w:szCs w:val="12"/>
                <w:color w:val="auto"/>
                <w:w w:val="96"/>
              </w:rPr>
              <w:t>21,659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Retail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39,455</w:t>
            </w:r>
          </w:p>
        </w:tc>
        <w:tc>
          <w:tcPr>
            <w:tcW w:w="120" w:type="dxa"/>
            <w:vAlign w:val="bottom"/>
          </w:tcPr>
          <w:p>
            <w:pPr>
              <w:spacing w:after="0"/>
              <w:rPr>
                <w:sz w:val="12"/>
                <w:szCs w:val="12"/>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w w:val="94"/>
              </w:rPr>
              <w:t>40,756</w:t>
            </w:r>
          </w:p>
        </w:tc>
        <w:tc>
          <w:tcPr>
            <w:tcW w:w="0" w:type="dxa"/>
            <w:vAlign w:val="bottom"/>
          </w:tcPr>
          <w:p>
            <w:pPr>
              <w:spacing w:after="0"/>
              <w:rPr>
                <w:sz w:val="1"/>
                <w:szCs w:val="1"/>
                <w:color w:val="auto"/>
              </w:rPr>
            </w:pPr>
          </w:p>
        </w:tc>
      </w:tr>
      <w:tr>
        <w:trPr>
          <w:trHeight w:val="172"/>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Corporate and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12,701</w:t>
            </w:r>
          </w:p>
        </w:tc>
        <w:tc>
          <w:tcPr>
            <w:tcW w:w="120" w:type="dxa"/>
            <w:vAlign w:val="bottom"/>
          </w:tcPr>
          <w:p>
            <w:pPr>
              <w:spacing w:after="0"/>
              <w:rPr>
                <w:sz w:val="14"/>
                <w:szCs w:val="14"/>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w w:val="94"/>
              </w:rPr>
              <w:t>14,632</w:t>
            </w:r>
          </w:p>
        </w:tc>
        <w:tc>
          <w:tcPr>
            <w:tcW w:w="0" w:type="dxa"/>
            <w:vAlign w:val="bottom"/>
          </w:tcPr>
          <w:p>
            <w:pPr>
              <w:spacing w:after="0"/>
              <w:rPr>
                <w:sz w:val="1"/>
                <w:szCs w:val="1"/>
                <w:color w:val="auto"/>
              </w:rPr>
            </w:pPr>
          </w:p>
        </w:tc>
      </w:tr>
      <w:tr>
        <w:trPr>
          <w:trHeight w:val="153"/>
        </w:trPr>
        <w:tc>
          <w:tcPr>
            <w:tcW w:w="246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auto"/>
              </w:rPr>
              <w:t>Total property and equipment, net</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73,175</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ind w:left="640"/>
              <w:spacing w:after="0" w:line="145" w:lineRule="exact"/>
              <w:rPr>
                <w:sz w:val="20"/>
                <w:szCs w:val="20"/>
                <w:color w:val="auto"/>
              </w:rPr>
            </w:pPr>
            <w:r>
              <w:rPr>
                <w:rFonts w:ascii="Times New Roman" w:cs="Times New Roman" w:eastAsia="Times New Roman" w:hAnsi="Times New Roman"/>
                <w:sz w:val="13"/>
                <w:szCs w:val="13"/>
                <w:color w:val="auto"/>
                <w:w w:val="89"/>
              </w:rPr>
              <w:t>77,047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68" w:lineRule="exact"/>
        <w:rPr>
          <w:sz w:val="20"/>
          <w:szCs w:val="20"/>
          <w:color w:val="auto"/>
        </w:rPr>
      </w:pPr>
    </w:p>
    <w:p>
      <w:pPr>
        <w:sectPr>
          <w:pgSz w:w="15840" w:h="12240" w:orient="landscape"/>
          <w:cols w:equalWidth="0" w:num="2">
            <w:col w:w="7200" w:space="720"/>
            <w:col w:w="6440"/>
          </w:cols>
          <w:pgMar w:left="740" w:top="1424" w:right="740" w:bottom="940" w:gutter="0" w:footer="0" w:header="0"/>
        </w:sectPr>
      </w:pPr>
    </w:p>
    <w:p>
      <w:pPr>
        <w:spacing w:after="0" w:line="60"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27</w:t>
      </w:r>
      <w:r>
        <w:rPr>
          <w:sz w:val="20"/>
          <w:szCs w:val="20"/>
          <w:color w:val="auto"/>
        </w:rPr>
        <w:tab/>
      </w:r>
      <w:r>
        <w:rPr>
          <w:rFonts w:ascii="Times New Roman" w:cs="Times New Roman" w:eastAsia="Times New Roman" w:hAnsi="Times New Roman"/>
          <w:sz w:val="12"/>
          <w:szCs w:val="12"/>
          <w:color w:val="auto"/>
        </w:rPr>
        <w:t>28</w:t>
      </w:r>
    </w:p>
    <w:p>
      <w:pPr>
        <w:sectPr>
          <w:pgSz w:w="15840" w:h="12240" w:orient="landscape"/>
          <w:cols w:equalWidth="0" w:num="1">
            <w:col w:w="14360"/>
          </w:cols>
          <w:pgMar w:left="740" w:top="1424" w:right="740" w:bottom="9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ind w:right="760"/>
        <w:spacing w:after="0" w:line="273" w:lineRule="auto"/>
        <w:rPr>
          <w:sz w:val="20"/>
          <w:szCs w:val="20"/>
          <w:color w:val="auto"/>
        </w:rPr>
      </w:pPr>
      <w:r>
        <w:rPr>
          <w:rFonts w:ascii="Times New Roman" w:cs="Times New Roman" w:eastAsia="Times New Roman" w:hAnsi="Times New Roman"/>
          <w:sz w:val="13"/>
          <w:szCs w:val="13"/>
          <w:color w:val="auto"/>
        </w:rPr>
        <w:t>Depreciation expense associated with the property and equipment shown above was included in income (loss) from operations in our consolidated statements of operations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5"/>
                <w:szCs w:val="15"/>
                <w:color w:val="auto"/>
              </w:rPr>
            </w:pPr>
          </w:p>
        </w:tc>
      </w:tr>
      <w:tr>
        <w:trPr>
          <w:trHeight w:val="263"/>
        </w:trPr>
        <w:tc>
          <w:tcPr>
            <w:tcW w:w="3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goods sold (wholesale segment)</w:t>
            </w:r>
          </w:p>
        </w:tc>
        <w:tc>
          <w:tcPr>
            <w:tcW w:w="560" w:type="dxa"/>
            <w:vAlign w:val="bottom"/>
          </w:tcPr>
          <w:p>
            <w:pPr>
              <w:jc w:val="right"/>
              <w:ind w:right="44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5"/>
              </w:rPr>
              <w:t>1,995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4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2,106</w:t>
            </w:r>
          </w:p>
        </w:tc>
        <w:tc>
          <w:tcPr>
            <w:tcW w:w="20" w:type="dxa"/>
            <w:vAlign w:val="bottom"/>
          </w:tcPr>
          <w:p>
            <w:pPr>
              <w:spacing w:after="0"/>
              <w:rPr>
                <w:sz w:val="22"/>
                <w:szCs w:val="22"/>
                <w:color w:val="auto"/>
              </w:rPr>
            </w:pPr>
          </w:p>
        </w:tc>
        <w:tc>
          <w:tcPr>
            <w:tcW w:w="160" w:type="dxa"/>
            <w:vAlign w:val="bottom"/>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2,124</w:t>
            </w:r>
          </w:p>
        </w:tc>
      </w:tr>
      <w:tr>
        <w:trPr>
          <w:trHeight w:val="149"/>
        </w:trPr>
        <w:tc>
          <w:tcPr>
            <w:tcW w:w="3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Wholesale segment</w:t>
            </w:r>
          </w:p>
        </w:tc>
        <w:tc>
          <w:tcPr>
            <w:tcW w:w="5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261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274</w:t>
            </w:r>
          </w:p>
        </w:tc>
      </w:tr>
      <w:tr>
        <w:trPr>
          <w:trHeight w:val="148"/>
        </w:trPr>
        <w:tc>
          <w:tcPr>
            <w:tcW w:w="3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3"/>
                <w:szCs w:val="13"/>
                <w:color w:val="auto"/>
              </w:rPr>
              <w:t>Retail segment</w:t>
            </w: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w w:val="95"/>
              </w:rPr>
              <w:t>3,884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w w:val="88"/>
              </w:rPr>
              <w:t>4,849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5,502</w:t>
            </w:r>
          </w:p>
        </w:tc>
        <w:tc>
          <w:tcPr>
            <w:tcW w:w="20" w:type="dxa"/>
            <w:vAlign w:val="bottom"/>
          </w:tcPr>
          <w:p>
            <w:pPr>
              <w:spacing w:after="0"/>
              <w:rPr>
                <w:sz w:val="12"/>
                <w:szCs w:val="12"/>
                <w:color w:val="auto"/>
              </w:rPr>
            </w:pPr>
          </w:p>
        </w:tc>
      </w:tr>
      <w:tr>
        <w:trPr>
          <w:trHeight w:val="172"/>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Corporate and Other</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2,599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88"/>
              </w:rPr>
              <w:t>2,644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20" w:type="dxa"/>
            <w:vAlign w:val="bottom"/>
          </w:tcPr>
          <w:p>
            <w:pPr>
              <w:spacing w:after="0"/>
              <w:rPr>
                <w:sz w:val="14"/>
                <w:szCs w:val="14"/>
                <w:color w:val="auto"/>
              </w:rPr>
            </w:pPr>
          </w:p>
        </w:tc>
      </w:tr>
      <w:tr>
        <w:trPr>
          <w:trHeight w:val="144"/>
        </w:trPr>
        <w:tc>
          <w:tcPr>
            <w:tcW w:w="350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Total included in selling, general and administrative expenses</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w w:val="95"/>
              </w:rPr>
              <w:t>6,748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w w:val="88"/>
              </w:rPr>
              <w:t>7,754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7,960</w:t>
            </w:r>
          </w:p>
        </w:tc>
        <w:tc>
          <w:tcPr>
            <w:tcW w:w="20" w:type="dxa"/>
            <w:vAlign w:val="bottom"/>
          </w:tcPr>
          <w:p>
            <w:pPr>
              <w:spacing w:after="0"/>
              <w:rPr>
                <w:sz w:val="12"/>
                <w:szCs w:val="12"/>
                <w:color w:val="auto"/>
              </w:rPr>
            </w:pPr>
          </w:p>
        </w:tc>
      </w:tr>
      <w:tr>
        <w:trPr>
          <w:trHeight w:val="148"/>
        </w:trPr>
        <w:tc>
          <w:tcPr>
            <w:tcW w:w="34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auto"/>
              </w:rPr>
              <w:t>Total depreciation expense included in income from operations</w:t>
            </w: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w w:val="95"/>
              </w:rPr>
              <w:t>8,743</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tcPr>
          <w:p>
            <w:pPr>
              <w:ind w:left="20"/>
              <w:spacing w:after="0" w:line="140" w:lineRule="exact"/>
              <w:rPr>
                <w:sz w:val="20"/>
                <w:szCs w:val="20"/>
                <w:color w:val="auto"/>
              </w:rPr>
            </w:pPr>
            <w:r>
              <w:rPr>
                <w:rFonts w:ascii="Times New Roman" w:cs="Times New Roman" w:eastAsia="Times New Roman" w:hAnsi="Times New Roman"/>
                <w:sz w:val="13"/>
                <w:szCs w:val="13"/>
                <w:color w:val="auto"/>
                <w:w w:val="88"/>
              </w:rPr>
              <w:t>9,860</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10,084</w:t>
            </w:r>
          </w:p>
        </w:tc>
        <w:tc>
          <w:tcPr>
            <w:tcW w:w="20" w:type="dxa"/>
            <w:vAlign w:val="bottom"/>
          </w:tcPr>
          <w:p>
            <w:pPr>
              <w:spacing w:after="0"/>
              <w:rPr>
                <w:sz w:val="12"/>
                <w:szCs w:val="12"/>
                <w:color w:val="auto"/>
              </w:rPr>
            </w:pPr>
          </w:p>
        </w:tc>
      </w:tr>
    </w:tbl>
    <w:p>
      <w:pPr>
        <w:spacing w:after="0" w:line="261" w:lineRule="exact"/>
        <w:rPr>
          <w:sz w:val="20"/>
          <w:szCs w:val="20"/>
          <w:color w:val="auto"/>
        </w:rPr>
      </w:pPr>
    </w:p>
    <w:p>
      <w:pPr>
        <w:ind w:left="240" w:hanging="235"/>
        <w:spacing w:after="0"/>
        <w:tabs>
          <w:tab w:leader="none" w:pos="24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Goodwill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carrying amount of goodwill in our balance sheets at both November 29, 2025 and November 30, 2024 is as follows:</w:t>
      </w:r>
    </w:p>
    <w:p>
      <w:pPr>
        <w:spacing w:after="0" w:line="144" w:lineRule="exact"/>
        <w:rPr>
          <w:sz w:val="20"/>
          <w:szCs w:val="20"/>
          <w:color w:val="auto"/>
        </w:rPr>
      </w:pPr>
    </w:p>
    <w:tbl>
      <w:tblPr>
        <w:tblLayout w:type="fixed"/>
        <w:tblInd w:w="1060" w:type="dxa"/>
        <w:tblCellMar>
          <w:top w:w="0" w:type="dxa"/>
          <w:left w:w="0" w:type="dxa"/>
          <w:bottom w:w="0" w:type="dxa"/>
          <w:right w:w="0" w:type="dxa"/>
        </w:tblCellMar>
      </w:tblPr>
      <w:tr>
        <w:trPr>
          <w:trHeight w:val="158"/>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Recorded</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Impairment</w:t>
            </w:r>
          </w:p>
        </w:tc>
        <w:tc>
          <w:tcPr>
            <w:tcW w:w="120" w:type="dxa"/>
            <w:vAlign w:val="bottom"/>
          </w:tcPr>
          <w:p>
            <w:pPr>
              <w:spacing w:after="0"/>
              <w:rPr>
                <w:sz w:val="13"/>
                <w:szCs w:val="13"/>
                <w:color w:val="auto"/>
              </w:rPr>
            </w:pP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77"/>
        </w:trPr>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60"/>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Wholesale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9,188</w:t>
            </w:r>
          </w:p>
        </w:tc>
        <w:tc>
          <w:tcPr>
            <w:tcW w:w="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(1,971)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7,217</w:t>
            </w:r>
          </w:p>
        </w:tc>
      </w:tr>
      <w:tr>
        <w:trPr>
          <w:trHeight w:val="148"/>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Retail</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1,926</w:t>
            </w: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rPr>
              <w:t>(1,926)</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r>
      <w:tr>
        <w:trPr>
          <w:trHeight w:val="17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Corporate and 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(5,409)</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86"/>
        </w:trPr>
        <w:tc>
          <w:tcPr>
            <w:tcW w:w="1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goodwill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16,523</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(9,306)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7,217</w:t>
            </w:r>
          </w:p>
        </w:tc>
      </w:tr>
      <w:tr>
        <w:trPr>
          <w:trHeight w:val="33"/>
        </w:trPr>
        <w:tc>
          <w:tcPr>
            <w:tcW w:w="1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in the carrying amounts of goodwill by reportable segment during fiscal 2025, 2024 and 2023 were as follows:</w:t>
      </w:r>
    </w:p>
    <w:p>
      <w:pPr>
        <w:spacing w:after="0" w:line="144" w:lineRule="exact"/>
        <w:rPr>
          <w:sz w:val="20"/>
          <w:szCs w:val="20"/>
          <w:color w:val="auto"/>
        </w:rPr>
      </w:pPr>
    </w:p>
    <w:tbl>
      <w:tblPr>
        <w:tblLayout w:type="fixed"/>
        <w:tblInd w:w="420" w:type="dxa"/>
        <w:tblCellMar>
          <w:top w:w="0" w:type="dxa"/>
          <w:left w:w="0" w:type="dxa"/>
          <w:bottom w:w="0" w:type="dxa"/>
          <w:right w:w="0" w:type="dxa"/>
        </w:tblCellMar>
      </w:tblPr>
      <w:tr>
        <w:trPr>
          <w:trHeight w:val="158"/>
        </w:trPr>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44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Wholesale</w:t>
            </w:r>
          </w:p>
        </w:tc>
        <w:tc>
          <w:tcPr>
            <w:tcW w:w="140" w:type="dxa"/>
            <w:vAlign w:val="bottom"/>
          </w:tcPr>
          <w:p>
            <w:pPr>
              <w:spacing w:after="0"/>
              <w:rPr>
                <w:sz w:val="15"/>
                <w:szCs w:val="15"/>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5"/>
                <w:szCs w:val="15"/>
                <w:color w:val="auto"/>
              </w:rPr>
            </w:pPr>
          </w:p>
        </w:tc>
      </w:tr>
      <w:tr>
        <w:trPr>
          <w:trHeight w:val="259"/>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November 26, 2022</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7,217</w:t>
            </w:r>
          </w:p>
        </w:tc>
        <w:tc>
          <w:tcPr>
            <w:tcW w:w="140" w:type="dxa"/>
            <w:vAlign w:val="bottom"/>
          </w:tcPr>
          <w:p>
            <w:pPr>
              <w:spacing w:after="0"/>
              <w:rPr>
                <w:sz w:val="22"/>
                <w:szCs w:val="22"/>
                <w:color w:val="auto"/>
              </w:rPr>
            </w:pPr>
          </w:p>
        </w:tc>
        <w:tc>
          <w:tcPr>
            <w:tcW w:w="560" w:type="dxa"/>
            <w:vAlign w:val="bottom"/>
          </w:tcPr>
          <w:p>
            <w:pPr>
              <w:jc w:val="right"/>
              <w:ind w:right="44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20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5,554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12,771</w:t>
            </w:r>
          </w:p>
        </w:tc>
      </w:tr>
      <w:tr>
        <w:trPr>
          <w:trHeight w:val="149"/>
        </w:trPr>
        <w:tc>
          <w:tcPr>
            <w:tcW w:w="2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w:t>
            </w:r>
          </w:p>
        </w:tc>
        <w:tc>
          <w:tcPr>
            <w:tcW w:w="1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4"/>
        </w:trPr>
        <w:tc>
          <w:tcPr>
            <w:tcW w:w="2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Full impairment of Noa Home goodwill</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(5,409)</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(5,409)</w:t>
            </w:r>
          </w:p>
        </w:tc>
      </w:tr>
      <w:tr>
        <w:trPr>
          <w:trHeight w:val="20"/>
        </w:trPr>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November 25, 2023</w:t>
            </w:r>
          </w:p>
        </w:tc>
        <w:tc>
          <w:tcPr>
            <w:tcW w:w="2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7,217</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7,217</w:t>
            </w:r>
          </w:p>
        </w:tc>
      </w:tr>
      <w:tr>
        <w:trPr>
          <w:trHeight w:val="174"/>
        </w:trPr>
        <w:tc>
          <w:tcPr>
            <w:tcW w:w="2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changes in fiscal 2024</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November 30, 2024</w:t>
            </w:r>
          </w:p>
        </w:tc>
        <w:tc>
          <w:tcPr>
            <w:tcW w:w="2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7,217</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7,217</w:t>
            </w:r>
          </w:p>
        </w:tc>
      </w:tr>
      <w:tr>
        <w:trPr>
          <w:trHeight w:val="174"/>
        </w:trPr>
        <w:tc>
          <w:tcPr>
            <w:tcW w:w="2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changes in fiscal 2025</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November 29, 2025</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7,217</w:t>
            </w:r>
          </w:p>
        </w:tc>
        <w:tc>
          <w:tcPr>
            <w:tcW w:w="140" w:type="dxa"/>
            <w:vAlign w:val="bottom"/>
          </w:tcPr>
          <w:p>
            <w:pPr>
              <w:spacing w:after="0"/>
              <w:rPr>
                <w:sz w:val="24"/>
                <w:szCs w:val="24"/>
                <w:color w:val="auto"/>
              </w:rPr>
            </w:pPr>
          </w:p>
        </w:tc>
        <w:tc>
          <w:tcPr>
            <w:tcW w:w="560" w:type="dxa"/>
            <w:vAlign w:val="bottom"/>
          </w:tcPr>
          <w:p>
            <w:pPr>
              <w:jc w:val="right"/>
              <w:ind w:right="44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20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7,217</w:t>
            </w:r>
          </w:p>
        </w:tc>
      </w:tr>
      <w:tr>
        <w:trPr>
          <w:trHeight w:val="20"/>
        </w:trPr>
        <w:tc>
          <w:tcPr>
            <w:tcW w:w="244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right="760"/>
        <w:spacing w:after="0" w:line="242" w:lineRule="auto"/>
        <w:rPr>
          <w:sz w:val="20"/>
          <w:szCs w:val="20"/>
          <w:color w:val="auto"/>
        </w:rPr>
      </w:pPr>
      <w:r>
        <w:rPr>
          <w:rFonts w:ascii="Times New Roman" w:cs="Times New Roman" w:eastAsia="Times New Roman" w:hAnsi="Times New Roman"/>
          <w:sz w:val="13"/>
          <w:szCs w:val="13"/>
          <w:color w:val="auto"/>
        </w:rPr>
        <w:t>We performed the annual tests for impairment of the carrying value of our goodwill as of the beginning of the fourth quarter of fiscal 2025, 2024 and 2023. Based on the initial qualitative analysis performed under ASC Topic 350, we concluded that is was not more likely than not that the carrying value of our upholstery reporting unit within our wholesale segment exceeded its fair value at November 29, 2025, November 30, 2024 and November 25, 2023. In fiscal 2023, due to the actual and expected future underperformance of our Noa Home reporting unit relative to management's original expectations, we performed a strategic review of the operations as of the beginning of the fourth quarter and concluded that Noa Home should exit the Australian market and focus more on the North American market. Coupled with the financial underperformance and the exit from Australia, we performed a quantitative test of the carrying value of the goodwill recognized as part of the 2022 acquisition of Noa Home and concluded that it was necessary to fully impair the carrying value of the Noa Home goodwill, resulting in a non-cash impairment charge of $5,409 in fiscal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 xml:space="preserve">The determination of the fair value of our reporting units is based on a combination of a market approach, which considers benchmark company market multiples and comparable transactions occurring within the last two years and an income approach, which utilizes discounted cash flows for each reporting unit and other Level 3 inputs as specified in the fair value hierarchy in ASC Topic 820, </w:t>
      </w:r>
      <w:r>
        <w:rPr>
          <w:rFonts w:ascii="Times New Roman" w:cs="Times New Roman" w:eastAsia="Times New Roman" w:hAnsi="Times New Roman"/>
          <w:sz w:val="13"/>
          <w:szCs w:val="13"/>
          <w:i w:val="1"/>
          <w:iCs w:val="1"/>
          <w:color w:val="auto"/>
        </w:rPr>
        <w:t>Fair Value Measurements and Disclosure</w:t>
      </w:r>
      <w:r>
        <w:rPr>
          <w:rFonts w:ascii="Times New Roman" w:cs="Times New Roman" w:eastAsia="Times New Roman" w:hAnsi="Times New Roman"/>
          <w:sz w:val="13"/>
          <w:szCs w:val="13"/>
          <w:color w:val="auto"/>
        </w:rPr>
        <w:t xml:space="preserve"> (see Note 3) The valuation of the Noa Home reporting unit was primarily based on the market approach due to significant uncertainty in the future cash flows of Noa Home. Under the income approach, we determine fair value based on the present value of the most recent cash flow projections for each reporting unit as of the date of the analysis and calculate a terminal value utilizing a terminal growth rate. The significant assumptions under this approach include, among others: income projections, which are dependent on future sales, new product introductions, customer behavior, competitor pricing, operating expenses, the discount rate, and the terminal growth rate.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w:t>
      </w:r>
    </w:p>
    <w:p>
      <w:pPr>
        <w:spacing w:after="0" w:line="275" w:lineRule="exact"/>
        <w:rPr>
          <w:sz w:val="20"/>
          <w:szCs w:val="20"/>
          <w:color w:val="auto"/>
        </w:rPr>
      </w:pPr>
    </w:p>
    <w:p>
      <w:pPr>
        <w:ind w:left="240" w:hanging="235"/>
        <w:spacing w:after="0"/>
        <w:tabs>
          <w:tab w:leader="none" w:pos="240" w:val="left"/>
        </w:tabs>
        <w:numPr>
          <w:ilvl w:val="0"/>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Intangible Assets, Net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Intangible assets at November 29, 2025 and November 30, 2024 consisted of the following:</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Intangibles subject to amortization: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November 29, 2025</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November 30, 2024</w:t>
            </w:r>
          </w:p>
        </w:tc>
        <w:tc>
          <w:tcPr>
            <w:tcW w:w="0" w:type="dxa"/>
            <w:vAlign w:val="bottom"/>
          </w:tcPr>
          <w:p>
            <w:pPr>
              <w:spacing w:after="0"/>
              <w:rPr>
                <w:sz w:val="1"/>
                <w:szCs w:val="1"/>
                <w:color w:val="auto"/>
              </w:rPr>
            </w:pPr>
          </w:p>
        </w:tc>
      </w:tr>
      <w:tr>
        <w:trPr>
          <w:trHeight w:val="134"/>
        </w:trPr>
        <w:tc>
          <w:tcPr>
            <w:tcW w:w="2340" w:type="dxa"/>
            <w:vAlign w:val="bottom"/>
            <w:gridSpan w:val="2"/>
            <w:vMerge w:val="continue"/>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Customer relationships</w:t>
            </w: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4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(450 )</w:t>
            </w:r>
          </w:p>
        </w:tc>
        <w:tc>
          <w:tcPr>
            <w:tcW w:w="4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(392 )</w:t>
            </w:r>
          </w:p>
        </w:tc>
        <w:tc>
          <w:tcPr>
            <w:tcW w:w="0" w:type="dxa"/>
            <w:vAlign w:val="bottom"/>
          </w:tcPr>
          <w:p>
            <w:pPr>
              <w:spacing w:after="0"/>
              <w:rPr>
                <w:sz w:val="1"/>
                <w:szCs w:val="1"/>
                <w:color w:val="auto"/>
              </w:rPr>
            </w:pPr>
          </w:p>
        </w:tc>
      </w:tr>
      <w:tr>
        <w:trPr>
          <w:trHeight w:val="136"/>
        </w:trPr>
        <w:tc>
          <w:tcPr>
            <w:tcW w:w="234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Intangibles subject to amortization, net</w:t>
            </w:r>
          </w:p>
        </w:tc>
        <w:tc>
          <w:tcPr>
            <w:tcW w:w="4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62</w:t>
            </w: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Intangibles not subject to amortization:</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Trade names</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6,848</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intangible assets</w:t>
            </w: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6,910</w:t>
            </w:r>
          </w:p>
        </w:tc>
        <w:tc>
          <w:tcPr>
            <w:tcW w:w="1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weighted average useful lives of our finite-lived intangible assets and remaining amortization periods as of November 29, 2025 are as follows:</w:t>
      </w:r>
    </w:p>
    <w:p>
      <w:pPr>
        <w:spacing w:after="0" w:line="111" w:lineRule="exact"/>
        <w:rPr>
          <w:sz w:val="20"/>
          <w:szCs w:val="20"/>
          <w:color w:val="auto"/>
        </w:rPr>
      </w:pPr>
    </w:p>
    <w:tbl>
      <w:tblPr>
        <w:tblLayout w:type="fixed"/>
        <w:tblInd w:w="1400" w:type="dxa"/>
        <w:tblCellMar>
          <w:top w:w="0" w:type="dxa"/>
          <w:left w:w="0" w:type="dxa"/>
          <w:bottom w:w="0" w:type="dxa"/>
          <w:right w:w="0" w:type="dxa"/>
        </w:tblCellMar>
      </w:tblPr>
      <w:tr>
        <w:trPr>
          <w:trHeight w:val="158"/>
        </w:trPr>
        <w:tc>
          <w:tcPr>
            <w:tcW w:w="1460" w:type="dxa"/>
            <w:vAlign w:val="bottom"/>
          </w:tcPr>
          <w:p>
            <w:pPr>
              <w:spacing w:after="0"/>
              <w:rPr>
                <w:sz w:val="13"/>
                <w:szCs w:val="13"/>
                <w:color w:val="auto"/>
              </w:rPr>
            </w:pPr>
          </w:p>
        </w:tc>
        <w:tc>
          <w:tcPr>
            <w:tcW w:w="880" w:type="dxa"/>
            <w:vAlign w:val="bottom"/>
            <w:vMerge w:val="restart"/>
          </w:tcPr>
          <w:p>
            <w:pPr>
              <w:jc w:val="center"/>
              <w:ind w:left="55"/>
              <w:spacing w:after="0"/>
              <w:rPr>
                <w:sz w:val="20"/>
                <w:szCs w:val="20"/>
                <w:color w:val="auto"/>
              </w:rPr>
            </w:pPr>
            <w:r>
              <w:rPr>
                <w:rFonts w:ascii="Times New Roman" w:cs="Times New Roman" w:eastAsia="Times New Roman" w:hAnsi="Times New Roman"/>
                <w:sz w:val="13"/>
                <w:szCs w:val="13"/>
                <w:b w:val="1"/>
                <w:bCs w:val="1"/>
                <w:color w:val="auto"/>
                <w:w w:val="98"/>
              </w:rPr>
              <w:t>Useful Life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9"/>
              </w:rPr>
              <w:t>Amortization</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88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3"/>
                <w:szCs w:val="13"/>
                <w:b w:val="1"/>
                <w:bCs w:val="1"/>
                <w:color w:val="auto"/>
                <w:w w:val="98"/>
              </w:rPr>
              <w:t>in Years</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Period in Years</w:t>
            </w:r>
          </w:p>
        </w:tc>
        <w:tc>
          <w:tcPr>
            <w:tcW w:w="0" w:type="dxa"/>
            <w:vAlign w:val="bottom"/>
          </w:tcPr>
          <w:p>
            <w:pPr>
              <w:spacing w:after="0"/>
              <w:rPr>
                <w:sz w:val="1"/>
                <w:szCs w:val="1"/>
                <w:color w:val="auto"/>
              </w:rPr>
            </w:pPr>
          </w:p>
        </w:tc>
      </w:tr>
      <w:tr>
        <w:trPr>
          <w:trHeight w:val="301"/>
        </w:trPr>
        <w:tc>
          <w:tcPr>
            <w:tcW w:w="2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Our trade name intangible asset at November 29, 2025 and November 30, 2024 is associated with Lane Venture. Because it is our intention to maintain and grow this brand, it is considered to be an indefinite-lived intangible asset. The amortization expense associated with finite-lived intangible assets during fiscal 2025, 2024 and 2023 was $58 each year and is included in selling, general and administrative expense in our consolidated statement of operations. All expense arising from the amortization of intangible assets is associated with our wholesale segment. Estimated future amortization expense for intangible assets that exist at November 29, 2025 is as follows:</w:t>
      </w:r>
    </w:p>
    <w:p>
      <w:pPr>
        <w:spacing w:after="0" w:line="136" w:lineRule="exact"/>
        <w:rPr>
          <w:sz w:val="20"/>
          <w:szCs w:val="20"/>
          <w:color w:val="auto"/>
        </w:rPr>
      </w:pPr>
    </w:p>
    <w:tbl>
      <w:tblPr>
        <w:tblLayout w:type="fixed"/>
        <w:tblInd w:w="1900" w:type="dxa"/>
        <w:tblCellMar>
          <w:top w:w="0" w:type="dxa"/>
          <w:left w:w="0" w:type="dxa"/>
          <w:bottom w:w="0" w:type="dxa"/>
          <w:right w:w="0" w:type="dxa"/>
        </w:tblCellMar>
      </w:tblPr>
      <w:tr>
        <w:trPr>
          <w:trHeight w:val="168"/>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2026</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68"/>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2027</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2028</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2029</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2030</w:t>
            </w: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6"/>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9"/>
        </w:trPr>
        <w:tc>
          <w:tcPr>
            <w:tcW w:w="1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5840" w:h="12240" w:orient="landscape"/>
          <w:cols w:equalWidth="0" w:num="2">
            <w:col w:w="7200" w:space="720"/>
            <w:col w:w="6440"/>
          </w:cols>
          <w:pgMar w:left="740" w:top="1424" w:right="740" w:bottom="940" w:gutter="0" w:footer="0" w:header="0"/>
        </w:sectPr>
      </w:pPr>
    </w:p>
    <w:p>
      <w:pPr>
        <w:spacing w:after="0" w:line="27"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29</w:t>
      </w:r>
      <w:r>
        <w:rPr>
          <w:sz w:val="20"/>
          <w:szCs w:val="20"/>
          <w:color w:val="auto"/>
        </w:rPr>
        <w:tab/>
      </w:r>
      <w:r>
        <w:rPr>
          <w:rFonts w:ascii="Times New Roman" w:cs="Times New Roman" w:eastAsia="Times New Roman" w:hAnsi="Times New Roman"/>
          <w:sz w:val="12"/>
          <w:szCs w:val="12"/>
          <w:color w:val="auto"/>
        </w:rPr>
        <w:t>30</w:t>
      </w:r>
    </w:p>
    <w:p>
      <w:pPr>
        <w:sectPr>
          <w:pgSz w:w="15840" w:h="12240" w:orient="landscape"/>
          <w:cols w:equalWidth="0" w:num="1">
            <w:col w:w="14360"/>
          </w:cols>
          <w:pgMar w:left="740" w:top="1424" w:right="740" w:bottom="9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37" w:lineRule="exact"/>
        <w:rPr>
          <w:sz w:val="20"/>
          <w:szCs w:val="20"/>
          <w:color w:val="auto"/>
        </w:rPr>
      </w:pPr>
    </w:p>
    <w:p>
      <w:pPr>
        <w:ind w:left="240" w:hanging="235"/>
        <w:spacing w:after="0"/>
        <w:tabs>
          <w:tab w:leader="none" w:pos="24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Bank Credit Facility</w:t>
      </w:r>
    </w:p>
    <w:p>
      <w:pPr>
        <w:spacing w:after="0" w:line="152"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2"/>
          <w:szCs w:val="12"/>
          <w:color w:val="auto"/>
        </w:rPr>
        <w:t>On May 15, 2024, we entered into the Eighth Amended and Restated Credit Agreement with our bank (the “Credit Facility”). This Credit Facility provides for a line of credit of up to $25,000. At November 29, 2025 and November 30, 2024, we had $8,182 and $6,013, respectively, outstanding under standby letters of credit against our line. The line bears interest at the One-Month Term Secured Overnight Financing Rate (“One-Month Term SOFR”) plus 1.75% and is secured by our accounts receivable (Note 4) and inventory (Note 5).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12" w:lineRule="exact"/>
        <w:rPr>
          <w:sz w:val="20"/>
          <w:szCs w:val="20"/>
          <w:color w:val="auto"/>
        </w:rPr>
      </w:pPr>
    </w:p>
    <w:p>
      <w:pPr>
        <w:ind w:left="480" w:hanging="242"/>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Fixed Charge Coverage Ratio (as defined in the Credit Facility) of not less than 1.2 times and</w:t>
      </w:r>
    </w:p>
    <w:p>
      <w:pPr>
        <w:spacing w:after="0" w:line="147" w:lineRule="exact"/>
        <w:rPr>
          <w:rFonts w:ascii="Times New Roman" w:cs="Times New Roman" w:eastAsia="Times New Roman" w:hAnsi="Times New Roman"/>
          <w:sz w:val="13"/>
          <w:szCs w:val="13"/>
          <w:color w:val="auto"/>
        </w:rPr>
      </w:pPr>
    </w:p>
    <w:p>
      <w:pPr>
        <w:ind w:left="480" w:right="760" w:hanging="242"/>
        <w:spacing w:after="0" w:line="274" w:lineRule="auto"/>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Lease Adjusted Leverage to EBITDAR Ratio (as defined in the Credit Facility) not to exceed 3.35 times.</w:t>
      </w:r>
    </w:p>
    <w:p>
      <w:pPr>
        <w:spacing w:after="0" w:line="105" w:lineRule="exact"/>
        <w:rPr>
          <w:sz w:val="20"/>
          <w:szCs w:val="20"/>
          <w:color w:val="auto"/>
        </w:rPr>
      </w:pPr>
    </w:p>
    <w:p>
      <w:pPr>
        <w:jc w:val="both"/>
        <w:ind w:right="760"/>
        <w:spacing w:after="0" w:line="273" w:lineRule="auto"/>
        <w:rPr>
          <w:sz w:val="20"/>
          <w:szCs w:val="20"/>
          <w:color w:val="auto"/>
        </w:rPr>
      </w:pPr>
      <w:r>
        <w:rPr>
          <w:rFonts w:ascii="Times New Roman" w:cs="Times New Roman" w:eastAsia="Times New Roman" w:hAnsi="Times New Roman"/>
          <w:sz w:val="12"/>
          <w:szCs w:val="12"/>
          <w:color w:val="auto"/>
        </w:rPr>
        <w:t>Since our used commitment was less than $8,250 at November 29, 2025, we were not required to test the Consolidated Fixed Charge Coverage Ratio or the Consolidated Lease Adjusted Leverage to EBITDAR Ratio. However, had we been required to test those ratios, we would have been in full compliance. Consequently, our availability under the Credit Facility is currently $16,818. As of November 29, 2025, the Credit Facility was scheduled to expire on January 31, 2027. Subsequent to November 29, 2025, the Credit Facility has been extended through January 31, 2029 under substantially the same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3" w:lineRule="exact"/>
        <w:rPr>
          <w:sz w:val="20"/>
          <w:szCs w:val="20"/>
          <w:color w:val="auto"/>
        </w:rPr>
      </w:pPr>
    </w:p>
    <w:p>
      <w:pPr>
        <w:ind w:right="4100" w:firstLine="5"/>
        <w:spacing w:after="0" w:line="480" w:lineRule="auto"/>
        <w:tabs>
          <w:tab w:leader="none" w:pos="233" w:val="left"/>
        </w:tabs>
        <w:numPr>
          <w:ilvl w:val="0"/>
          <w:numId w:val="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Post-Employment Benefit Obligations Management Savings Plan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On May 1, 2017, our Board of Directors, upon the recommendation of the Organization, Compensation and Nominating Committee (the “Committee”), adopted the Bassett Furniture Industries, Incorporated Management Savings Plan (the “Plan”). The Plan is an unfunded, nonqualified deferred compensation plan maintained for the benefit of certain highly compensated or management level employees.</w:t>
      </w:r>
    </w:p>
    <w:p>
      <w:pPr>
        <w:spacing w:after="0" w:line="1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3"/>
          <w:szCs w:val="13"/>
          <w:color w:val="auto"/>
        </w:rPr>
        <w:t>The Plan is an account-based plan under which (i) participants may defer voluntarily the payment of current compensation to future years (“participant deferrals”) and (ii) the Company may make annual awards to participants payable in future years (“Company contributions”). The Plan permits each participant to defer up to 75% of base salary and up to 100% of any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Plan. Each participant’s account will be adjusted to reflect gains and losses based on the performance of the selected investment alternatives. A participant may receive distributions from the Plan: (1) 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 Expense associated with deferred compensation under the Plan was $537, $925 and $46 for fiscal 2025, 2024 and 2023, respectively, and is included in selling, general and administrative expenses in the accompanying statements of operations. Our liability for Company contributions and participant deferrals at November 29, 2025 and November 30, 2024 was $3,968 and $3,486, respectively, and is included in post-employment benefit obligations in our consolidated balance sheets.</w:t>
      </w:r>
    </w:p>
    <w:p>
      <w:pPr>
        <w:spacing w:after="0" w:line="1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On May 2, 2017, we made Long Term Cash Awards (“LTC Awards”) totaling $2,000 under the Plan to certain management employees in the amount of $400 each. The LTC Awards vest in full on the first anniversary of the date of the award if the participant has reached age 63 by that time, or, if later, on the date the participant reaches age 63, provided in either instance that the participant is still employed by the Company at that time. If not previously vested, the awards will also vest immediately upon the death or disability of the participant prior to the participant’s separation from service. The awards will be payable in 10 equal annual installments following the participant’s death, disability or separation from service. We are accounting for the LTC Awards as a defined benefit pension plan. During fiscal 2024 and 2023, we invested $343 and $1,019 in life insurance policies covering all participants in the Plan. During fiscal 2025, we received a net refund of premiums paid of $28. At November 29, 2025, these policies including those entered into prior to fiscal 2024, have a net death benefit of $16,343 for which the Company is the sole beneficiary. These policies are intended to provide a potential source of funds to meet the obligations arising from the deferred compensation and LTC Awards under the Plan and serve as an economic hedge of the financial impact of changes in the liabilities. They are held in an irrevocable trust but are subject to claims of creditors in the event of the Company’s insolvency.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Supplemental Retirement Income Plan</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have an unfunded Supplemental Retirement Income Plan (the “Supplemental Plan”) that covers one current and certain former executives. Upon retirement, the Supplemental Plan provides for lifetime monthly payments in an amount equal to 65% of the participant’s final average compensation as defined in the Supplemental Plan, which is reduced by certain social security benefits to be received and other benefits provided by us. The Supplemental Plan also provides a death benefit that is calculated as (a) prior to retirement death, which pays the beneficiary 50% of final average annual compensation for a period of 120 months, or (b) post-retirement death, which pays the beneficiary 200% of final average compensation in a single payment. We own life insurance policies on these executives with a current net death benefit of $ 1,542 at November 29, 2025. We expect that any death benefit payable out of the plan would be substantially offset by the proceeds received from our life insurance policy upon the death of the executive. Funding for the remaining cash flows is expected to be provided through operations. There are no benefits payable as a result of a termination of employment for any reason other than death or retirement, other than a change of control provision which provides for the immediate vesting and payment of the retirement benefit under the Supplemental Plan in the event of an employment termination resulting from a change of control.</w:t>
      </w:r>
    </w:p>
    <w:p>
      <w:pPr>
        <w:spacing w:after="0" w:line="20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32</w:t>
      </w:r>
    </w:p>
    <w:p>
      <w:pPr>
        <w:sectPr>
          <w:pgSz w:w="15840" w:h="12240" w:orient="landscape"/>
          <w:cols w:equalWidth="0" w:num="2">
            <w:col w:w="7200" w:space="720"/>
            <w:col w:w="6440"/>
          </w:cols>
          <w:pgMar w:left="740" w:top="1424" w:right="740" w:bottom="929"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ind w:right="760"/>
        <w:spacing w:after="0" w:line="273" w:lineRule="auto"/>
        <w:rPr>
          <w:sz w:val="20"/>
          <w:szCs w:val="20"/>
          <w:color w:val="auto"/>
        </w:rPr>
      </w:pPr>
      <w:r>
        <w:rPr>
          <w:rFonts w:ascii="Times New Roman" w:cs="Times New Roman" w:eastAsia="Times New Roman" w:hAnsi="Times New Roman"/>
          <w:sz w:val="13"/>
          <w:szCs w:val="13"/>
          <w:color w:val="auto"/>
        </w:rPr>
        <w:t>Aggregated summarized information for the Supplemental Plan and the LTC Awards, measured as of the end of each year presented, is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5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Change in Benefit Obligation:</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Projected benefit obligation at beginning of year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Service cost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cost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Actuarial (gains) and losses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(170 )</w:t>
            </w:r>
          </w:p>
        </w:tc>
        <w:tc>
          <w:tcPr>
            <w:tcW w:w="0" w:type="dxa"/>
            <w:vAlign w:val="bottom"/>
          </w:tcPr>
          <w:p>
            <w:pPr>
              <w:spacing w:after="0"/>
              <w:rPr>
                <w:sz w:val="1"/>
                <w:szCs w:val="1"/>
                <w:color w:val="auto"/>
              </w:rPr>
            </w:pPr>
          </w:p>
        </w:tc>
      </w:tr>
      <w:tr>
        <w:trPr>
          <w:trHeight w:val="180"/>
        </w:trPr>
        <w:tc>
          <w:tcPr>
            <w:tcW w:w="3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Benefits paid</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(296 )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(296 )</w:t>
            </w:r>
          </w:p>
        </w:tc>
        <w:tc>
          <w:tcPr>
            <w:tcW w:w="0" w:type="dxa"/>
            <w:vAlign w:val="bottom"/>
          </w:tcPr>
          <w:p>
            <w:pPr>
              <w:spacing w:after="0"/>
              <w:rPr>
                <w:sz w:val="1"/>
                <w:szCs w:val="1"/>
                <w:color w:val="auto"/>
              </w:rPr>
            </w:pPr>
          </w:p>
        </w:tc>
      </w:tr>
      <w:tr>
        <w:trPr>
          <w:trHeight w:val="167"/>
        </w:trPr>
        <w:tc>
          <w:tcPr>
            <w:tcW w:w="35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Projected benefit obligation at end of year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Accumulated Benefit Obligation</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Discount rate used to value the ending benefit obligations: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4.50 %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0" w:type="dxa"/>
            <w:vAlign w:val="bottom"/>
          </w:tcPr>
          <w:p>
            <w:pPr>
              <w:spacing w:after="0"/>
              <w:rPr>
                <w:sz w:val="1"/>
                <w:szCs w:val="1"/>
                <w:color w:val="auto"/>
              </w:rPr>
            </w:pPr>
          </w:p>
        </w:tc>
      </w:tr>
      <w:tr>
        <w:trPr>
          <w:trHeight w:val="331"/>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Amounts recognized in the consolidated balance sheet: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Current liabilities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Noncurrent liabilities</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auto"/>
              </w:rPr>
              <w:t>Total amounts recognized</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520" w:type="dxa"/>
            <w:vAlign w:val="bottom"/>
            <w:gridSpan w:val="5"/>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Amounts recognized in accumulated other comprehensive income before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5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income tax effects: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Actuarial gain</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(972 )</w:t>
            </w:r>
          </w:p>
        </w:tc>
        <w:tc>
          <w:tcPr>
            <w:tcW w:w="20" w:type="dxa"/>
            <w:vAlign w:val="bottom"/>
          </w:tcPr>
          <w:p>
            <w:pPr>
              <w:spacing w:after="0"/>
              <w:rPr>
                <w:sz w:val="14"/>
                <w:szCs w:val="14"/>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(1,066 )</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amount recognized</w:t>
            </w: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3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recognized in net periodic benefit cost and accumulated other</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3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Components of Net Periodic Pension Cost: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prior service cost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other loss</w:t>
            </w:r>
          </w:p>
        </w:tc>
        <w:tc>
          <w:tcPr>
            <w:tcW w:w="2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(22 )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periodic pension cost</w:t>
            </w: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Assumptions used to determine net periodic pension cost: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2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5.92 %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5.38 %</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Increase in future compensation levels</w:t>
            </w:r>
          </w:p>
        </w:tc>
        <w:tc>
          <w:tcPr>
            <w:tcW w:w="2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3.00 %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3.00 %</w:t>
            </w:r>
          </w:p>
        </w:tc>
        <w:tc>
          <w:tcPr>
            <w:tcW w:w="0" w:type="dxa"/>
            <w:vAlign w:val="bottom"/>
          </w:tcPr>
          <w:p>
            <w:pPr>
              <w:spacing w:after="0"/>
              <w:rPr>
                <w:sz w:val="1"/>
                <w:szCs w:val="1"/>
                <w:color w:val="auto"/>
              </w:rPr>
            </w:pPr>
          </w:p>
        </w:tc>
      </w:tr>
      <w:tr>
        <w:trPr>
          <w:trHeight w:val="501"/>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Estimated Future Benefit Payments (with mortality):</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Fiscal 2026</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Fiscal 2027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Fiscal 2028</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Fiscal 2029</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Fiscal 2030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Fiscal 2031 through 2035</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color w:val="auto"/>
        </w:rPr>
        <w:t>Of the $972 net gain recognized in accumulated other comprehensive income at November 29, 2025, $56 of amortization is expected to be recognized as a component of net periodic pension cost during fiscal 2026.</w:t>
      </w:r>
    </w:p>
    <w:p>
      <w:pPr>
        <w:spacing w:after="0" w:line="107"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3"/>
          <w:szCs w:val="13"/>
          <w:color w:val="auto"/>
        </w:rPr>
        <w:t>The components of net periodic pension cost other than the service cost component are included in other loss, net in our consolidated statements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Deferred Compensation Plan</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We have an unfunded Deferred Compensation Plan that covers one current and certain former executives and provides for voluntary deferral of compensation. This plan has been frozen with no additional participants or benefits permitted. We recognized expense of $108, $79, and $204 in fiscal 2025, 2024, and 2023, respectively, associated with the plan. Our liability under this plan was $1,562 and $1,568 as of November 29, 2025 and November 30, 2024, respectively. The non-current portion of this obligation is included in post-employment benefit obligations in our consolidated balance sheets, with the current portion included in accrued compensation and benefits.</w:t>
      </w:r>
    </w:p>
    <w:p>
      <w:pPr>
        <w:spacing w:after="0" w:line="1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non-current portion of the obligations under our defined benefit and deferred compensation plans are included post employment benefit obligations in the accompanying balance sheets as follows:</w:t>
      </w:r>
    </w:p>
    <w:p>
      <w:pPr>
        <w:spacing w:after="0" w:line="101"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2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Defined benefit plans:</w:t>
            </w:r>
          </w:p>
        </w:tc>
        <w:tc>
          <w:tcPr>
            <w:tcW w:w="2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November 29, 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November 30, 2024</w:t>
            </w:r>
          </w:p>
        </w:tc>
        <w:tc>
          <w:tcPr>
            <w:tcW w:w="0" w:type="dxa"/>
            <w:vAlign w:val="bottom"/>
          </w:tcPr>
          <w:p>
            <w:pPr>
              <w:spacing w:after="0"/>
              <w:rPr>
                <w:sz w:val="1"/>
                <w:szCs w:val="1"/>
                <w:color w:val="auto"/>
              </w:rPr>
            </w:pPr>
          </w:p>
        </w:tc>
      </w:tr>
      <w:tr>
        <w:trPr>
          <w:trHeight w:val="115"/>
        </w:trPr>
        <w:tc>
          <w:tcPr>
            <w:tcW w:w="2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6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auto"/>
              </w:rPr>
              <w:t>Supplemental Plan</w:t>
            </w:r>
          </w:p>
        </w:tc>
        <w:tc>
          <w:tcPr>
            <w:tcW w:w="420" w:type="dxa"/>
            <w:vAlign w:val="bottom"/>
            <w:gridSpan w:val="2"/>
          </w:tcPr>
          <w:p>
            <w:pPr>
              <w:jc w:val="right"/>
              <w:ind w:right="275"/>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4,917</w:t>
            </w:r>
          </w:p>
        </w:tc>
        <w:tc>
          <w:tcPr>
            <w:tcW w:w="120" w:type="dxa"/>
            <w:vAlign w:val="bottom"/>
          </w:tcPr>
          <w:p>
            <w:pPr>
              <w:spacing w:after="0"/>
              <w:rPr>
                <w:sz w:val="12"/>
                <w:szCs w:val="12"/>
                <w:color w:val="auto"/>
              </w:rPr>
            </w:pPr>
          </w:p>
        </w:tc>
        <w:tc>
          <w:tcPr>
            <w:tcW w:w="420" w:type="dxa"/>
            <w:vAlign w:val="bottom"/>
          </w:tcPr>
          <w:p>
            <w:pPr>
              <w:jc w:val="right"/>
              <w:ind w:right="30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4,845</w:t>
            </w:r>
          </w:p>
        </w:tc>
        <w:tc>
          <w:tcPr>
            <w:tcW w:w="0" w:type="dxa"/>
            <w:vAlign w:val="bottom"/>
          </w:tcPr>
          <w:p>
            <w:pPr>
              <w:spacing w:after="0"/>
              <w:rPr>
                <w:sz w:val="1"/>
                <w:szCs w:val="1"/>
                <w:color w:val="auto"/>
              </w:rPr>
            </w:pPr>
          </w:p>
        </w:tc>
      </w:tr>
      <w:tr>
        <w:trPr>
          <w:trHeight w:val="174"/>
        </w:trPr>
        <w:tc>
          <w:tcPr>
            <w:tcW w:w="2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LTC Awards</w:t>
            </w: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0" w:type="dxa"/>
            <w:vAlign w:val="bottom"/>
          </w:tcPr>
          <w:p>
            <w:pPr>
              <w:spacing w:after="0"/>
              <w:rPr>
                <w:sz w:val="1"/>
                <w:szCs w:val="1"/>
                <w:color w:val="auto"/>
              </w:rPr>
            </w:pPr>
          </w:p>
        </w:tc>
      </w:tr>
      <w:tr>
        <w:trPr>
          <w:trHeight w:val="262"/>
        </w:trPr>
        <w:tc>
          <w:tcPr>
            <w:tcW w:w="2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defined benefit plans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6,175</w:t>
            </w:r>
          </w:p>
        </w:tc>
        <w:tc>
          <w:tcPr>
            <w:tcW w:w="4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6,125</w:t>
            </w: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Deferred compensation plans: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Management Savings Plan</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3,486</w:t>
            </w:r>
          </w:p>
        </w:tc>
        <w:tc>
          <w:tcPr>
            <w:tcW w:w="0" w:type="dxa"/>
            <w:vAlign w:val="bottom"/>
          </w:tcPr>
          <w:p>
            <w:pPr>
              <w:spacing w:after="0"/>
              <w:rPr>
                <w:sz w:val="1"/>
                <w:szCs w:val="1"/>
                <w:color w:val="auto"/>
              </w:rPr>
            </w:pPr>
          </w:p>
        </w:tc>
      </w:tr>
      <w:tr>
        <w:trPr>
          <w:trHeight w:val="174"/>
        </w:trPr>
        <w:tc>
          <w:tcPr>
            <w:tcW w:w="2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Compensation Plan</w:t>
            </w: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0" w:type="dxa"/>
            <w:vAlign w:val="bottom"/>
          </w:tcPr>
          <w:p>
            <w:pPr>
              <w:spacing w:after="0"/>
              <w:rPr>
                <w:sz w:val="1"/>
                <w:szCs w:val="1"/>
                <w:color w:val="auto"/>
              </w:rPr>
            </w:pPr>
          </w:p>
        </w:tc>
      </w:tr>
      <w:tr>
        <w:trPr>
          <w:trHeight w:val="284"/>
        </w:trPr>
        <w:tc>
          <w:tcPr>
            <w:tcW w:w="2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deferred compensation plans</w:t>
            </w: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5,204</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4,757</w:t>
            </w:r>
          </w:p>
        </w:tc>
        <w:tc>
          <w:tcPr>
            <w:tcW w:w="0" w:type="dxa"/>
            <w:vAlign w:val="bottom"/>
          </w:tcPr>
          <w:p>
            <w:pPr>
              <w:spacing w:after="0"/>
              <w:rPr>
                <w:sz w:val="1"/>
                <w:szCs w:val="1"/>
                <w:color w:val="auto"/>
              </w:rPr>
            </w:pPr>
          </w:p>
        </w:tc>
      </w:tr>
      <w:tr>
        <w:trPr>
          <w:trHeight w:val="313"/>
        </w:trPr>
        <w:tc>
          <w:tcPr>
            <w:tcW w:w="2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Post employment benefit obligations</w:t>
            </w:r>
          </w:p>
        </w:tc>
        <w:tc>
          <w:tcPr>
            <w:tcW w:w="42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11,379</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10,882</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current portion of these post employment benefit obligations totalled $1,142 and $1,123 at November 29, 2025 and November 30, 2024, respectively, and is included in other accrued liabilities in the accompanying balance sheets.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Defined Contribution Plan</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have a qualified defined contribution plan (Employee Savings/Retirement Plan) that covers substantially all employees who elect to participate and have fulfilled the necessary service requirements. Employee contributions to the Plan are matched at the rate of 25% of up to 8% of gross pay, regardless of years of service. Expense for employer matching contributions was $921, $943 and $998 during fiscal 2025, 2024 and 2023, respectively.</w:t>
      </w:r>
    </w:p>
    <w:p>
      <w:pPr>
        <w:spacing w:after="0" w:line="2436" w:lineRule="exact"/>
        <w:rPr>
          <w:sz w:val="20"/>
          <w:szCs w:val="20"/>
          <w:color w:val="auto"/>
        </w:rPr>
      </w:pPr>
    </w:p>
    <w:p>
      <w:pPr>
        <w:sectPr>
          <w:pgSz w:w="15840" w:h="12240" w:orient="landscape"/>
          <w:cols w:equalWidth="0" w:num="2">
            <w:col w:w="7200" w:space="720"/>
            <w:col w:w="6440"/>
          </w:cols>
          <w:pgMar w:left="740" w:top="1424" w:right="740" w:bottom="940" w:gutter="0" w:footer="0" w:header="0"/>
        </w:sectPr>
      </w:pPr>
    </w:p>
    <w:p>
      <w:pPr>
        <w:spacing w:after="0" w:line="89"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2"/>
          <w:szCs w:val="12"/>
          <w:color w:val="auto"/>
        </w:rPr>
        <w:t>34</w:t>
      </w:r>
    </w:p>
    <w:p>
      <w:pPr>
        <w:sectPr>
          <w:pgSz w:w="15840" w:h="12240" w:orient="landscape"/>
          <w:cols w:equalWidth="0" w:num="1">
            <w:col w:w="14360"/>
          </w:cols>
          <w:pgMar w:left="740" w:top="1424" w:right="740" w:bottom="9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Accumulated Other Comprehensive Income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Accumulated other comprehensive income at November 29, 2025 and November 30, 2024 consisted of the following:</w:t>
      </w:r>
    </w:p>
    <w:p>
      <w:pPr>
        <w:spacing w:after="0" w:line="144"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November 29, 2025</w:t>
            </w:r>
          </w:p>
        </w:tc>
        <w:tc>
          <w:tcPr>
            <w:tcW w:w="120" w:type="dxa"/>
            <w:vAlign w:val="bottom"/>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November 30, 2024</w:t>
            </w:r>
          </w:p>
        </w:tc>
        <w:tc>
          <w:tcPr>
            <w:tcW w:w="40" w:type="dxa"/>
            <w:vAlign w:val="bottom"/>
          </w:tcPr>
          <w:p>
            <w:pPr>
              <w:spacing w:after="0"/>
              <w:rPr>
                <w:sz w:val="15"/>
                <w:szCs w:val="15"/>
                <w:color w:val="auto"/>
              </w:rPr>
            </w:pPr>
          </w:p>
        </w:tc>
      </w:tr>
      <w:tr>
        <w:trPr>
          <w:trHeight w:val="263"/>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Actuarial gains from defined benefit plans</w:t>
            </w:r>
          </w:p>
        </w:tc>
        <w:tc>
          <w:tcPr>
            <w:tcW w:w="480" w:type="dxa"/>
            <w:vAlign w:val="bottom"/>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2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1,066</w:t>
            </w:r>
          </w:p>
        </w:tc>
      </w:tr>
      <w:tr>
        <w:trPr>
          <w:trHeight w:val="174"/>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Tax effects</w:t>
            </w:r>
          </w:p>
        </w:tc>
        <w:tc>
          <w:tcPr>
            <w:tcW w:w="4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(249)</w:t>
            </w:r>
          </w:p>
        </w:tc>
        <w:tc>
          <w:tcPr>
            <w:tcW w:w="4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w:t>
            </w:r>
          </w:p>
        </w:tc>
      </w:tr>
      <w:tr>
        <w:trPr>
          <w:trHeight w:val="20"/>
        </w:trPr>
        <w:tc>
          <w:tcPr>
            <w:tcW w:w="2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480" w:type="dxa"/>
            <w:vAlign w:val="bottom"/>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793</w:t>
            </w:r>
          </w:p>
        </w:tc>
      </w:tr>
      <w:tr>
        <w:trPr>
          <w:trHeight w:val="20"/>
        </w:trPr>
        <w:tc>
          <w:tcPr>
            <w:tcW w:w="2520" w:type="dxa"/>
            <w:vAlign w:val="bottom"/>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3"/>
          <w:szCs w:val="13"/>
          <w:color w:val="auto"/>
        </w:rPr>
        <w:t>The activity in accumulated other comprehensive income for fiscal years 2025, 2024 and 2023, which is comprised of post-retirement benefit actuarial gains or losses related to our Supplemental Plan and LTC Awards as well as cumulative translation adjustments arising from our former investment in Noa Home,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November 26, 2022</w:t>
            </w: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40" w:type="dxa"/>
            <w:vAlign w:val="bottom"/>
          </w:tcPr>
          <w:p>
            <w:pPr>
              <w:spacing w:after="0"/>
              <w:rPr>
                <w:sz w:val="13"/>
                <w:szCs w:val="13"/>
                <w:color w:val="auto"/>
              </w:rPr>
            </w:pPr>
          </w:p>
        </w:tc>
      </w:tr>
      <w:tr>
        <w:trPr>
          <w:trHeight w:val="149"/>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Actuarial gains</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40" w:type="dxa"/>
            <w:vAlign w:val="bottom"/>
          </w:tcPr>
          <w:p>
            <w:pPr>
              <w:spacing w:after="0"/>
              <w:rPr>
                <w:sz w:val="12"/>
                <w:szCs w:val="12"/>
                <w:color w:val="auto"/>
              </w:rPr>
            </w:pPr>
          </w:p>
        </w:tc>
      </w:tr>
      <w:tr>
        <w:trPr>
          <w:trHeight w:val="148"/>
        </w:trPr>
        <w:tc>
          <w:tcPr>
            <w:tcW w:w="528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Net pension amortization reclassified from accumulated other comprehensive loss</w:t>
            </w:r>
          </w:p>
        </w:tc>
        <w:tc>
          <w:tcPr>
            <w:tcW w:w="4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119</w:t>
            </w:r>
          </w:p>
        </w:tc>
        <w:tc>
          <w:tcPr>
            <w:tcW w:w="40" w:type="dxa"/>
            <w:vAlign w:val="bottom"/>
          </w:tcPr>
          <w:p>
            <w:pPr>
              <w:spacing w:after="0"/>
              <w:rPr>
                <w:sz w:val="12"/>
                <w:szCs w:val="12"/>
                <w:color w:val="auto"/>
              </w:rPr>
            </w:pPr>
          </w:p>
        </w:tc>
      </w:tr>
      <w:tr>
        <w:trPr>
          <w:trHeight w:val="149"/>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w:t>
            </w:r>
          </w:p>
        </w:tc>
      </w:tr>
      <w:tr>
        <w:trPr>
          <w:trHeight w:val="172"/>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effects</w:t>
            </w:r>
          </w:p>
        </w:tc>
        <w:tc>
          <w:tcPr>
            <w:tcW w:w="4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16"/>
        </w:trPr>
        <w:tc>
          <w:tcPr>
            <w:tcW w:w="528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Balance at November 25, 2023</w:t>
            </w: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152</w:t>
            </w:r>
          </w:p>
        </w:tc>
        <w:tc>
          <w:tcPr>
            <w:tcW w:w="40" w:type="dxa"/>
            <w:vAlign w:val="bottom"/>
          </w:tcPr>
          <w:p>
            <w:pPr>
              <w:spacing w:after="0"/>
              <w:rPr>
                <w:sz w:val="10"/>
                <w:szCs w:val="10"/>
                <w:color w:val="auto"/>
              </w:rPr>
            </w:pPr>
          </w:p>
        </w:tc>
      </w:tr>
      <w:tr>
        <w:trPr>
          <w:trHeight w:val="148"/>
        </w:trPr>
        <w:tc>
          <w:tcPr>
            <w:tcW w:w="528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Actuarial gains</w:t>
            </w:r>
          </w:p>
        </w:tc>
        <w:tc>
          <w:tcPr>
            <w:tcW w:w="4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170</w:t>
            </w:r>
          </w:p>
        </w:tc>
        <w:tc>
          <w:tcPr>
            <w:tcW w:w="40" w:type="dxa"/>
            <w:vAlign w:val="bottom"/>
          </w:tcPr>
          <w:p>
            <w:pPr>
              <w:spacing w:after="0"/>
              <w:rPr>
                <w:sz w:val="12"/>
                <w:szCs w:val="12"/>
                <w:color w:val="auto"/>
              </w:rPr>
            </w:pPr>
          </w:p>
        </w:tc>
      </w:tr>
      <w:tr>
        <w:trPr>
          <w:trHeight w:val="149"/>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pension amortization reclassified from accumulated other comprehensive loss</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40" w:type="dxa"/>
            <w:vAlign w:val="bottom"/>
          </w:tcPr>
          <w:p>
            <w:pPr>
              <w:spacing w:after="0"/>
              <w:rPr>
                <w:sz w:val="12"/>
                <w:szCs w:val="12"/>
                <w:color w:val="auto"/>
              </w:rPr>
            </w:pPr>
          </w:p>
        </w:tc>
      </w:tr>
      <w:tr>
        <w:trPr>
          <w:trHeight w:val="149"/>
        </w:trPr>
        <w:tc>
          <w:tcPr>
            <w:tcW w:w="528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 xml:space="preserve">Foreign currency translation adjustment </w:t>
            </w:r>
            <w:r>
              <w:rPr>
                <w:rFonts w:ascii="Times New Roman" w:cs="Times New Roman" w:eastAsia="Times New Roman" w:hAnsi="Times New Roman"/>
                <w:sz w:val="16"/>
                <w:szCs w:val="16"/>
                <w:color w:val="auto"/>
                <w:vertAlign w:val="superscript"/>
              </w:rPr>
              <w:t>(1)</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40" w:type="dxa"/>
            <w:vAlign w:val="bottom"/>
          </w:tcPr>
          <w:p>
            <w:pPr>
              <w:spacing w:after="0"/>
              <w:rPr>
                <w:sz w:val="12"/>
                <w:szCs w:val="12"/>
                <w:color w:val="auto"/>
              </w:rPr>
            </w:pPr>
          </w:p>
        </w:tc>
      </w:tr>
      <w:tr>
        <w:trPr>
          <w:trHeight w:val="172"/>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effects</w:t>
            </w:r>
          </w:p>
        </w:tc>
        <w:tc>
          <w:tcPr>
            <w:tcW w:w="4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15"/>
        </w:trPr>
        <w:tc>
          <w:tcPr>
            <w:tcW w:w="528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rPr>
              <w:t>Balance at November 30, 2024</w:t>
            </w: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793</w:t>
            </w:r>
          </w:p>
        </w:tc>
        <w:tc>
          <w:tcPr>
            <w:tcW w:w="40" w:type="dxa"/>
            <w:vAlign w:val="bottom"/>
          </w:tcPr>
          <w:p>
            <w:pPr>
              <w:spacing w:after="0"/>
              <w:rPr>
                <w:sz w:val="10"/>
                <w:szCs w:val="10"/>
                <w:color w:val="auto"/>
              </w:rPr>
            </w:pPr>
          </w:p>
        </w:tc>
      </w:tr>
      <w:tr>
        <w:trPr>
          <w:trHeight w:val="149"/>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Actuarial losses</w:t>
            </w:r>
          </w:p>
        </w:tc>
        <w:tc>
          <w:tcPr>
            <w:tcW w:w="4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49"/>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pension amortization reclassified from accumulated other comprehensive loss</w:t>
            </w:r>
          </w:p>
        </w:tc>
        <w:tc>
          <w:tcPr>
            <w:tcW w:w="4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72"/>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effects</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40" w:type="dxa"/>
            <w:vAlign w:val="bottom"/>
          </w:tcPr>
          <w:p>
            <w:pPr>
              <w:spacing w:after="0"/>
              <w:rPr>
                <w:sz w:val="14"/>
                <w:szCs w:val="14"/>
                <w:color w:val="auto"/>
              </w:rPr>
            </w:pPr>
          </w:p>
        </w:tc>
      </w:tr>
      <w:tr>
        <w:trPr>
          <w:trHeight w:val="153"/>
        </w:trPr>
        <w:tc>
          <w:tcPr>
            <w:tcW w:w="52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Balance at November 29, 2025</w:t>
            </w: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723</w:t>
            </w:r>
          </w:p>
        </w:tc>
        <w:tc>
          <w:tcPr>
            <w:tcW w:w="40" w:type="dxa"/>
            <w:vAlign w:val="bottom"/>
          </w:tcPr>
          <w:p>
            <w:pPr>
              <w:spacing w:after="0"/>
              <w:rPr>
                <w:sz w:val="13"/>
                <w:szCs w:val="13"/>
                <w:color w:val="auto"/>
              </w:rPr>
            </w:pPr>
          </w:p>
        </w:tc>
      </w:tr>
    </w:tbl>
    <w:p>
      <w:pPr>
        <w:spacing w:after="0" w:line="116" w:lineRule="exact"/>
        <w:rPr>
          <w:sz w:val="20"/>
          <w:szCs w:val="20"/>
          <w:color w:val="auto"/>
        </w:rPr>
      </w:pPr>
    </w:p>
    <w:p>
      <w:pPr>
        <w:ind w:left="500" w:right="760" w:hanging="249"/>
        <w:spacing w:after="0" w:line="274" w:lineRule="auto"/>
        <w:tabs>
          <w:tab w:leader="none" w:pos="50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transfer of $962 of cumulative translation loss out of accumulated other comprehensive loss into the fiscal 2024 loss from operations upon the substantial completion of the liquidation of Noa Home (See Note 14).</w:t>
      </w:r>
    </w:p>
    <w:p>
      <w:pPr>
        <w:spacing w:after="0" w:line="250" w:lineRule="exact"/>
        <w:rPr>
          <w:rFonts w:ascii="Times New Roman" w:cs="Times New Roman" w:eastAsia="Times New Roman" w:hAnsi="Times New Roman"/>
          <w:sz w:val="13"/>
          <w:szCs w:val="13"/>
          <w:color w:val="auto"/>
        </w:rPr>
      </w:pPr>
    </w:p>
    <w:p>
      <w:pPr>
        <w:ind w:left="240" w:hanging="235"/>
        <w:spacing w:after="0"/>
        <w:tabs>
          <w:tab w:leader="none" w:pos="240"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Capital Stock and Stock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We account for our stock-based employee and director compensation plans in accordance with ASC Topic 718, </w:t>
      </w:r>
      <w:r>
        <w:rPr>
          <w:rFonts w:ascii="Times New Roman" w:cs="Times New Roman" w:eastAsia="Times New Roman" w:hAnsi="Times New Roman"/>
          <w:sz w:val="12"/>
          <w:szCs w:val="12"/>
          <w:i w:val="1"/>
          <w:iCs w:val="1"/>
          <w:color w:val="auto"/>
        </w:rPr>
        <w:t>Compensation</w:t>
      </w:r>
    </w:p>
    <w:p>
      <w:pPr>
        <w:spacing w:after="0" w:line="34" w:lineRule="exact"/>
        <w:rPr>
          <w:sz w:val="20"/>
          <w:szCs w:val="20"/>
          <w:color w:val="auto"/>
        </w:rPr>
      </w:pPr>
    </w:p>
    <w:p>
      <w:pPr>
        <w:jc w:val="both"/>
        <w:ind w:right="760"/>
        <w:spacing w:after="0" w:line="238"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Stock Compensation</w:t>
      </w:r>
      <w:r>
        <w:rPr>
          <w:rFonts w:ascii="Times New Roman" w:cs="Times New Roman" w:eastAsia="Times New Roman" w:hAnsi="Times New Roman"/>
          <w:sz w:val="13"/>
          <w:szCs w:val="13"/>
          <w:color w:val="auto"/>
        </w:rPr>
        <w:t>. ASC 718 requires recognition of the cost of employee services received in exchange for an award of equity instruments in the financial statements over the period the employee is required to perform the services in exchange for the award (presumptively the vesting period) which we recognize on a straight-line basis. Compensation expense related to restricted stock and stock options included in selling, general and administrative expenses in our consolidated statements of operations for fiscal 2025, 2024 and 2023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81"/>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639</w:t>
            </w: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804</w:t>
            </w: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w:t>
            </w:r>
          </w:p>
        </w:tc>
      </w:tr>
      <w:tr>
        <w:trPr>
          <w:trHeight w:val="299"/>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Incentive Stock Compensation Plans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2021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15240</wp:posOffset>
                </wp:positionV>
                <wp:extent cx="34480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805"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pt" to="27.4pt,1.2pt" o:allowincell="f" strokecolor="#000000" strokeweight="0.6209pt"/>
            </w:pict>
          </mc:Fallback>
        </mc:AlternateContent>
      </w:r>
    </w:p>
    <w:p>
      <w:pPr>
        <w:spacing w:after="0" w:line="128" w:lineRule="exact"/>
        <w:rPr>
          <w:sz w:val="20"/>
          <w:szCs w:val="20"/>
          <w:color w:val="auto"/>
        </w:rPr>
      </w:pPr>
    </w:p>
    <w:p>
      <w:pPr>
        <w:jc w:val="both"/>
        <w:ind w:right="760"/>
        <w:spacing w:after="0" w:line="247" w:lineRule="auto"/>
        <w:rPr>
          <w:sz w:val="20"/>
          <w:szCs w:val="20"/>
          <w:color w:val="auto"/>
        </w:rPr>
      </w:pPr>
      <w:r>
        <w:rPr>
          <w:rFonts w:ascii="Times New Roman" w:cs="Times New Roman" w:eastAsia="Times New Roman" w:hAnsi="Times New Roman"/>
          <w:sz w:val="13"/>
          <w:szCs w:val="13"/>
          <w:color w:val="auto"/>
        </w:rPr>
        <w:t>On March 10, 2021, our shareholders approved the Bassett Furniture Industries, Incorporated 2021 Stock Incentive Plan (the “2021 Plan”). All present and future non-employee directors, key employees and outside consultants for the Company are eligible to receive incentive awards under the 2021 Plan. Our Organization, Compensation and Nominating Committee (the “OCN Committee”) selects eligible key employees and outside consultants to receive awards under the 2021 Plan in its discretion. Our Board of Directors or any committee designated by the Board of Directors selects eligible non-employee</w:t>
      </w:r>
    </w:p>
    <w:p>
      <w:pPr>
        <w:spacing w:after="0" w:line="9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directors to receive awards under the 2021 Plan in its discretion. Five hundred thousand (500,000) shares of common stock are reserved for issuance under the 2021 Plan. Participants may receive the following types of incentive awards under the 2021 Plan: stock options, stock appreciation rights, payment shares, restricted stock, restricted stock units and performance shares. Stock options may be incentive stock options or non-qualified stock options. Stock appreciation rights may be granted in tandem with stock options or as a freestanding award. Non-employee directors and outside consultants are eligible to receive restricted stock and restricted stock units only. The full terms of the 2021 Plan have been filed as an exhibit to our Schedule 14A filed with the United States Securities and Exchange Commission on February 8, 2021.</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color w:val="auto"/>
        </w:rPr>
        <w:t>We have elected to account for forfeitures as they occur. Compensation cost for awards with graded vesting schedules are accounted for on a straight-line basis.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Restricted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14605</wp:posOffset>
                </wp:positionV>
                <wp:extent cx="59118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4763"/>
                        </a:xfrm>
                        <a:prstGeom prst="line">
                          <a:avLst/>
                        </a:prstGeom>
                        <a:solidFill>
                          <a:srgbClr val="FFFFFF"/>
                        </a:solidFill>
                        <a:ln w="788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15pt" to="46.8pt,1.15pt" o:allowincell="f" strokecolor="#000000" strokeweight="0.6209pt"/>
            </w:pict>
          </mc:Fallback>
        </mc:AlternateConten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in the outstanding non-vested restricted shares during the year ended November 29, 2025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80" w:type="dxa"/>
            <w:vAlign w:val="bottom"/>
          </w:tcPr>
          <w:p>
            <w:pPr>
              <w:spacing w:after="0"/>
              <w:rPr>
                <w:sz w:val="12"/>
                <w:szCs w:val="12"/>
                <w:color w:val="auto"/>
              </w:rPr>
            </w:pPr>
          </w:p>
        </w:tc>
        <w:tc>
          <w:tcPr>
            <w:tcW w:w="9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3"/>
                <w:szCs w:val="13"/>
                <w:b w:val="1"/>
                <w:bCs w:val="1"/>
                <w:color w:val="auto"/>
                <w:w w:val="99"/>
              </w:rPr>
              <w:t>Fair Value Per</w:t>
            </w:r>
          </w:p>
        </w:tc>
        <w:tc>
          <w:tcPr>
            <w:tcW w:w="0" w:type="dxa"/>
            <w:vAlign w:val="bottom"/>
          </w:tcPr>
          <w:p>
            <w:pPr>
              <w:spacing w:after="0"/>
              <w:rPr>
                <w:sz w:val="1"/>
                <w:szCs w:val="1"/>
                <w:color w:val="auto"/>
              </w:rPr>
            </w:pPr>
          </w:p>
        </w:tc>
      </w:tr>
      <w:tr>
        <w:trPr>
          <w:trHeight w:val="177"/>
        </w:trPr>
        <w:tc>
          <w:tcPr>
            <w:tcW w:w="4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0" w:type="dxa"/>
            <w:vAlign w:val="bottom"/>
          </w:tcPr>
          <w:p>
            <w:pPr>
              <w:spacing w:after="0"/>
              <w:rPr>
                <w:sz w:val="1"/>
                <w:szCs w:val="1"/>
                <w:color w:val="auto"/>
              </w:rPr>
            </w:pPr>
          </w:p>
        </w:tc>
      </w:tr>
      <w:tr>
        <w:trPr>
          <w:trHeight w:val="260"/>
        </w:trPr>
        <w:tc>
          <w:tcPr>
            <w:tcW w:w="4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Non-vested restricted shares outstanding at November 30, 2024</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94,409</w:t>
            </w:r>
          </w:p>
        </w:tc>
        <w:tc>
          <w:tcPr>
            <w:tcW w:w="140" w:type="dxa"/>
            <w:vAlign w:val="bottom"/>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0" w:type="dxa"/>
            <w:vAlign w:val="bottom"/>
          </w:tcPr>
          <w:p>
            <w:pPr>
              <w:spacing w:after="0"/>
              <w:rPr>
                <w:sz w:val="1"/>
                <w:szCs w:val="1"/>
                <w:color w:val="auto"/>
              </w:rPr>
            </w:pPr>
          </w:p>
        </w:tc>
      </w:tr>
      <w:tr>
        <w:trPr>
          <w:trHeight w:val="148"/>
        </w:trPr>
        <w:tc>
          <w:tcPr>
            <w:tcW w:w="4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3"/>
                <w:szCs w:val="13"/>
                <w:color w:val="auto"/>
              </w:rPr>
              <w:t>Granted</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17,556</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14.11</w:t>
            </w:r>
          </w:p>
        </w:tc>
        <w:tc>
          <w:tcPr>
            <w:tcW w:w="0" w:type="dxa"/>
            <w:vAlign w:val="bottom"/>
          </w:tcPr>
          <w:p>
            <w:pPr>
              <w:spacing w:after="0"/>
              <w:rPr>
                <w:sz w:val="1"/>
                <w:szCs w:val="1"/>
                <w:color w:val="auto"/>
              </w:rPr>
            </w:pPr>
          </w:p>
        </w:tc>
      </w:tr>
      <w:tr>
        <w:trPr>
          <w:trHeight w:val="14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(47,409)</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0" w:type="dxa"/>
            <w:vAlign w:val="bottom"/>
          </w:tcPr>
          <w:p>
            <w:pPr>
              <w:spacing w:after="0"/>
              <w:rPr>
                <w:sz w:val="1"/>
                <w:szCs w:val="1"/>
                <w:color w:val="auto"/>
              </w:rPr>
            </w:pPr>
          </w:p>
        </w:tc>
      </w:tr>
      <w:tr>
        <w:trPr>
          <w:trHeight w:val="172"/>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(3,100)</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0" w:type="dxa"/>
            <w:vAlign w:val="bottom"/>
          </w:tcPr>
          <w:p>
            <w:pPr>
              <w:spacing w:after="0"/>
              <w:rPr>
                <w:sz w:val="1"/>
                <w:szCs w:val="1"/>
                <w:color w:val="auto"/>
              </w:rPr>
            </w:pPr>
          </w:p>
        </w:tc>
      </w:tr>
      <w:tr>
        <w:trPr>
          <w:trHeight w:val="153"/>
        </w:trPr>
        <w:tc>
          <w:tcPr>
            <w:tcW w:w="41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Non-vested restricted shares outstanding at November 29, 2025</w:t>
            </w:r>
          </w:p>
        </w:tc>
        <w:tc>
          <w:tcPr>
            <w:tcW w:w="2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61,456</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15.41</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During fiscal 2025, 47,409 restricted shares were vested and released, of which 29,300 shares had been granted to employees and 18,109 shares had been granted to directors. During fiscal 2025, 2024 and 2023, 9,835 shares, 10,360 shares and 5,985 shares, respectively, were withheld to cover withholding taxes of $136, $161 and $109, respectively, arising from the vesting of restricted shares. During fiscal 2025, 2024 and 2023, excess tax benefits (deficiency) of $(21), $(9) and $ 10, respectively, were recognized within income tax expense upon the release of vested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36</w:t>
      </w:r>
    </w:p>
    <w:p>
      <w:pPr>
        <w:sectPr>
          <w:pgSz w:w="15840" w:h="12240" w:orient="landscape"/>
          <w:cols w:equalWidth="0" w:num="2">
            <w:col w:w="7200" w:space="720"/>
            <w:col w:w="6440"/>
          </w:cols>
          <w:pgMar w:left="740" w:top="1424" w:right="740" w:bottom="929"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 information regarding our outstanding non-vested restricted shares, which are all subject to service conditions, 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29, 2025 is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Original</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68"/>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Share Value</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Restriction</w:t>
            </w:r>
          </w:p>
        </w:tc>
      </w:tr>
      <w:tr>
        <w:trPr>
          <w:trHeight w:val="168"/>
        </w:trPr>
        <w:tc>
          <w:tcPr>
            <w:tcW w:w="1740" w:type="dxa"/>
            <w:vAlign w:val="bottom"/>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at Grant Date</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w:t>
            </w:r>
          </w:p>
        </w:tc>
      </w:tr>
      <w:tr>
        <w:trPr>
          <w:trHeight w:val="187"/>
        </w:trPr>
        <w:tc>
          <w:tcPr>
            <w:tcW w:w="17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(Years)</w:t>
            </w:r>
          </w:p>
        </w:tc>
      </w:tr>
      <w:tr>
        <w:trPr>
          <w:trHeight w:val="302"/>
        </w:trPr>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January 11, 2023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13,900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160" w:type="dxa"/>
            <w:vAlign w:val="bottom"/>
            <w:gridSpan w:val="2"/>
          </w:tcPr>
          <w:p>
            <w:pPr>
              <w:jc w:val="right"/>
              <w:ind w:right="375"/>
              <w:spacing w:after="0"/>
              <w:rPr>
                <w:sz w:val="20"/>
                <w:szCs w:val="20"/>
                <w:color w:val="auto"/>
              </w:rPr>
            </w:pPr>
            <w:r>
              <w:rPr>
                <w:rFonts w:ascii="Times New Roman" w:cs="Times New Roman" w:eastAsia="Times New Roman" w:hAnsi="Times New Roman"/>
                <w:sz w:val="13"/>
                <w:szCs w:val="13"/>
                <w:color w:val="auto"/>
              </w:rPr>
              <w:t>3</w:t>
            </w:r>
          </w:p>
        </w:tc>
        <w:tc>
          <w:tcPr>
            <w:tcW w:w="1160" w:type="dxa"/>
            <w:vAlign w:val="bottom"/>
            <w:gridSpan w:val="2"/>
          </w:tcPr>
          <w:p>
            <w:pPr>
              <w:jc w:val="right"/>
              <w:ind w:right="335"/>
              <w:spacing w:after="0"/>
              <w:rPr>
                <w:sz w:val="20"/>
                <w:szCs w:val="20"/>
                <w:color w:val="auto"/>
              </w:rPr>
            </w:pPr>
            <w:r>
              <w:rPr>
                <w:rFonts w:ascii="Times New Roman" w:cs="Times New Roman" w:eastAsia="Times New Roman" w:hAnsi="Times New Roman"/>
                <w:sz w:val="13"/>
                <w:szCs w:val="13"/>
                <w:color w:val="auto"/>
              </w:rPr>
              <w:t>0.1</w:t>
            </w:r>
          </w:p>
        </w:tc>
      </w:tr>
      <w:tr>
        <w:trPr>
          <w:trHeight w:val="180"/>
        </w:trPr>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October 29, 2024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160" w:type="dxa"/>
            <w:vAlign w:val="bottom"/>
            <w:gridSpan w:val="2"/>
          </w:tcPr>
          <w:p>
            <w:pPr>
              <w:jc w:val="right"/>
              <w:ind w:right="375"/>
              <w:spacing w:after="0"/>
              <w:rPr>
                <w:sz w:val="20"/>
                <w:szCs w:val="20"/>
                <w:color w:val="auto"/>
              </w:rPr>
            </w:pPr>
            <w:r>
              <w:rPr>
                <w:rFonts w:ascii="Times New Roman" w:cs="Times New Roman" w:eastAsia="Times New Roman" w:hAnsi="Times New Roman"/>
                <w:sz w:val="13"/>
                <w:szCs w:val="13"/>
                <w:color w:val="auto"/>
              </w:rPr>
              <w:t>3</w:t>
            </w:r>
          </w:p>
        </w:tc>
        <w:tc>
          <w:tcPr>
            <w:tcW w:w="1160" w:type="dxa"/>
            <w:vAlign w:val="bottom"/>
            <w:gridSpan w:val="2"/>
          </w:tcPr>
          <w:p>
            <w:pPr>
              <w:jc w:val="right"/>
              <w:ind w:right="335"/>
              <w:spacing w:after="0"/>
              <w:rPr>
                <w:sz w:val="20"/>
                <w:szCs w:val="20"/>
                <w:color w:val="auto"/>
              </w:rPr>
            </w:pPr>
            <w:r>
              <w:rPr>
                <w:rFonts w:ascii="Times New Roman" w:cs="Times New Roman" w:eastAsia="Times New Roman" w:hAnsi="Times New Roman"/>
                <w:sz w:val="13"/>
                <w:szCs w:val="13"/>
                <w:color w:val="auto"/>
              </w:rPr>
              <w:t>1.9</w:t>
            </w:r>
          </w:p>
        </w:tc>
      </w:tr>
      <w:tr>
        <w:trPr>
          <w:trHeight w:val="169"/>
        </w:trPr>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March 12, 2025</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17,556</w:t>
            </w:r>
          </w:p>
        </w:tc>
        <w:tc>
          <w:tcPr>
            <w:tcW w:w="11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15.95</w:t>
            </w:r>
          </w:p>
        </w:tc>
        <w:tc>
          <w:tcPr>
            <w:tcW w:w="1160" w:type="dxa"/>
            <w:vAlign w:val="bottom"/>
            <w:gridSpan w:val="2"/>
          </w:tcPr>
          <w:p>
            <w:pPr>
              <w:jc w:val="right"/>
              <w:ind w:right="375"/>
              <w:spacing w:after="0" w:line="143" w:lineRule="exact"/>
              <w:rPr>
                <w:sz w:val="20"/>
                <w:szCs w:val="20"/>
                <w:color w:val="auto"/>
              </w:rPr>
            </w:pPr>
            <w:r>
              <w:rPr>
                <w:rFonts w:ascii="Times New Roman" w:cs="Times New Roman" w:eastAsia="Times New Roman" w:hAnsi="Times New Roman"/>
                <w:sz w:val="13"/>
                <w:szCs w:val="13"/>
                <w:color w:val="auto"/>
              </w:rPr>
              <w:t>1</w:t>
            </w:r>
          </w:p>
        </w:tc>
        <w:tc>
          <w:tcPr>
            <w:tcW w:w="1160" w:type="dxa"/>
            <w:vAlign w:val="bottom"/>
            <w:gridSpan w:val="2"/>
          </w:tcPr>
          <w:p>
            <w:pPr>
              <w:jc w:val="right"/>
              <w:ind w:right="335"/>
              <w:spacing w:after="0" w:line="143" w:lineRule="exact"/>
              <w:rPr>
                <w:sz w:val="20"/>
                <w:szCs w:val="20"/>
                <w:color w:val="auto"/>
              </w:rPr>
            </w:pPr>
            <w:r>
              <w:rPr>
                <w:rFonts w:ascii="Times New Roman" w:cs="Times New Roman" w:eastAsia="Times New Roman" w:hAnsi="Times New Roman"/>
                <w:sz w:val="13"/>
                <w:szCs w:val="13"/>
                <w:color w:val="auto"/>
              </w:rPr>
              <w:t>0.3</w:t>
            </w:r>
          </w:p>
        </w:tc>
      </w:tr>
    </w:tbl>
    <w:p>
      <w:pPr>
        <w:spacing w:after="0" w:line="116" w:lineRule="exact"/>
        <w:rPr>
          <w:sz w:val="20"/>
          <w:szCs w:val="20"/>
          <w:color w:val="auto"/>
        </w:rPr>
      </w:pPr>
    </w:p>
    <w:p>
      <w:pPr>
        <w:jc w:val="both"/>
        <w:ind w:right="760"/>
        <w:spacing w:after="0" w:line="274" w:lineRule="auto"/>
        <w:rPr>
          <w:sz w:val="20"/>
          <w:szCs w:val="20"/>
          <w:color w:val="auto"/>
        </w:rPr>
      </w:pPr>
      <w:r>
        <w:rPr>
          <w:rFonts w:ascii="Times New Roman" w:cs="Times New Roman" w:eastAsia="Times New Roman" w:hAnsi="Times New Roman"/>
          <w:sz w:val="13"/>
          <w:szCs w:val="13"/>
          <w:color w:val="auto"/>
        </w:rPr>
        <w:t>Unrecognized compensation cost related to these non-vested restricted shares at November 29, 2025 is $340, all of which is expected to be recognized in fiscal 2026 through fiscal 2027.</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Employee Stock Purchase Plan</w:t>
      </w:r>
    </w:p>
    <w:p>
      <w:pPr>
        <w:spacing w:after="0" w:line="152" w:lineRule="exact"/>
        <w:rPr>
          <w:sz w:val="20"/>
          <w:szCs w:val="20"/>
          <w:color w:val="auto"/>
        </w:rPr>
      </w:pPr>
    </w:p>
    <w:p>
      <w:pPr>
        <w:jc w:val="both"/>
        <w:ind w:right="760"/>
        <w:spacing w:after="0" w:line="247" w:lineRule="auto"/>
        <w:rPr>
          <w:sz w:val="20"/>
          <w:szCs w:val="20"/>
          <w:color w:val="auto"/>
        </w:rPr>
      </w:pPr>
      <w:r>
        <w:rPr>
          <w:rFonts w:ascii="Times New Roman" w:cs="Times New Roman" w:eastAsia="Times New Roman" w:hAnsi="Times New Roman"/>
          <w:sz w:val="13"/>
          <w:szCs w:val="13"/>
          <w:color w:val="auto"/>
        </w:rPr>
        <w:t>In March of 2017 we adopted and implemented the 2017 Employee Stock Purchase Plan (“2017 ESPP”) that allows eligible employees to purchase a limited number of shares of our stock at 85% of market value. Under the 2017 ESPP we sold 26,970, 30,436 and 28,063 shares to employees during fiscal 2025, 2024 and 2023, respectively, which resulted in an immaterial amount of compensation expense. There are 16,991 shares remaining available for sale under the 2017 ESPP at November 29, 2025.</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Income Taxes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components of the income tax provision from operations are as follows:</w:t>
      </w:r>
    </w:p>
    <w:p>
      <w:pPr>
        <w:spacing w:after="0" w:line="148"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1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Current:</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2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Federal</w:t>
            </w: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1,538</w:t>
            </w:r>
          </w:p>
        </w:tc>
        <w:tc>
          <w:tcPr>
            <w:tcW w:w="80" w:type="dxa"/>
            <w:vAlign w:val="bottom"/>
          </w:tcPr>
          <w:p>
            <w:pPr>
              <w:spacing w:after="0"/>
              <w:rPr>
                <w:sz w:val="12"/>
                <w:szCs w:val="12"/>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(1,962)</w:t>
            </w:r>
          </w:p>
        </w:tc>
        <w:tc>
          <w:tcPr>
            <w:tcW w:w="20" w:type="dxa"/>
            <w:vAlign w:val="bottom"/>
          </w:tcPr>
          <w:p>
            <w:pPr>
              <w:spacing w:after="0"/>
              <w:rPr>
                <w:sz w:val="12"/>
                <w:szCs w:val="12"/>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72"/>
        </w:trPr>
        <w:tc>
          <w:tcPr>
            <w:tcW w:w="1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75"/>
        </w:trPr>
        <w:tc>
          <w:tcPr>
            <w:tcW w:w="1240" w:type="dxa"/>
            <w:vAlign w:val="bottom"/>
          </w:tcPr>
          <w:p>
            <w:pPr>
              <w:spacing w:after="0"/>
              <w:rPr>
                <w:sz w:val="20"/>
                <w:szCs w:val="20"/>
                <w:color w:val="auto"/>
              </w:rPr>
            </w:pPr>
            <w:r>
              <w:rPr>
                <w:rFonts w:ascii="Times New Roman" w:cs="Times New Roman" w:eastAsia="Times New Roman" w:hAnsi="Times New Roman"/>
                <w:sz w:val="13"/>
                <w:szCs w:val="13"/>
                <w:color w:val="auto"/>
              </w:rPr>
              <w:t>Deferred:</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(1,781)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846</w:t>
            </w:r>
          </w:p>
        </w:tc>
        <w:tc>
          <w:tcPr>
            <w:tcW w:w="0" w:type="dxa"/>
            <w:vAlign w:val="bottom"/>
          </w:tcPr>
          <w:p>
            <w:pPr>
              <w:spacing w:after="0"/>
              <w:rPr>
                <w:sz w:val="1"/>
                <w:szCs w:val="1"/>
                <w:color w:val="auto"/>
              </w:rPr>
            </w:pPr>
          </w:p>
        </w:tc>
      </w:tr>
      <w:tr>
        <w:trPr>
          <w:trHeight w:val="172"/>
        </w:trPr>
        <w:tc>
          <w:tcPr>
            <w:tcW w:w="1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(659)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12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Total</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2,660</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(4,675)</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683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right="760"/>
        <w:spacing w:after="0" w:line="274" w:lineRule="auto"/>
        <w:rPr>
          <w:sz w:val="20"/>
          <w:szCs w:val="20"/>
          <w:color w:val="auto"/>
        </w:rPr>
      </w:pPr>
      <w:r>
        <w:rPr>
          <w:rFonts w:ascii="Times New Roman" w:cs="Times New Roman" w:eastAsia="Times New Roman" w:hAnsi="Times New Roman"/>
          <w:sz w:val="13"/>
          <w:szCs w:val="13"/>
          <w:color w:val="auto"/>
        </w:rPr>
        <w:t>A reconciliation of the statutory federal income tax rate and the effective income tax rate, as a percentage of income before income taxes,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220" w:type="dxa"/>
            <w:vAlign w:val="bottom"/>
            <w:tcBorders>
              <w:bottom w:val="single" w:sz="8" w:color="auto"/>
            </w:tcBorders>
          </w:tcPr>
          <w:p>
            <w:pPr>
              <w:spacing w:after="0"/>
              <w:rPr>
                <w:sz w:val="14"/>
                <w:szCs w:val="14"/>
                <w:color w:val="auto"/>
              </w:rPr>
            </w:pPr>
          </w:p>
        </w:tc>
        <w:tc>
          <w:tcPr>
            <w:tcW w:w="200" w:type="dxa"/>
            <w:vAlign w:val="bottom"/>
            <w:gridSpan w:val="2"/>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6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Statutory federal income tax rate</w:t>
            </w:r>
          </w:p>
        </w:tc>
        <w:tc>
          <w:tcPr>
            <w:tcW w:w="500" w:type="dxa"/>
            <w:vAlign w:val="bottom"/>
          </w:tcPr>
          <w:p>
            <w:pPr>
              <w:spacing w:after="0"/>
              <w:rPr>
                <w:sz w:val="10"/>
                <w:szCs w:val="10"/>
                <w:color w:val="auto"/>
              </w:rPr>
            </w:pPr>
          </w:p>
        </w:tc>
        <w:tc>
          <w:tcPr>
            <w:tcW w:w="420" w:type="dxa"/>
            <w:vAlign w:val="bottom"/>
            <w:gridSpan w:val="3"/>
          </w:tcPr>
          <w:p>
            <w:pPr>
              <w:jc w:val="right"/>
              <w:ind w:right="80"/>
              <w:spacing w:after="0" w:line="121" w:lineRule="exact"/>
              <w:rPr>
                <w:sz w:val="20"/>
                <w:szCs w:val="20"/>
                <w:color w:val="auto"/>
              </w:rPr>
            </w:pPr>
            <w:r>
              <w:rPr>
                <w:rFonts w:ascii="Times New Roman" w:cs="Times New Roman" w:eastAsia="Times New Roman" w:hAnsi="Times New Roman"/>
                <w:sz w:val="13"/>
                <w:szCs w:val="13"/>
                <w:color w:val="auto"/>
                <w:w w:val="95"/>
              </w:rPr>
              <w:t>21.0%</w:t>
            </w:r>
          </w:p>
        </w:tc>
        <w:tc>
          <w:tcPr>
            <w:tcW w:w="520" w:type="dxa"/>
            <w:vAlign w:val="bottom"/>
          </w:tcPr>
          <w:p>
            <w:pPr>
              <w:spacing w:after="0"/>
              <w:rPr>
                <w:sz w:val="10"/>
                <w:szCs w:val="10"/>
                <w:color w:val="auto"/>
              </w:rPr>
            </w:pPr>
          </w:p>
        </w:tc>
        <w:tc>
          <w:tcPr>
            <w:tcW w:w="4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color w:val="auto"/>
                <w:w w:val="95"/>
              </w:rPr>
              <w:t>21.0%</w:t>
            </w:r>
          </w:p>
        </w:tc>
        <w:tc>
          <w:tcPr>
            <w:tcW w:w="900" w:type="dxa"/>
            <w:vAlign w:val="bottom"/>
            <w:gridSpan w:val="2"/>
          </w:tcPr>
          <w:p>
            <w:pPr>
              <w:jc w:val="right"/>
              <w:ind w:right="60"/>
              <w:spacing w:after="0" w:line="121" w:lineRule="exact"/>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State income tax, net of federal benefit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Nondeductible goodwill, restructuring and other charges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Nontaxable gain on revaluation of contingent consideration</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 loss carryback</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(2.0)</w:t>
            </w:r>
          </w:p>
        </w:tc>
        <w:tc>
          <w:tcPr>
            <w:tcW w:w="52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6"/>
              </w:rPr>
              <w:t>15.9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50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Effective income tax rate</w:t>
            </w:r>
          </w:p>
        </w:tc>
        <w:tc>
          <w:tcPr>
            <w:tcW w:w="5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6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w w:val="95"/>
              </w:rPr>
              <w:t>30.4%</w:t>
            </w:r>
          </w:p>
        </w:tc>
        <w:tc>
          <w:tcPr>
            <w:tcW w:w="520" w:type="dxa"/>
            <w:vAlign w:val="bottom"/>
          </w:tcPr>
          <w:p>
            <w:pPr>
              <w:spacing w:after="0"/>
              <w:rPr>
                <w:sz w:val="12"/>
                <w:szCs w:val="12"/>
                <w:color w:val="auto"/>
              </w:rPr>
            </w:pPr>
          </w:p>
        </w:tc>
        <w:tc>
          <w:tcPr>
            <w:tcW w:w="4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w w:val="95"/>
              </w:rPr>
              <w:t>32.5%</w:t>
            </w:r>
          </w:p>
        </w:tc>
        <w:tc>
          <w:tcPr>
            <w:tcW w:w="9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(27.5)%</w:t>
            </w:r>
          </w:p>
        </w:tc>
        <w:tc>
          <w:tcPr>
            <w:tcW w:w="0" w:type="dxa"/>
            <w:vAlign w:val="bottom"/>
          </w:tcPr>
          <w:p>
            <w:pPr>
              <w:spacing w:after="0"/>
              <w:rPr>
                <w:sz w:val="1"/>
                <w:szCs w:val="1"/>
                <w:color w:val="auto"/>
              </w:rPr>
            </w:pPr>
          </w:p>
        </w:tc>
      </w:tr>
      <w:tr>
        <w:trPr>
          <w:trHeight w:val="28"/>
        </w:trPr>
        <w:tc>
          <w:tcPr>
            <w:tcW w:w="36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Excess tax benefits (deficiencies) in the amount of $(21), $(9) and $10 were recognized as a component of income tax expense during fiscal 2025, 2024 and 2023, respectively, resulting from the exercise of stock options and the release of restricted shares. The fiscal 2023 adjustment for impairment of non-deductible goodwill reflects the fact that there was no tax basis related to the impaired goodwill.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In July of 2025, new tax legislation was enacted under the One Big Beautiful Bill Act (the “Act”). While the Act includes a wide range of provisions that could impact our financial results in future periods, the passage of the Act did not have a material impact on our results of operations or financial condition in fiscal 2025.</w:t>
      </w:r>
    </w:p>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income tax effects of temporary differences and carryforwards, which give rise to significant portions of the deferred income tax assets and deferred income tax liabilities, are as follows: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58"/>
        </w:trPr>
        <w:tc>
          <w:tcPr>
            <w:tcW w:w="3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November 29,</w:t>
            </w: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November 30,</w:t>
            </w:r>
          </w:p>
        </w:tc>
        <w:tc>
          <w:tcPr>
            <w:tcW w:w="0" w:type="dxa"/>
            <w:vAlign w:val="bottom"/>
          </w:tcPr>
          <w:p>
            <w:pPr>
              <w:spacing w:after="0"/>
              <w:rPr>
                <w:sz w:val="1"/>
                <w:szCs w:val="1"/>
                <w:color w:val="auto"/>
              </w:rPr>
            </w:pPr>
          </w:p>
        </w:tc>
      </w:tr>
      <w:tr>
        <w:trPr>
          <w:trHeight w:val="177"/>
        </w:trPr>
        <w:tc>
          <w:tcPr>
            <w:tcW w:w="3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Trade accounts receivable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148"/>
        </w:trPr>
        <w:tc>
          <w:tcPr>
            <w:tcW w:w="314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Inventories</w:t>
            </w: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4,070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rPr>
              <w:t>3,867</w:t>
            </w:r>
          </w:p>
        </w:tc>
        <w:tc>
          <w:tcPr>
            <w:tcW w:w="0" w:type="dxa"/>
            <w:vAlign w:val="bottom"/>
          </w:tcPr>
          <w:p>
            <w:pPr>
              <w:spacing w:after="0"/>
              <w:rPr>
                <w:sz w:val="1"/>
                <w:szCs w:val="1"/>
                <w:color w:val="auto"/>
              </w:rPr>
            </w:pPr>
          </w:p>
        </w:tc>
      </w:tr>
      <w:tr>
        <w:trPr>
          <w:trHeight w:val="149"/>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Post employment benefit obligations</w:t>
            </w:r>
          </w:p>
        </w:tc>
        <w:tc>
          <w:tcPr>
            <w:tcW w:w="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2,498</w:t>
            </w:r>
          </w:p>
        </w:tc>
        <w:tc>
          <w:tcPr>
            <w:tcW w:w="0" w:type="dxa"/>
            <w:vAlign w:val="bottom"/>
          </w:tcPr>
          <w:p>
            <w:pPr>
              <w:spacing w:after="0"/>
              <w:rPr>
                <w:sz w:val="1"/>
                <w:szCs w:val="1"/>
                <w:color w:val="auto"/>
              </w:rPr>
            </w:pPr>
          </w:p>
        </w:tc>
      </w:tr>
      <w:tr>
        <w:trPr>
          <w:trHeight w:val="149"/>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Federal net operating loss and credit carryforwards</w:t>
            </w:r>
          </w:p>
        </w:tc>
        <w:tc>
          <w:tcPr>
            <w:tcW w:w="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1,107</w:t>
            </w:r>
          </w:p>
        </w:tc>
        <w:tc>
          <w:tcPr>
            <w:tcW w:w="0" w:type="dxa"/>
            <w:vAlign w:val="bottom"/>
          </w:tcPr>
          <w:p>
            <w:pPr>
              <w:spacing w:after="0"/>
              <w:rPr>
                <w:sz w:val="1"/>
                <w:szCs w:val="1"/>
                <w:color w:val="auto"/>
              </w:rPr>
            </w:pPr>
          </w:p>
        </w:tc>
      </w:tr>
      <w:tr>
        <w:trPr>
          <w:trHeight w:val="148"/>
        </w:trPr>
        <w:tc>
          <w:tcPr>
            <w:tcW w:w="314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State net operating loss carryforwards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621</w:t>
            </w:r>
          </w:p>
        </w:tc>
        <w:tc>
          <w:tcPr>
            <w:tcW w:w="0" w:type="dxa"/>
            <w:vAlign w:val="bottom"/>
          </w:tcPr>
          <w:p>
            <w:pPr>
              <w:spacing w:after="0"/>
              <w:rPr>
                <w:sz w:val="1"/>
                <w:szCs w:val="1"/>
                <w:color w:val="auto"/>
              </w:rPr>
            </w:pPr>
          </w:p>
        </w:tc>
      </w:tr>
      <w:tr>
        <w:trPr>
          <w:trHeight w:val="149"/>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net operating loss carryforwards</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2,264</w:t>
            </w:r>
          </w:p>
        </w:tc>
        <w:tc>
          <w:tcPr>
            <w:tcW w:w="0" w:type="dxa"/>
            <w:vAlign w:val="bottom"/>
          </w:tcPr>
          <w:p>
            <w:pPr>
              <w:spacing w:after="0"/>
              <w:rPr>
                <w:sz w:val="1"/>
                <w:szCs w:val="1"/>
                <w:color w:val="auto"/>
              </w:rPr>
            </w:pPr>
          </w:p>
        </w:tc>
      </w:tr>
      <w:tr>
        <w:trPr>
          <w:trHeight w:val="149"/>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 w:type="dxa"/>
            <w:vAlign w:val="bottom"/>
          </w:tcPr>
          <w:p>
            <w:pPr>
              <w:spacing w:after="0"/>
              <w:rPr>
                <w:sz w:val="12"/>
                <w:szCs w:val="12"/>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22,527</w:t>
            </w:r>
          </w:p>
        </w:tc>
        <w:tc>
          <w:tcPr>
            <w:tcW w:w="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27,138</w:t>
            </w:r>
          </w:p>
        </w:tc>
        <w:tc>
          <w:tcPr>
            <w:tcW w:w="0" w:type="dxa"/>
            <w:vAlign w:val="bottom"/>
          </w:tcPr>
          <w:p>
            <w:pPr>
              <w:spacing w:after="0"/>
              <w:rPr>
                <w:sz w:val="1"/>
                <w:szCs w:val="1"/>
                <w:color w:val="auto"/>
              </w:rPr>
            </w:pPr>
          </w:p>
        </w:tc>
      </w:tr>
      <w:tr>
        <w:trPr>
          <w:trHeight w:val="172"/>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1,182</w:t>
            </w:r>
          </w:p>
        </w:tc>
        <w:tc>
          <w:tcPr>
            <w:tcW w:w="0" w:type="dxa"/>
            <w:vAlign w:val="bottom"/>
          </w:tcPr>
          <w:p>
            <w:pPr>
              <w:spacing w:after="0"/>
              <w:rPr>
                <w:sz w:val="1"/>
                <w:szCs w:val="1"/>
                <w:color w:val="auto"/>
              </w:rPr>
            </w:pPr>
          </w:p>
        </w:tc>
      </w:tr>
      <w:tr>
        <w:trPr>
          <w:trHeight w:val="115"/>
        </w:trPr>
        <w:tc>
          <w:tcPr>
            <w:tcW w:w="3140" w:type="dxa"/>
            <w:vAlign w:val="bottom"/>
          </w:tcPr>
          <w:p>
            <w:pPr>
              <w:ind w:left="120"/>
              <w:spacing w:after="0" w:line="115" w:lineRule="exact"/>
              <w:rPr>
                <w:sz w:val="20"/>
                <w:szCs w:val="20"/>
                <w:color w:val="auto"/>
              </w:rPr>
            </w:pPr>
            <w:r>
              <w:rPr>
                <w:rFonts w:ascii="Times New Roman" w:cs="Times New Roman" w:eastAsia="Times New Roman" w:hAnsi="Times New Roman"/>
                <w:sz w:val="13"/>
                <w:szCs w:val="13"/>
                <w:color w:val="auto"/>
              </w:rPr>
              <w:t>Gross deferred income tax assets</w:t>
            </w: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33,137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38,955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Valuation allowance</w:t>
            </w:r>
          </w:p>
        </w:tc>
        <w:tc>
          <w:tcPr>
            <w:tcW w:w="8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(2,264)</w:t>
            </w:r>
          </w:p>
        </w:tc>
        <w:tc>
          <w:tcPr>
            <w:tcW w:w="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0" w:type="dxa"/>
            <w:vAlign w:val="bottom"/>
          </w:tcPr>
          <w:p>
            <w:pPr>
              <w:spacing w:after="0"/>
              <w:rPr>
                <w:sz w:val="1"/>
                <w:szCs w:val="1"/>
                <w:color w:val="auto"/>
              </w:rPr>
            </w:pPr>
          </w:p>
        </w:tc>
      </w:tr>
      <w:tr>
        <w:trPr>
          <w:trHeight w:val="166"/>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deferred income tax assets</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30,873</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 liabilities:</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and equipment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4,200</w:t>
            </w:r>
          </w:p>
        </w:tc>
        <w:tc>
          <w:tcPr>
            <w:tcW w:w="0" w:type="dxa"/>
            <w:vAlign w:val="bottom"/>
          </w:tcPr>
          <w:p>
            <w:pPr>
              <w:spacing w:after="0"/>
              <w:rPr>
                <w:sz w:val="1"/>
                <w:szCs w:val="1"/>
                <w:color w:val="auto"/>
              </w:rPr>
            </w:pPr>
          </w:p>
        </w:tc>
      </w:tr>
      <w:tr>
        <w:trPr>
          <w:trHeight w:val="149"/>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Intangible assets</w:t>
            </w:r>
          </w:p>
        </w:tc>
        <w:tc>
          <w:tcPr>
            <w:tcW w:w="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1,235</w:t>
            </w:r>
          </w:p>
        </w:tc>
        <w:tc>
          <w:tcPr>
            <w:tcW w:w="0" w:type="dxa"/>
            <w:vAlign w:val="bottom"/>
          </w:tcPr>
          <w:p>
            <w:pPr>
              <w:spacing w:after="0"/>
              <w:rPr>
                <w:sz w:val="1"/>
                <w:szCs w:val="1"/>
                <w:color w:val="auto"/>
              </w:rPr>
            </w:pPr>
          </w:p>
        </w:tc>
      </w:tr>
      <w:tr>
        <w:trPr>
          <w:trHeight w:val="148"/>
        </w:trPr>
        <w:tc>
          <w:tcPr>
            <w:tcW w:w="314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Operating lease assets</w:t>
            </w:r>
          </w:p>
        </w:tc>
        <w:tc>
          <w:tcPr>
            <w:tcW w:w="8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19,438</w:t>
            </w: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23,771</w:t>
            </w:r>
          </w:p>
        </w:tc>
        <w:tc>
          <w:tcPr>
            <w:tcW w:w="0" w:type="dxa"/>
            <w:vAlign w:val="bottom"/>
          </w:tcPr>
          <w:p>
            <w:pPr>
              <w:spacing w:after="0"/>
              <w:rPr>
                <w:sz w:val="1"/>
                <w:szCs w:val="1"/>
                <w:color w:val="auto"/>
              </w:rPr>
            </w:pPr>
          </w:p>
        </w:tc>
      </w:tr>
      <w:tr>
        <w:trPr>
          <w:trHeight w:val="172"/>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Prepaid expenses and other</w:t>
            </w:r>
          </w:p>
        </w:tc>
        <w:tc>
          <w:tcPr>
            <w:tcW w:w="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618</w:t>
            </w:r>
          </w:p>
        </w:tc>
        <w:tc>
          <w:tcPr>
            <w:tcW w:w="0" w:type="dxa"/>
            <w:vAlign w:val="bottom"/>
          </w:tcPr>
          <w:p>
            <w:pPr>
              <w:spacing w:after="0"/>
              <w:rPr>
                <w:sz w:val="1"/>
                <w:szCs w:val="1"/>
                <w:color w:val="auto"/>
              </w:rPr>
            </w:pPr>
          </w:p>
        </w:tc>
      </w:tr>
      <w:tr>
        <w:trPr>
          <w:trHeight w:val="144"/>
        </w:trPr>
        <w:tc>
          <w:tcPr>
            <w:tcW w:w="31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Total deferred income tax liabilities</w:t>
            </w: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24,894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29,824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deferred income tax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5,979</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6,867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have foreign net operating loss carryforwards attributable to Noa Home of $10,780 resulting in a deferred tax asset of $2,264 upon which we have placed a full valuation allowance. As of November 29, 2025, we have no remaining federal net operating loss carryforwards and we have state net operating loss carryforwards totaling $6,799 expiring in various years through 2044.</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Income taxes paid, net of refunds received, during fiscal 2025 was $379. Income tax refunds received, net of taxes paid, during fiscal 2024 and 2023 were $658 and $263, respectively.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regularly evaluate, assess and adjust our accrued liabilities for unrecognized tax benefits in light of changing facts and circumstances, which could cause the effective tax rate to fluctuate from period to period. Our liabilities for uncertain tax positions are not material.</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Significant judgment is required in evaluating the Company's federal and state tax positions and in the determination of its tax provision. Despite our belief that the liability for unrecognized tax benefits is adequate, it is often difficult to predict the final outcome or the timing of the resolution of any particular tax matter. We may adjust these liabilities as relevant circumstances evolve, such as guidance from the relevant tax authority, or resolution of issues in the courts. These adjustments are recognized as a component of income tax expense in the period in which they are identified. The Company also cannot predict when or if any other future tax payments related to these tax positions may occur.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remain subject to examination for tax years 2022 through 2025 for all of our major tax jurisdictions.</w:t>
      </w:r>
    </w:p>
    <w:p>
      <w:pPr>
        <w:spacing w:after="0" w:line="876" w:lineRule="exact"/>
        <w:rPr>
          <w:sz w:val="20"/>
          <w:szCs w:val="20"/>
          <w:color w:val="auto"/>
        </w:rPr>
      </w:pPr>
    </w:p>
    <w:p>
      <w:pPr>
        <w:sectPr>
          <w:pgSz w:w="15840" w:h="12240" w:orient="landscape"/>
          <w:cols w:equalWidth="0" w:num="2">
            <w:col w:w="7200" w:space="720"/>
            <w:col w:w="6440"/>
          </w:cols>
          <w:pgMar w:left="740" w:top="1424" w:right="740" w:bottom="940" w:gutter="0" w:footer="0" w:header="0"/>
        </w:sectPr>
      </w:pPr>
    </w:p>
    <w:p>
      <w:pPr>
        <w:spacing w:after="0" w:line="177"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37</w:t>
      </w:r>
      <w:r>
        <w:rPr>
          <w:sz w:val="20"/>
          <w:szCs w:val="20"/>
          <w:color w:val="auto"/>
        </w:rPr>
        <w:tab/>
      </w:r>
      <w:r>
        <w:rPr>
          <w:rFonts w:ascii="Times New Roman" w:cs="Times New Roman" w:eastAsia="Times New Roman" w:hAnsi="Times New Roman"/>
          <w:sz w:val="12"/>
          <w:szCs w:val="12"/>
          <w:color w:val="auto"/>
        </w:rPr>
        <w:t>38</w:t>
      </w:r>
    </w:p>
    <w:p>
      <w:pPr>
        <w:sectPr>
          <w:pgSz w:w="15840" w:h="12240" w:orient="landscape"/>
          <w:cols w:equalWidth="0" w:num="1">
            <w:col w:w="14360"/>
          </w:cols>
          <w:pgMar w:left="740" w:top="1424" w:right="740" w:bottom="9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Other Gains and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Asset Impairment Charges</w:t>
      </w:r>
    </w:p>
    <w:p>
      <w:pPr>
        <w:spacing w:after="0" w:line="148"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13"/>
          <w:szCs w:val="13"/>
          <w:color w:val="auto"/>
        </w:rPr>
        <w:t>During fiscal 2025, we recognized a non-cash charge of $498 for the impairment of a right-of-use asset at one underperforming retail store that is expected to be closed in fiscal 2026.</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fiscal 2024, we recognized non-cash charges for asset impairments totaling $5,515 which consisted of the following:</w:t>
      </w:r>
    </w:p>
    <w:p>
      <w:pPr>
        <w:spacing w:after="0" w:line="159" w:lineRule="exact"/>
        <w:rPr>
          <w:sz w:val="20"/>
          <w:szCs w:val="20"/>
          <w:color w:val="auto"/>
        </w:rPr>
      </w:pPr>
    </w:p>
    <w:p>
      <w:pPr>
        <w:jc w:val="both"/>
        <w:ind w:left="480" w:right="760" w:hanging="242"/>
        <w:spacing w:after="0" w:line="248" w:lineRule="auto"/>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ind w:left="480" w:right="760" w:hanging="242"/>
        <w:spacing w:after="0" w:line="238" w:lineRule="auto"/>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$727 for the impairment of plant and equipment in our wholesale segment related to the consolidation of our domestic wood production facilities.</w:t>
      </w:r>
    </w:p>
    <w:p>
      <w:pPr>
        <w:spacing w:after="0" w:line="1" w:lineRule="exact"/>
        <w:rPr>
          <w:rFonts w:ascii="Times New Roman" w:cs="Times New Roman" w:eastAsia="Times New Roman" w:hAnsi="Times New Roman"/>
          <w:sz w:val="13"/>
          <w:szCs w:val="13"/>
          <w:color w:val="auto"/>
        </w:rPr>
      </w:pPr>
    </w:p>
    <w:p>
      <w:pPr>
        <w:jc w:val="both"/>
        <w:ind w:left="480" w:right="760" w:hanging="242"/>
        <w:spacing w:after="0" w:line="238" w:lineRule="auto"/>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$1,901 for the impairment of long-lived assets at Noa Home. During the second quarter we concluded that Noa Home was not likely to achieve profitability in the foreseeable future and decided to cease operations by selling the remaining inventory in an orderly fashion through the end of fiscal 2024. $1,827 of these charges are for the full impairment of the Noa Home trade name intangible asset, and $74 relates to the full impairment of customized software used in the Noa Home operations.</w:t>
      </w:r>
    </w:p>
    <w:p>
      <w:pPr>
        <w:spacing w:after="0" w:line="129"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3"/>
          <w:szCs w:val="13"/>
          <w:color w:val="auto"/>
        </w:rPr>
        <w:t>Our estimates of the fair value of the impaired right-of-use assets included estimates of discounted cash flows based upon current market rents and other inputs which we consider to be Level 3 inputs as specified in the fair value hierarchy in ASC Topic 820, Fair Value Measurement and Disclosure.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Loss on Contract Abandonment</w:t>
      </w:r>
    </w:p>
    <w:p>
      <w:pPr>
        <w:spacing w:after="0" w:line="148" w:lineRule="exact"/>
        <w:rPr>
          <w:sz w:val="20"/>
          <w:szCs w:val="20"/>
          <w:color w:val="auto"/>
        </w:rPr>
      </w:pPr>
    </w:p>
    <w:p>
      <w:pPr>
        <w:jc w:val="both"/>
        <w:ind w:right="760"/>
        <w:spacing w:after="0" w:line="256" w:lineRule="auto"/>
        <w:rPr>
          <w:sz w:val="20"/>
          <w:szCs w:val="20"/>
          <w:color w:val="auto"/>
        </w:rPr>
      </w:pPr>
      <w:r>
        <w:rPr>
          <w:rFonts w:ascii="Times New Roman" w:cs="Times New Roman" w:eastAsia="Times New Roman" w:hAnsi="Times New Roman"/>
          <w:sz w:val="13"/>
          <w:szCs w:val="13"/>
          <w:color w:val="auto"/>
        </w:rPr>
        <w:t>During fiscal 2024, we recognized a charge of $1,240 to accrue the remaining minimum charges payable under a contract for logistical services which our wholesale segment ceased utilizing during the third fiscal quarter of 2024. As of November 29, 2025, this liability has been settled with no remaining charges due.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Loss Upon Realization of Cumulative Translation Adjustment</w:t>
      </w:r>
    </w:p>
    <w:p>
      <w:pPr>
        <w:spacing w:after="0" w:line="148" w:lineRule="exact"/>
        <w:rPr>
          <w:sz w:val="20"/>
          <w:szCs w:val="20"/>
          <w:color w:val="auto"/>
        </w:rPr>
      </w:pPr>
    </w:p>
    <w:p>
      <w:pPr>
        <w:jc w:val="both"/>
        <w:ind w:right="760"/>
        <w:spacing w:after="0" w:line="256" w:lineRule="auto"/>
        <w:rPr>
          <w:sz w:val="20"/>
          <w:szCs w:val="20"/>
          <w:color w:val="auto"/>
        </w:rPr>
      </w:pPr>
      <w:r>
        <w:rPr>
          <w:rFonts w:ascii="Times New Roman" w:cs="Times New Roman" w:eastAsia="Times New Roman" w:hAnsi="Times New Roman"/>
          <w:sz w:val="13"/>
          <w:szCs w:val="13"/>
          <w:color w:val="auto"/>
        </w:rPr>
        <w:t>In connection with the liquidation of the Noa Home business, we recognized a pre-tax charge of $962 during the fourth quarter of fiscal 2024 for the realization of cumulative translation adjustments previously carried in accumulated other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Restructuring Charges</w:t>
      </w:r>
    </w:p>
    <w:p>
      <w:pPr>
        <w:spacing w:after="0" w:line="148"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In the fourth quarter of fiscal 2024 we recognized a restructuring charge of $440 representing accrued severance pay for certain affected employees Of this charge, $190 was incurred by our retail segment, $83 by our wholesale segment, and $167 was charged to corporate and other. At November 30, 2024, $432 of the accrual remained in other current liabilities, all of which was paid out by the end of the second quarter of fiscal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Goodwill Impairment Charge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7 regarding the $5,409 non-cash charge during fiscal 2023 to impair goodwill associated with Noa Home.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Gain on Revaluation of Contingent Consideration</w:t>
      </w:r>
    </w:p>
    <w:p>
      <w:pPr>
        <w:spacing w:after="0" w:line="148" w:lineRule="exact"/>
        <w:rPr>
          <w:sz w:val="20"/>
          <w:szCs w:val="20"/>
          <w:color w:val="auto"/>
        </w:rPr>
      </w:pPr>
    </w:p>
    <w:p>
      <w:pPr>
        <w:jc w:val="both"/>
        <w:ind w:right="760"/>
        <w:spacing w:after="0" w:line="267" w:lineRule="auto"/>
        <w:rPr>
          <w:sz w:val="20"/>
          <w:szCs w:val="20"/>
          <w:color w:val="auto"/>
        </w:rPr>
      </w:pPr>
      <w:r>
        <w:rPr>
          <w:rFonts w:ascii="Times New Roman" w:cs="Times New Roman" w:eastAsia="Times New Roman" w:hAnsi="Times New Roman"/>
          <w:sz w:val="12"/>
          <w:szCs w:val="12"/>
          <w:color w:val="auto"/>
        </w:rPr>
        <w:t>Per the terms of the agreement by which we acquired Noa Home during fiscal 2022, the Noa Home co-founders also had the opportunity to receive additional cash payments totaling approximately C$1,330 per year for the three fiscal years following the year of acquisition based on established increases in net revenues and achieving certain internal EBITDA goals. Subsequent to the acquisition date, the parties concluded that the targets originally set forth by which the Noa Home co-founders were to earn the contingent consideration would likely not be met within the initially anticipated time frame. Therefore, during fiscal 2022 we agreed to replace the contingent consideration with two fixed payments of C$200 each, the first of which was paid in June of 2023 with the second paid in December of 2024. As a result of the write-down of the contingent consideration payable that was recognized at the acquisition date, we recorded a gain of $1,013 during fiscal 2023.</w:t>
      </w:r>
    </w:p>
    <w:p>
      <w:pPr>
        <w:spacing w:after="0" w:line="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3" w:lineRule="exact"/>
        <w:rPr>
          <w:sz w:val="20"/>
          <w:szCs w:val="20"/>
          <w:color w:val="auto"/>
        </w:rPr>
      </w:pPr>
    </w:p>
    <w:p>
      <w:pPr>
        <w:ind w:right="4580" w:firstLine="5"/>
        <w:spacing w:after="0" w:line="480" w:lineRule="auto"/>
        <w:tabs>
          <w:tab w:leader="none" w:pos="233" w:val="left"/>
        </w:tabs>
        <w:numPr>
          <w:ilvl w:val="0"/>
          <w:numId w:val="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Leases and Lease Guarantees Leases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“Leases” under Note 2 for a discussion of our accounting policies and elections under ASC Topic 842.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Supplemental balance sheet information related to our leases as of November 29, 2025 and November 30, 2024 is as follows:</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58"/>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November 29,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November 30,</w:t>
            </w:r>
          </w:p>
        </w:tc>
        <w:tc>
          <w:tcPr>
            <w:tcW w:w="0" w:type="dxa"/>
            <w:vAlign w:val="bottom"/>
          </w:tcPr>
          <w:p>
            <w:pPr>
              <w:spacing w:after="0"/>
              <w:rPr>
                <w:sz w:val="1"/>
                <w:szCs w:val="1"/>
                <w:color w:val="auto"/>
              </w:rPr>
            </w:pPr>
          </w:p>
        </w:tc>
      </w:tr>
      <w:tr>
        <w:trPr>
          <w:trHeight w:val="176"/>
        </w:trPr>
        <w:tc>
          <w:tcPr>
            <w:tcW w:w="1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11"/>
        </w:trPr>
        <w:tc>
          <w:tcPr>
            <w:tcW w:w="19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auto"/>
              </w:rPr>
              <w:t>Right of use assets</w:t>
            </w:r>
          </w:p>
        </w:tc>
        <w:tc>
          <w:tcPr>
            <w:tcW w:w="32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76,727</w:t>
            </w:r>
          </w:p>
        </w:tc>
        <w:tc>
          <w:tcPr>
            <w:tcW w:w="18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93,624</w:t>
            </w:r>
          </w:p>
        </w:tc>
        <w:tc>
          <w:tcPr>
            <w:tcW w:w="0" w:type="dxa"/>
            <w:vAlign w:val="bottom"/>
          </w:tcPr>
          <w:p>
            <w:pPr>
              <w:spacing w:after="0"/>
              <w:rPr>
                <w:sz w:val="1"/>
                <w:szCs w:val="1"/>
                <w:color w:val="auto"/>
              </w:rPr>
            </w:pPr>
          </w:p>
        </w:tc>
      </w:tr>
      <w:tr>
        <w:trPr>
          <w:trHeight w:val="149"/>
        </w:trPr>
        <w:tc>
          <w:tcPr>
            <w:tcW w:w="1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 short-term</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19,299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18,050</w:t>
            </w:r>
          </w:p>
        </w:tc>
        <w:tc>
          <w:tcPr>
            <w:tcW w:w="0" w:type="dxa"/>
            <w:vAlign w:val="bottom"/>
          </w:tcPr>
          <w:p>
            <w:pPr>
              <w:spacing w:after="0"/>
              <w:rPr>
                <w:sz w:val="1"/>
                <w:szCs w:val="1"/>
                <w:color w:val="auto"/>
              </w:rPr>
            </w:pPr>
          </w:p>
        </w:tc>
      </w:tr>
      <w:tr>
        <w:trPr>
          <w:trHeight w:val="172"/>
        </w:trPr>
        <w:tc>
          <w:tcPr>
            <w:tcW w:w="1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 long-term</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69,353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88,395</w:t>
            </w:r>
          </w:p>
        </w:tc>
        <w:tc>
          <w:tcPr>
            <w:tcW w:w="0" w:type="dxa"/>
            <w:vAlign w:val="bottom"/>
          </w:tcPr>
          <w:p>
            <w:pPr>
              <w:spacing w:after="0"/>
              <w:rPr>
                <w:sz w:val="1"/>
                <w:szCs w:val="1"/>
                <w:color w:val="auto"/>
              </w:rPr>
            </w:pPr>
          </w:p>
        </w:tc>
      </w:tr>
      <w:tr>
        <w:trPr>
          <w:trHeight w:val="275"/>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Right of use assets (1)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696</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48"/>
        </w:trPr>
        <w:tc>
          <w:tcPr>
            <w:tcW w:w="190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auto"/>
              </w:rPr>
              <w:t>Lease liabilities, short-term (2)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230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72"/>
        </w:trPr>
        <w:tc>
          <w:tcPr>
            <w:tcW w:w="1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 long-term (3)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249"/>
        <w:spacing w:after="0"/>
        <w:tabs>
          <w:tab w:leader="none" w:pos="5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property &amp; equipment, net in our consolidated balance sheet.</w:t>
      </w:r>
    </w:p>
    <w:p>
      <w:pPr>
        <w:spacing w:after="0" w:line="29"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other current liabilities and accrued expenses in our consolidated balance sheet.</w:t>
      </w:r>
    </w:p>
    <w:p>
      <w:pPr>
        <w:spacing w:after="0" w:line="29"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other long-term liabilities and accrued expenses in our consolidated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right-of-use assets under operating leases by segment as of November 29, 2025 and November 30, 2024 are as follows:</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58"/>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November 29,</w:t>
            </w:r>
          </w:p>
        </w:tc>
        <w:tc>
          <w:tcPr>
            <w:tcW w:w="12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November 30,</w:t>
            </w:r>
          </w:p>
        </w:tc>
        <w:tc>
          <w:tcPr>
            <w:tcW w:w="0" w:type="dxa"/>
            <w:vAlign w:val="bottom"/>
          </w:tcPr>
          <w:p>
            <w:pPr>
              <w:spacing w:after="0"/>
              <w:rPr>
                <w:sz w:val="1"/>
                <w:szCs w:val="1"/>
                <w:color w:val="auto"/>
              </w:rPr>
            </w:pPr>
          </w:p>
        </w:tc>
      </w:tr>
      <w:tr>
        <w:trPr>
          <w:trHeight w:val="177"/>
        </w:trPr>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Wholesale</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10"/>
        </w:trPr>
        <w:tc>
          <w:tcPr>
            <w:tcW w:w="2100" w:type="dxa"/>
            <w:vAlign w:val="bottom"/>
            <w:gridSpan w:val="2"/>
            <w:vMerge w:val="continue"/>
          </w:tcPr>
          <w:p>
            <w:pPr>
              <w:spacing w:after="0"/>
              <w:rPr>
                <w:sz w:val="9"/>
                <w:szCs w:val="9"/>
                <w:color w:val="auto"/>
              </w:rPr>
            </w:pP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5,013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6,861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Retail</w:t>
            </w:r>
          </w:p>
        </w:tc>
        <w:tc>
          <w:tcPr>
            <w:tcW w:w="1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71,714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86,763</w:t>
            </w:r>
          </w:p>
        </w:tc>
        <w:tc>
          <w:tcPr>
            <w:tcW w:w="0" w:type="dxa"/>
            <w:vAlign w:val="bottom"/>
          </w:tcPr>
          <w:p>
            <w:pPr>
              <w:spacing w:after="0"/>
              <w:rPr>
                <w:sz w:val="1"/>
                <w:szCs w:val="1"/>
                <w:color w:val="auto"/>
              </w:rPr>
            </w:pPr>
          </w:p>
        </w:tc>
      </w:tr>
      <w:tr>
        <w:trPr>
          <w:trHeight w:val="153"/>
        </w:trPr>
        <w:tc>
          <w:tcPr>
            <w:tcW w:w="208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auto"/>
              </w:rPr>
              <w:t>Total right of use assets</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gridSpan w:val="2"/>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76,727</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93,624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components of our lease cost for 2025, 2024 and 2023 were as follows:</w:t>
      </w:r>
    </w:p>
    <w:p>
      <w:pPr>
        <w:spacing w:after="0" w:line="145"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2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Lease cost:</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cost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24,065</w:t>
            </w:r>
          </w:p>
        </w:tc>
        <w:tc>
          <w:tcPr>
            <w:tcW w:w="2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24,287</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Financing lease cost: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148"/>
        </w:trPr>
        <w:tc>
          <w:tcPr>
            <w:tcW w:w="284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Interest on lease liabilities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33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Short-term lease cost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Variable lease cost (net of abatements received)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Sublease income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(1,011 )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(801 )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(1,093 )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Total lease cost</w:t>
            </w: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22,798</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23,983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40</w:t>
      </w:r>
    </w:p>
    <w:p>
      <w:pPr>
        <w:sectPr>
          <w:pgSz w:w="15840" w:h="12240" w:orient="landscape"/>
          <w:cols w:equalWidth="0" w:num="2">
            <w:col w:w="7200" w:space="720"/>
            <w:col w:w="6440"/>
          </w:cols>
          <w:pgMar w:left="740" w:top="1424" w:right="740" w:bottom="929"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jc w:val="both"/>
        <w:ind w:right="760"/>
        <w:spacing w:after="0" w:line="273" w:lineRule="auto"/>
        <w:rPr>
          <w:sz w:val="20"/>
          <w:szCs w:val="20"/>
          <w:color w:val="auto"/>
        </w:rPr>
      </w:pPr>
      <w:r>
        <w:rPr>
          <w:rFonts w:ascii="Times New Roman" w:cs="Times New Roman" w:eastAsia="Times New Roman" w:hAnsi="Times New Roman"/>
          <w:sz w:val="13"/>
          <w:szCs w:val="13"/>
          <w:color w:val="auto"/>
        </w:rPr>
        <w:t>Supplemental lease disclosures as of November 29, 2025, November 30, 2024 and November 25, 2023 and for the fiscal years then ended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Financing</w:t>
            </w:r>
          </w:p>
        </w:tc>
      </w:tr>
      <w:tr>
        <w:trPr>
          <w:trHeight w:val="266"/>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For the year ended November 25, 2023:</w:t>
            </w:r>
          </w:p>
        </w:tc>
        <w:tc>
          <w:tcPr>
            <w:tcW w:w="8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amounts included in the measurements of lease liabilities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26,854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301</w:t>
            </w:r>
          </w:p>
        </w:tc>
      </w:tr>
      <w:tr>
        <w:trPr>
          <w:trHeight w:val="172"/>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liabilities arising from new right-of-use assets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21,921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75"/>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For the year ended November 30, 2024:</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amounts included in the measurements of lease liabilities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26,558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287</w:t>
            </w:r>
          </w:p>
        </w:tc>
      </w:tr>
      <w:tr>
        <w:trPr>
          <w:trHeight w:val="172"/>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liabilities arising from new right-of-use assets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11,050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197</w:t>
            </w:r>
          </w:p>
        </w:tc>
      </w:tr>
      <w:tr>
        <w:trPr>
          <w:trHeight w:val="275"/>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For the year ended November 29, 2025:</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8"/>
        </w:trPr>
        <w:tc>
          <w:tcPr>
            <w:tcW w:w="454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Cash paid for amounts included in the measurements of lease liabilities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3"/>
                <w:szCs w:val="13"/>
                <w:color w:val="auto"/>
              </w:rPr>
              <w:t>26,142</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178</w:t>
            </w:r>
          </w:p>
        </w:tc>
      </w:tr>
      <w:tr>
        <w:trPr>
          <w:trHeight w:val="172"/>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liabilities arising from new right-of-use assets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609</w:t>
            </w:r>
          </w:p>
        </w:tc>
      </w:tr>
      <w:tr>
        <w:trPr>
          <w:trHeight w:val="275"/>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As of November 25, 2023:</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Weighted average remaining lease terms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Weighted average discount rates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5.78 %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275"/>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As of November 30, 2024:</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8"/>
        </w:trPr>
        <w:tc>
          <w:tcPr>
            <w:tcW w:w="454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Weighted average remaining lease terms (years)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5.6</w:t>
            </w:r>
          </w:p>
        </w:tc>
        <w:tc>
          <w:tcPr>
            <w:tcW w:w="1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3.1</w:t>
            </w:r>
          </w:p>
        </w:tc>
      </w:tr>
      <w:tr>
        <w:trPr>
          <w:trHeight w:val="172"/>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Weighted average discount rates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6.28 %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6.56%</w:t>
            </w:r>
          </w:p>
        </w:tc>
      </w:tr>
      <w:tr>
        <w:trPr>
          <w:trHeight w:val="275"/>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As of November 29, 2025:</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Weighted average remaining lease terms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6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w:t>
            </w:r>
          </w:p>
        </w:tc>
      </w:tr>
      <w:tr>
        <w:trPr>
          <w:trHeight w:val="172"/>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Weighted average discount rates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6.51 %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7.37%</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Future payments under our leases and the present value of the obligations as of November 29, 2025 are as follows:</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Financing</w:t>
            </w:r>
          </w:p>
        </w:tc>
      </w:tr>
      <w:tr>
        <w:trPr>
          <w:trHeight w:val="177"/>
        </w:trPr>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0" w:type="dxa"/>
            <w:vAlign w:val="bottom"/>
          </w:tcPr>
          <w:p>
            <w:pPr>
              <w:spacing w:after="0"/>
              <w:rPr>
                <w:sz w:val="15"/>
                <w:szCs w:val="15"/>
                <w:color w:val="auto"/>
              </w:rPr>
            </w:pPr>
          </w:p>
        </w:tc>
      </w:tr>
      <w:tr>
        <w:trPr>
          <w:trHeight w:val="260"/>
        </w:trPr>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24,364</w:t>
            </w: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276</w:t>
            </w:r>
          </w:p>
        </w:tc>
      </w:tr>
      <w:tr>
        <w:trPr>
          <w:trHeight w:val="148"/>
        </w:trPr>
        <w:tc>
          <w:tcPr>
            <w:tcW w:w="206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Fiscal 2027</w:t>
            </w: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22,929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272</w:t>
            </w:r>
          </w:p>
        </w:tc>
      </w:tr>
      <w:tr>
        <w:trPr>
          <w:trHeight w:val="149"/>
        </w:trPr>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2028</w:t>
            </w:r>
          </w:p>
        </w:tc>
        <w:tc>
          <w:tcPr>
            <w:tcW w:w="1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20,141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190</w:t>
            </w:r>
          </w:p>
        </w:tc>
      </w:tr>
      <w:tr>
        <w:trPr>
          <w:trHeight w:val="149"/>
        </w:trPr>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2029</w:t>
            </w:r>
          </w:p>
        </w:tc>
        <w:tc>
          <w:tcPr>
            <w:tcW w:w="1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13,586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83</w:t>
            </w:r>
          </w:p>
        </w:tc>
      </w:tr>
      <w:tr>
        <w:trPr>
          <w:trHeight w:val="148"/>
        </w:trPr>
        <w:tc>
          <w:tcPr>
            <w:tcW w:w="206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Fiscal 2030</w:t>
            </w: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9,626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5</w:t>
            </w:r>
          </w:p>
        </w:tc>
      </w:tr>
      <w:tr>
        <w:trPr>
          <w:trHeight w:val="172"/>
        </w:trPr>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r>
      <w:tr>
        <w:trPr>
          <w:trHeight w:val="116"/>
        </w:trPr>
        <w:tc>
          <w:tcPr>
            <w:tcW w:w="2060" w:type="dxa"/>
            <w:vAlign w:val="bottom"/>
            <w:gridSpan w:val="2"/>
          </w:tcPr>
          <w:p>
            <w:pPr>
              <w:ind w:left="100"/>
              <w:spacing w:after="0" w:line="116" w:lineRule="exact"/>
              <w:rPr>
                <w:sz w:val="20"/>
                <w:szCs w:val="20"/>
                <w:color w:val="auto"/>
              </w:rPr>
            </w:pPr>
            <w:r>
              <w:rPr>
                <w:rFonts w:ascii="Times New Roman" w:cs="Times New Roman" w:eastAsia="Times New Roman" w:hAnsi="Times New Roman"/>
                <w:sz w:val="13"/>
                <w:szCs w:val="13"/>
                <w:color w:val="auto"/>
              </w:rPr>
              <w:t>Total lease payments</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104,219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826</w:t>
            </w:r>
          </w:p>
        </w:tc>
        <w:tc>
          <w:tcPr>
            <w:tcW w:w="20" w:type="dxa"/>
            <w:vAlign w:val="bottom"/>
          </w:tcPr>
          <w:p>
            <w:pPr>
              <w:spacing w:after="0"/>
              <w:rPr>
                <w:sz w:val="10"/>
                <w:szCs w:val="10"/>
                <w:color w:val="auto"/>
              </w:rPr>
            </w:pPr>
          </w:p>
        </w:tc>
      </w:tr>
      <w:tr>
        <w:trPr>
          <w:trHeight w:val="172"/>
        </w:trPr>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Less: interest</w:t>
            </w: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15,567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86</w:t>
            </w:r>
          </w:p>
        </w:tc>
      </w:tr>
      <w:tr>
        <w:trPr>
          <w:trHeight w:val="153"/>
        </w:trPr>
        <w:tc>
          <w:tcPr>
            <w:tcW w:w="2040" w:type="dxa"/>
            <w:vAlign w:val="bottom"/>
          </w:tcPr>
          <w:p>
            <w:pPr>
              <w:ind w:left="220"/>
              <w:spacing w:after="0" w:line="145" w:lineRule="exact"/>
              <w:rPr>
                <w:sz w:val="20"/>
                <w:szCs w:val="20"/>
                <w:color w:val="auto"/>
              </w:rPr>
            </w:pPr>
            <w:r>
              <w:rPr>
                <w:rFonts w:ascii="Times New Roman" w:cs="Times New Roman" w:eastAsia="Times New Roman" w:hAnsi="Times New Roman"/>
                <w:sz w:val="13"/>
                <w:szCs w:val="13"/>
                <w:color w:val="auto"/>
              </w:rPr>
              <w:t>Total lease obligations</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88,652</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740</w:t>
            </w:r>
          </w:p>
        </w:tc>
        <w:tc>
          <w:tcPr>
            <w:tcW w:w="20" w:type="dxa"/>
            <w:vAlign w:val="bottom"/>
          </w:tcPr>
          <w:p>
            <w:pPr>
              <w:spacing w:after="0"/>
              <w:rPr>
                <w:sz w:val="13"/>
                <w:szCs w:val="13"/>
                <w:color w:val="auto"/>
              </w:rPr>
            </w:pPr>
          </w:p>
        </w:tc>
      </w:tr>
    </w:tbl>
    <w:p>
      <w:pPr>
        <w:spacing w:after="0" w:line="117"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We sublease a small number of our leased locations to certain of our licensees for operation as BHF network stores. The terms of these leases generally match those of the lease we have with the lessor. In addition, we sublease space in certain closed store and warehouse locations that are still under lease. Minimum future lease payments due to us under these subleases are as follows:</w:t>
      </w:r>
    </w:p>
    <w:p>
      <w:pPr>
        <w:spacing w:after="0" w:line="121" w:lineRule="exact"/>
        <w:rPr>
          <w:sz w:val="20"/>
          <w:szCs w:val="20"/>
          <w:color w:val="auto"/>
        </w:rPr>
      </w:pPr>
    </w:p>
    <w:tbl>
      <w:tblPr>
        <w:tblLayout w:type="fixed"/>
        <w:tblInd w:w="1740" w:type="dxa"/>
        <w:tblCellMar>
          <w:top w:w="0" w:type="dxa"/>
          <w:left w:w="0" w:type="dxa"/>
          <w:bottom w:w="0" w:type="dxa"/>
          <w:right w:w="0" w:type="dxa"/>
        </w:tblCellMar>
      </w:tblPr>
      <w:tr>
        <w:trPr>
          <w:trHeight w:val="154"/>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2026</w:t>
            </w:r>
          </w:p>
        </w:tc>
        <w:tc>
          <w:tcPr>
            <w:tcW w:w="200" w:type="dxa"/>
            <w:vAlign w:val="bottom"/>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810</w:t>
            </w:r>
          </w:p>
        </w:tc>
      </w:tr>
      <w:tr>
        <w:trPr>
          <w:trHeight w:val="149"/>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2027</w:t>
            </w:r>
          </w:p>
        </w:tc>
        <w:tc>
          <w:tcPr>
            <w:tcW w:w="2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245</w:t>
            </w:r>
          </w:p>
        </w:tc>
      </w:tr>
      <w:tr>
        <w:trPr>
          <w:trHeight w:val="148"/>
        </w:trPr>
        <w:tc>
          <w:tcPr>
            <w:tcW w:w="230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Fiscal 2028</w:t>
            </w:r>
          </w:p>
        </w:tc>
        <w:tc>
          <w:tcPr>
            <w:tcW w:w="2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2029</w:t>
            </w:r>
          </w:p>
        </w:tc>
        <w:tc>
          <w:tcPr>
            <w:tcW w:w="2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2030</w:t>
            </w:r>
          </w:p>
        </w:tc>
        <w:tc>
          <w:tcPr>
            <w:tcW w:w="2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52"/>
        </w:trPr>
        <w:tc>
          <w:tcPr>
            <w:tcW w:w="22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Total minimum future rental income</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1,055</w:t>
            </w:r>
          </w:p>
        </w:tc>
        <w:tc>
          <w:tcPr>
            <w:tcW w:w="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Lease Commitments</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3"/>
          <w:szCs w:val="13"/>
          <w:color w:val="auto"/>
        </w:rPr>
        <w:t>At November 29, 2025, we had commitments for three leases of real property which are expected to commence during fiscal 2026. Together, these leases call for total annual rents averaging approximately $1,105 per year for an initial term of ten years. All three leases have two five-year renewal options.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Guarantees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As part of the strategy for our store program, we have guaranteed certain lease obligations of licensee operators. The remaining term under these lease guarantees extends for six years. We were contingently liable under licensee lease obligation guarantees in the amount of $4,148 and $5,131 at November 29, 2025 and November 30, 2024, respectively.</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In the event of default by an independent dealer under the guaranteed lease, we believe that the risk of loss is mitigated through a combination of options that include, but are not limited to, arranging for a replacement dealer, liquidating the collateral, and pursuing payment under the personal guarantees of the independent dealer. The proceeds of the above options are estimated to cover the maximum amount of our future payments under the guarantee obligations, net of reserves. The fair value of lease guarantees (an estimate of the cost to the Company to perform on these guarantees) at November 29, 2025 and November 30, 2024, were not material.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16. Contingencies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are involved in various claims and actions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17. Earnings (Loss) Per Share</w:t>
      </w:r>
    </w:p>
    <w:p>
      <w:pPr>
        <w:spacing w:after="0" w:line="152"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earnings (loss)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480"/>
              <w:spacing w:after="0" w:line="148" w:lineRule="exact"/>
              <w:rPr>
                <w:sz w:val="20"/>
                <w:szCs w:val="20"/>
                <w:color w:val="auto"/>
              </w:rPr>
            </w:pPr>
            <w:r>
              <w:rPr>
                <w:rFonts w:ascii="Times New Roman" w:cs="Times New Roman" w:eastAsia="Times New Roman" w:hAnsi="Times New Roman"/>
                <w:sz w:val="13"/>
                <w:szCs w:val="13"/>
                <w:color w:val="auto"/>
              </w:rPr>
              <w:t>Numerator:</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300" w:type="dxa"/>
            <w:vAlign w:val="bottom"/>
            <w:gridSpan w:val="2"/>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(9,695 )</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(3,171)</w:t>
            </w:r>
          </w:p>
        </w:tc>
        <w:tc>
          <w:tcPr>
            <w:tcW w:w="0" w:type="dxa"/>
            <w:vAlign w:val="bottom"/>
          </w:tcPr>
          <w:p>
            <w:pPr>
              <w:spacing w:after="0"/>
              <w:rPr>
                <w:sz w:val="1"/>
                <w:szCs w:val="1"/>
                <w:color w:val="auto"/>
              </w:rPr>
            </w:pPr>
          </w:p>
        </w:tc>
      </w:tr>
      <w:tr>
        <w:trPr>
          <w:trHeight w:val="271"/>
        </w:trPr>
        <w:tc>
          <w:tcPr>
            <w:tcW w:w="36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Denominator:</w:t>
            </w:r>
          </w:p>
        </w:tc>
        <w:tc>
          <w:tcPr>
            <w:tcW w:w="1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6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Denominator for basic income per share - weighted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580"/>
              <w:spacing w:after="0" w:line="149" w:lineRule="exact"/>
              <w:rPr>
                <w:sz w:val="20"/>
                <w:szCs w:val="20"/>
                <w:color w:val="auto"/>
              </w:rPr>
            </w:pPr>
            <w:r>
              <w:rPr>
                <w:rFonts w:ascii="Times New Roman" w:cs="Times New Roman" w:eastAsia="Times New Roman" w:hAnsi="Times New Roman"/>
                <w:sz w:val="13"/>
                <w:szCs w:val="13"/>
                <w:color w:val="auto"/>
              </w:rPr>
              <w:t>average shares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8,657,989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8,733,215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8,784,759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Effect of dilutive securities*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33,553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3600" w:type="dxa"/>
            <w:vAlign w:val="bottom"/>
          </w:tcPr>
          <w:p>
            <w:pPr>
              <w:ind w:left="480"/>
              <w:spacing w:after="0" w:line="116" w:lineRule="exact"/>
              <w:rPr>
                <w:sz w:val="20"/>
                <w:szCs w:val="20"/>
                <w:color w:val="auto"/>
              </w:rPr>
            </w:pPr>
            <w:r>
              <w:rPr>
                <w:rFonts w:ascii="Times New Roman" w:cs="Times New Roman" w:eastAsia="Times New Roman" w:hAnsi="Times New Roman"/>
                <w:sz w:val="13"/>
                <w:szCs w:val="13"/>
                <w:color w:val="auto"/>
              </w:rPr>
              <w:t>Denominator for diluted income per share — weighted</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60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average shares and assumed conversions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8,691,542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8,733,215</w:t>
            </w: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8,784,759</w:t>
            </w:r>
          </w:p>
        </w:tc>
        <w:tc>
          <w:tcPr>
            <w:tcW w:w="0" w:type="dxa"/>
            <w:vAlign w:val="bottom"/>
          </w:tcPr>
          <w:p>
            <w:pPr>
              <w:spacing w:after="0"/>
              <w:rPr>
                <w:sz w:val="1"/>
                <w:szCs w:val="1"/>
                <w:color w:val="auto"/>
              </w:rPr>
            </w:pPr>
          </w:p>
        </w:tc>
      </w:tr>
      <w:tr>
        <w:trPr>
          <w:trHeight w:val="31"/>
        </w:trPr>
        <w:tc>
          <w:tcPr>
            <w:tcW w:w="3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3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Basic income (loss) per share</w:t>
            </w:r>
          </w:p>
        </w:tc>
        <w:tc>
          <w:tcPr>
            <w:tcW w:w="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300" w:type="dxa"/>
            <w:vAlign w:val="bottom"/>
            <w:gridSpan w:val="2"/>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(1.11 )</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Diluted income (loss) per share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140" w:type="dxa"/>
            <w:vAlign w:val="bottom"/>
          </w:tcPr>
          <w:p>
            <w:pPr>
              <w:spacing w:after="0"/>
              <w:rPr>
                <w:sz w:val="24"/>
                <w:szCs w:val="24"/>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(1.11 )</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125"/>
        <w:spacing w:after="0" w:line="274" w:lineRule="auto"/>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to the net loss in 2024 and 2023, the potentially dilutive securities would have been anti-dilutive and are therefore excluded.</w:t>
      </w:r>
    </w:p>
    <w:p>
      <w:pPr>
        <w:spacing w:after="0" w:line="10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3"/>
          <w:szCs w:val="13"/>
          <w:color w:val="auto"/>
        </w:rPr>
        <w:t>For fiscal 2025, 2024 and 2023, the following potentially dilutive shares were excluded from the computations as their effect was anti-dilutive:</w:t>
      </w:r>
    </w:p>
    <w:p>
      <w:pPr>
        <w:spacing w:after="0" w:line="101" w:lineRule="exact"/>
        <w:rPr>
          <w:sz w:val="20"/>
          <w:szCs w:val="20"/>
          <w:color w:val="auto"/>
        </w:rPr>
      </w:pPr>
    </w:p>
    <w:tbl>
      <w:tblPr>
        <w:tblLayout w:type="fixed"/>
        <w:tblInd w:w="1180" w:type="dxa"/>
        <w:tblCellMar>
          <w:top w:w="0" w:type="dxa"/>
          <w:left w:w="0" w:type="dxa"/>
          <w:bottom w:w="0" w:type="dxa"/>
          <w:right w:w="0" w:type="dxa"/>
        </w:tblCellMar>
      </w:tblPr>
      <w:tr>
        <w:trPr>
          <w:trHeight w:val="178"/>
        </w:trPr>
        <w:tc>
          <w:tcPr>
            <w:tcW w:w="2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5"/>
                <w:szCs w:val="15"/>
                <w:color w:val="auto"/>
              </w:rPr>
            </w:pPr>
          </w:p>
        </w:tc>
      </w:tr>
      <w:tr>
        <w:trPr>
          <w:trHeight w:val="16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Unvested restricted shares</w:t>
            </w: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94,409</w:t>
            </w:r>
          </w:p>
        </w:tc>
        <w:tc>
          <w:tcPr>
            <w:tcW w:w="10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92,313</w:t>
            </w:r>
          </w:p>
        </w:tc>
        <w:tc>
          <w:tcPr>
            <w:tcW w:w="20" w:type="dxa"/>
            <w:vAlign w:val="bottom"/>
          </w:tcPr>
          <w:p>
            <w:pPr>
              <w:spacing w:after="0"/>
              <w:rPr>
                <w:sz w:val="14"/>
                <w:szCs w:val="14"/>
                <w:color w:val="auto"/>
              </w:rPr>
            </w:pPr>
          </w:p>
        </w:tc>
      </w:tr>
    </w:tbl>
    <w:p>
      <w:pPr>
        <w:spacing w:after="0" w:line="287" w:lineRule="exact"/>
        <w:rPr>
          <w:sz w:val="20"/>
          <w:szCs w:val="20"/>
          <w:color w:val="auto"/>
        </w:rPr>
      </w:pPr>
    </w:p>
    <w:p>
      <w:pPr>
        <w:sectPr>
          <w:pgSz w:w="15840" w:h="12240" w:orient="landscape"/>
          <w:cols w:equalWidth="0" w:num="2">
            <w:col w:w="7200" w:space="720"/>
            <w:col w:w="6440"/>
          </w:cols>
          <w:pgMar w:left="740" w:top="1424" w:right="740" w:bottom="940" w:gutter="0" w:footer="0" w:header="0"/>
        </w:sectPr>
      </w:pPr>
    </w:p>
    <w:p>
      <w:pPr>
        <w:spacing w:after="0" w:line="49"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2"/>
          <w:szCs w:val="12"/>
          <w:color w:val="auto"/>
        </w:rPr>
        <w:t>42</w:t>
      </w:r>
    </w:p>
    <w:p>
      <w:pPr>
        <w:sectPr>
          <w:pgSz w:w="15840" w:h="12240" w:orient="landscape"/>
          <w:cols w:equalWidth="0" w:num="1">
            <w:col w:w="14360"/>
          </w:cols>
          <w:pgMar w:left="740" w:top="1424" w:right="740" w:bottom="9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Segment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segment results of operations for each of the last three fiscal years:</w:t>
      </w:r>
    </w:p>
    <w:p>
      <w:pPr>
        <w:spacing w:after="0" w:line="143" w:lineRule="exact"/>
        <w:rPr>
          <w:sz w:val="20"/>
          <w:szCs w:val="20"/>
          <w:color w:val="auto"/>
        </w:rPr>
      </w:pPr>
    </w:p>
    <w:p>
      <w:pPr>
        <w:sectPr>
          <w:pgSz w:w="15840" w:h="12240" w:orient="landscape"/>
          <w:cols w:equalWidth="0" w:num="2">
            <w:col w:w="7200" w:space="720"/>
            <w:col w:w="6400"/>
          </w:cols>
          <w:pgMar w:left="740" w:top="1424" w:right="780" w:bottom="940" w:gutter="0" w:footer="0" w:header="0"/>
        </w:sectPr>
      </w:pPr>
    </w:p>
    <w:p>
      <w:pPr>
        <w:spacing w:after="0" w:line="16"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 xml:space="preserve">We report segment information consistent with the way our chief operating decision maker (the “CDOM”), a single individual who serves as our Board Chair, President and Chief Executive Officer, evaluates the operating results and performance of the Company. We have strategically aligned our business into two reportable segments as defined in ASC 280, </w:t>
      </w:r>
      <w:r>
        <w:rPr>
          <w:rFonts w:ascii="Times New Roman" w:cs="Times New Roman" w:eastAsia="Times New Roman" w:hAnsi="Times New Roman"/>
          <w:sz w:val="13"/>
          <w:szCs w:val="13"/>
          <w:i w:val="1"/>
          <w:iCs w:val="1"/>
          <w:color w:val="auto"/>
        </w:rPr>
        <w:t>Segment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Reporting</w:t>
      </w:r>
      <w:r>
        <w:rPr>
          <w:rFonts w:ascii="Times New Roman" w:cs="Times New Roman" w:eastAsia="Times New Roman" w:hAnsi="Times New Roman"/>
          <w:sz w:val="13"/>
          <w:szCs w:val="13"/>
          <w:color w:val="auto"/>
        </w:rPr>
        <w:t>, and as described below:</w:t>
      </w:r>
    </w:p>
    <w:p>
      <w:pPr>
        <w:spacing w:after="0" w:line="117" w:lineRule="exact"/>
        <w:rPr>
          <w:sz w:val="20"/>
          <w:szCs w:val="20"/>
          <w:color w:val="auto"/>
        </w:rPr>
      </w:pPr>
    </w:p>
    <w:p>
      <w:pPr>
        <w:jc w:val="both"/>
        <w:ind w:left="480" w:right="760" w:hanging="242"/>
        <w:spacing w:after="0" w:line="252" w:lineRule="auto"/>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Wholesale. </w:t>
      </w:r>
      <w:r>
        <w:rPr>
          <w:rFonts w:ascii="Times New Roman" w:cs="Times New Roman" w:eastAsia="Times New Roman" w:hAnsi="Times New Roman"/>
          <w:sz w:val="13"/>
          <w:szCs w:val="13"/>
          <w:color w:val="auto"/>
        </w:rPr>
        <w:t>The wholesale home furnishings segment is involved principally in the design, manufacture, sourcing,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sale and distribution of furniture products to a network of Bassett stores (Company-owned and licensee-owned retail stores) and independent furniture retailers. Our wholesale segment includes our wood and upholstery operations, which includes Lane Venture.</w:t>
      </w:r>
    </w:p>
    <w:p>
      <w:pPr>
        <w:spacing w:after="0" w:line="116" w:lineRule="exact"/>
        <w:rPr>
          <w:rFonts w:ascii="Times New Roman" w:cs="Times New Roman" w:eastAsia="Times New Roman" w:hAnsi="Times New Roman"/>
          <w:sz w:val="13"/>
          <w:szCs w:val="13"/>
          <w:color w:val="auto"/>
        </w:rPr>
      </w:pPr>
    </w:p>
    <w:p>
      <w:pPr>
        <w:jc w:val="both"/>
        <w:ind w:left="480" w:right="760" w:hanging="242"/>
        <w:spacing w:after="0" w:line="259" w:lineRule="auto"/>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Retail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Company-owned stores. </w:t>
      </w:r>
      <w:r>
        <w:rPr>
          <w:rFonts w:ascii="Times New Roman" w:cs="Times New Roman" w:eastAsia="Times New Roman" w:hAnsi="Times New Roman"/>
          <w:sz w:val="13"/>
          <w:szCs w:val="13"/>
          <w:color w:val="auto"/>
        </w:rPr>
        <w:t>Our retail segment consists of Company-owned stores and includes the revenues,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expenses, assets and liabilities and capital expenditures directly related to these stores and the Company-owned distribution network utilized to deliver products to our retail customers.</w:t>
      </w:r>
    </w:p>
    <w:p>
      <w:pPr>
        <w:spacing w:after="0" w:line="115" w:lineRule="exact"/>
        <w:rPr>
          <w:sz w:val="20"/>
          <w:szCs w:val="20"/>
          <w:color w:val="auto"/>
        </w:rPr>
      </w:pPr>
    </w:p>
    <w:p>
      <w:pPr>
        <w:jc w:val="both"/>
        <w:ind w:right="760"/>
        <w:spacing w:after="0" w:line="241" w:lineRule="auto"/>
        <w:rPr>
          <w:sz w:val="20"/>
          <w:szCs w:val="20"/>
          <w:color w:val="auto"/>
        </w:rPr>
      </w:pPr>
      <w:r>
        <w:rPr>
          <w:rFonts w:ascii="Times New Roman" w:cs="Times New Roman" w:eastAsia="Times New Roman" w:hAnsi="Times New Roman"/>
          <w:sz w:val="13"/>
          <w:szCs w:val="13"/>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November 29, 2025, November 30, 2024 and November 25, 2023, the only such operating segment included in Corporate and other is Noa Home, which was acquired on September 2, 2022. All sales reported in our Corporate and other category are attributable to Noa Home, which generated substantially all of its sales outside of the United States. During the second fiscal quarter of 2024 we concluded that Noa Home was not likely to achieve profitability in the foreseeable future and ceased operations as of November 30, 2024 after selling the remaining inventory in an orderly fashion over the second half of fiscal 2024.</w:t>
      </w:r>
    </w:p>
    <w:p>
      <w:pPr>
        <w:spacing w:after="0" w:line="132" w:lineRule="exact"/>
        <w:rPr>
          <w:sz w:val="20"/>
          <w:szCs w:val="20"/>
          <w:color w:val="auto"/>
        </w:rPr>
      </w:pPr>
    </w:p>
    <w:p>
      <w:pPr>
        <w:jc w:val="both"/>
        <w:ind w:right="760"/>
        <w:spacing w:after="0" w:line="247" w:lineRule="auto"/>
        <w:rPr>
          <w:sz w:val="20"/>
          <w:szCs w:val="20"/>
          <w:color w:val="auto"/>
        </w:rPr>
      </w:pPr>
      <w:r>
        <w:rPr>
          <w:rFonts w:ascii="Times New Roman" w:cs="Times New Roman" w:eastAsia="Times New Roman" w:hAnsi="Times New Roman"/>
          <w:sz w:val="13"/>
          <w:szCs w:val="13"/>
          <w:color w:val="auto"/>
        </w:rPr>
        <w:t>Inter-segment net sales and cost of goods sold eliminations represent the elimination of wholesale sales to our Company-owned stores. Inter-segment gross profit elimination represents the change in the embedded wholesale profit in the Company-owned store inventory that has not been realized. These profits are recorded when merchandise is delivered to the retail consumer. The inter-segment SG&amp;A expense elimination includes rent charged to our retail stores occupying Company-owned real estate.</w:t>
      </w:r>
    </w:p>
    <w:p>
      <w:pPr>
        <w:spacing w:after="0" w:line="124"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13"/>
          <w:szCs w:val="13"/>
          <w:color w:val="auto"/>
        </w:rPr>
        <w:t>For the purpose of evaluating segment performance and allocating resources, our CODM uses a measure of income (loss) from operations excluding special items. These excluded items include such things as asset impairment charges, restructuring charges, and other unusual or infrequent gains and losses which management does not expect to recur on a regular routine basis (see Note 14, Other Gains and Losses, for further discussion of these items). The CODM assesses performance by regularly reviewing each segment’s significant expense categories which include total cost of goods sold and total SG&amp;A expenses. If these significant expense categories deviate from expected results, the CODM will delegate to his direct reports the task of identifying the underlying causes and, when necessary, making recommendations for remedial action to the CODM for his consideration and approval.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to external customers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Intersegment sales</w:t>
      </w:r>
    </w:p>
    <w:p>
      <w:pPr>
        <w:ind w:left="120"/>
        <w:spacing w:after="0"/>
        <w:rPr>
          <w:sz w:val="20"/>
          <w:szCs w:val="20"/>
          <w:color w:val="auto"/>
        </w:rPr>
      </w:pPr>
      <w:r>
        <w:rPr>
          <w:rFonts w:ascii="Times New Roman" w:cs="Times New Roman" w:eastAsia="Times New Roman" w:hAnsi="Times New Roman"/>
          <w:sz w:val="12"/>
          <w:szCs w:val="12"/>
          <w:color w:val="auto"/>
        </w:rPr>
        <w:t>Total net sales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 of goods sold</w:t>
      </w:r>
    </w:p>
    <w:p>
      <w:pPr>
        <w:spacing w:after="0" w:line="232" w:lineRule="auto"/>
        <w:rPr>
          <w:sz w:val="20"/>
          <w:szCs w:val="20"/>
          <w:color w:val="auto"/>
        </w:rPr>
      </w:pPr>
      <w:r>
        <w:rPr>
          <w:rFonts w:ascii="Times New Roman" w:cs="Times New Roman" w:eastAsia="Times New Roman" w:hAnsi="Times New Roman"/>
          <w:sz w:val="12"/>
          <w:szCs w:val="12"/>
          <w:color w:val="auto"/>
        </w:rPr>
        <w:t>SG&amp;A expense</w:t>
      </w:r>
    </w:p>
    <w:p>
      <w:pPr>
        <w:ind w:left="360" w:hanging="115"/>
        <w:spacing w:after="0" w:line="243" w:lineRule="auto"/>
        <w:rPr>
          <w:sz w:val="20"/>
          <w:szCs w:val="20"/>
          <w:color w:val="auto"/>
        </w:rPr>
      </w:pPr>
      <w:r>
        <w:rPr>
          <w:rFonts w:ascii="Times New Roman" w:cs="Times New Roman" w:eastAsia="Times New Roman" w:hAnsi="Times New Roman"/>
          <w:sz w:val="12"/>
          <w:szCs w:val="12"/>
          <w:color w:val="auto"/>
        </w:rPr>
        <w:t>Income (loss) from operations excluding special items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Asset impairment charges</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Income (loss) from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income</w:t>
      </w:r>
    </w:p>
    <w:p>
      <w:pPr>
        <w:spacing w:after="0" w:line="233" w:lineRule="auto"/>
        <w:rPr>
          <w:sz w:val="20"/>
          <w:szCs w:val="20"/>
          <w:color w:val="auto"/>
        </w:rPr>
      </w:pPr>
      <w:r>
        <w:rPr>
          <w:rFonts w:ascii="Times New Roman" w:cs="Times New Roman" w:eastAsia="Times New Roman" w:hAnsi="Times New Roman"/>
          <w:sz w:val="12"/>
          <w:szCs w:val="12"/>
          <w:color w:val="auto"/>
        </w:rPr>
        <w:t>Interest expense</w:t>
      </w:r>
    </w:p>
    <w:p>
      <w:pPr>
        <w:spacing w:after="0" w:line="232" w:lineRule="auto"/>
        <w:rPr>
          <w:sz w:val="20"/>
          <w:szCs w:val="20"/>
          <w:color w:val="auto"/>
        </w:rPr>
      </w:pPr>
      <w:r>
        <w:rPr>
          <w:rFonts w:ascii="Times New Roman" w:cs="Times New Roman" w:eastAsia="Times New Roman" w:hAnsi="Times New Roman"/>
          <w:sz w:val="12"/>
          <w:szCs w:val="12"/>
          <w:color w:val="auto"/>
        </w:rPr>
        <w:t>Other loss, net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to external customers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Intersegment sales</w:t>
      </w:r>
    </w:p>
    <w:p>
      <w:pPr>
        <w:ind w:left="120"/>
        <w:spacing w:after="0"/>
        <w:rPr>
          <w:sz w:val="20"/>
          <w:szCs w:val="20"/>
          <w:color w:val="auto"/>
        </w:rPr>
      </w:pPr>
      <w:r>
        <w:rPr>
          <w:rFonts w:ascii="Times New Roman" w:cs="Times New Roman" w:eastAsia="Times New Roman" w:hAnsi="Times New Roman"/>
          <w:sz w:val="12"/>
          <w:szCs w:val="12"/>
          <w:color w:val="auto"/>
        </w:rPr>
        <w:t>Total net sales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 of goods sold</w:t>
      </w:r>
    </w:p>
    <w:p>
      <w:pPr>
        <w:spacing w:after="0" w:line="232" w:lineRule="auto"/>
        <w:rPr>
          <w:sz w:val="20"/>
          <w:szCs w:val="20"/>
          <w:color w:val="auto"/>
        </w:rPr>
      </w:pPr>
      <w:r>
        <w:rPr>
          <w:rFonts w:ascii="Times New Roman" w:cs="Times New Roman" w:eastAsia="Times New Roman" w:hAnsi="Times New Roman"/>
          <w:sz w:val="12"/>
          <w:szCs w:val="12"/>
          <w:color w:val="auto"/>
        </w:rPr>
        <w:t>SG&amp;A expense</w:t>
      </w:r>
    </w:p>
    <w:p>
      <w:pPr>
        <w:ind w:left="360" w:hanging="115"/>
        <w:spacing w:after="0" w:line="243" w:lineRule="auto"/>
        <w:rPr>
          <w:sz w:val="20"/>
          <w:szCs w:val="20"/>
          <w:color w:val="auto"/>
        </w:rPr>
      </w:pPr>
      <w:r>
        <w:rPr>
          <w:rFonts w:ascii="Times New Roman" w:cs="Times New Roman" w:eastAsia="Times New Roman" w:hAnsi="Times New Roman"/>
          <w:sz w:val="12"/>
          <w:szCs w:val="12"/>
          <w:color w:val="auto"/>
        </w:rPr>
        <w:t>Income (loss) from operations excluding special items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Asset impairment charges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Loss on contract abandonment</w:t>
      </w:r>
    </w:p>
    <w:p>
      <w:pPr>
        <w:ind w:left="120" w:right="280" w:hanging="115"/>
        <w:spacing w:after="0" w:line="232" w:lineRule="auto"/>
        <w:rPr>
          <w:sz w:val="20"/>
          <w:szCs w:val="20"/>
          <w:color w:val="auto"/>
        </w:rPr>
      </w:pPr>
      <w:r>
        <w:rPr>
          <w:rFonts w:ascii="Times New Roman" w:cs="Times New Roman" w:eastAsia="Times New Roman" w:hAnsi="Times New Roman"/>
          <w:sz w:val="12"/>
          <w:szCs w:val="12"/>
          <w:color w:val="auto"/>
        </w:rPr>
        <w:t>Loss upon realization of cumulative translation adjustment</w:t>
      </w:r>
    </w:p>
    <w:p>
      <w:pPr>
        <w:spacing w:after="0" w:line="1"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0"/>
          <w:szCs w:val="10"/>
          <w:color w:val="auto"/>
        </w:rPr>
        <w:t>Restructuring charges</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Income (loss) from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income</w:t>
      </w:r>
    </w:p>
    <w:p>
      <w:pPr>
        <w:spacing w:after="0" w:line="233" w:lineRule="auto"/>
        <w:rPr>
          <w:sz w:val="20"/>
          <w:szCs w:val="20"/>
          <w:color w:val="auto"/>
        </w:rPr>
      </w:pPr>
      <w:r>
        <w:rPr>
          <w:rFonts w:ascii="Times New Roman" w:cs="Times New Roman" w:eastAsia="Times New Roman" w:hAnsi="Times New Roman"/>
          <w:sz w:val="12"/>
          <w:szCs w:val="12"/>
          <w:color w:val="auto"/>
        </w:rPr>
        <w:t>Interest expense</w:t>
      </w:r>
    </w:p>
    <w:p>
      <w:pPr>
        <w:spacing w:after="0" w:line="232" w:lineRule="auto"/>
        <w:rPr>
          <w:sz w:val="20"/>
          <w:szCs w:val="20"/>
          <w:color w:val="auto"/>
        </w:rPr>
      </w:pPr>
      <w:r>
        <w:rPr>
          <w:rFonts w:ascii="Times New Roman" w:cs="Times New Roman" w:eastAsia="Times New Roman" w:hAnsi="Times New Roman"/>
          <w:sz w:val="12"/>
          <w:szCs w:val="12"/>
          <w:color w:val="auto"/>
        </w:rPr>
        <w:t>Other loss, net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Loss before income taxes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to external customers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Intersegment sales</w:t>
      </w:r>
    </w:p>
    <w:p>
      <w:pPr>
        <w:ind w:left="120"/>
        <w:spacing w:after="0"/>
        <w:rPr>
          <w:sz w:val="20"/>
          <w:szCs w:val="20"/>
          <w:color w:val="auto"/>
        </w:rPr>
      </w:pPr>
      <w:r>
        <w:rPr>
          <w:rFonts w:ascii="Times New Roman" w:cs="Times New Roman" w:eastAsia="Times New Roman" w:hAnsi="Times New Roman"/>
          <w:sz w:val="12"/>
          <w:szCs w:val="12"/>
          <w:color w:val="auto"/>
        </w:rPr>
        <w:t>Total net sales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 of goods sold</w:t>
      </w:r>
    </w:p>
    <w:p>
      <w:pPr>
        <w:spacing w:after="0" w:line="233" w:lineRule="auto"/>
        <w:rPr>
          <w:sz w:val="20"/>
          <w:szCs w:val="20"/>
          <w:color w:val="auto"/>
        </w:rPr>
      </w:pPr>
      <w:r>
        <w:rPr>
          <w:rFonts w:ascii="Times New Roman" w:cs="Times New Roman" w:eastAsia="Times New Roman" w:hAnsi="Times New Roman"/>
          <w:sz w:val="12"/>
          <w:szCs w:val="12"/>
          <w:color w:val="auto"/>
        </w:rPr>
        <w:t>SG&amp;A expense</w:t>
      </w:r>
    </w:p>
    <w:p>
      <w:pPr>
        <w:ind w:left="360" w:hanging="115"/>
        <w:spacing w:after="0" w:line="242" w:lineRule="auto"/>
        <w:rPr>
          <w:sz w:val="20"/>
          <w:szCs w:val="20"/>
          <w:color w:val="auto"/>
        </w:rPr>
      </w:pPr>
      <w:r>
        <w:rPr>
          <w:rFonts w:ascii="Times New Roman" w:cs="Times New Roman" w:eastAsia="Times New Roman" w:hAnsi="Times New Roman"/>
          <w:sz w:val="12"/>
          <w:szCs w:val="12"/>
          <w:color w:val="auto"/>
        </w:rPr>
        <w:t>Income (loss) from operations excluding special items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Goodwill impairment charge</w:t>
      </w:r>
    </w:p>
    <w:p>
      <w:pPr>
        <w:spacing w:after="0" w:line="16" w:lineRule="exact"/>
        <w:rPr>
          <w:sz w:val="20"/>
          <w:szCs w:val="20"/>
          <w:color w:val="auto"/>
        </w:rPr>
      </w:pPr>
    </w:p>
    <w:p>
      <w:pPr>
        <w:ind w:left="240" w:right="240" w:hanging="232"/>
        <w:spacing w:after="0" w:line="290" w:lineRule="auto"/>
        <w:rPr>
          <w:sz w:val="20"/>
          <w:szCs w:val="20"/>
          <w:color w:val="auto"/>
        </w:rPr>
      </w:pPr>
      <w:r>
        <w:rPr>
          <w:rFonts w:ascii="Times New Roman" w:cs="Times New Roman" w:eastAsia="Times New Roman" w:hAnsi="Times New Roman"/>
          <w:sz w:val="10"/>
          <w:szCs w:val="10"/>
          <w:color w:val="auto"/>
        </w:rPr>
        <w:t>Gain on revaluation of contingent consideration Income (loss) from operations</w:t>
      </w:r>
    </w:p>
    <w:p>
      <w:pPr>
        <w:spacing w:after="0" w:line="232" w:lineRule="auto"/>
        <w:rPr>
          <w:sz w:val="20"/>
          <w:szCs w:val="20"/>
          <w:color w:val="auto"/>
        </w:rPr>
      </w:pPr>
      <w:r>
        <w:rPr>
          <w:rFonts w:ascii="Times New Roman" w:cs="Times New Roman" w:eastAsia="Times New Roman" w:hAnsi="Times New Roman"/>
          <w:sz w:val="12"/>
          <w:szCs w:val="12"/>
          <w:color w:val="auto"/>
        </w:rPr>
        <w:t>Interest income</w:t>
      </w:r>
    </w:p>
    <w:p>
      <w:pPr>
        <w:spacing w:after="0" w:line="234" w:lineRule="auto"/>
        <w:rPr>
          <w:sz w:val="20"/>
          <w:szCs w:val="20"/>
          <w:color w:val="auto"/>
        </w:rPr>
      </w:pPr>
      <w:r>
        <w:rPr>
          <w:rFonts w:ascii="Times New Roman" w:cs="Times New Roman" w:eastAsia="Times New Roman" w:hAnsi="Times New Roman"/>
          <w:sz w:val="12"/>
          <w:szCs w:val="12"/>
          <w:color w:val="auto"/>
        </w:rPr>
        <w:t>Interest expense</w:t>
      </w:r>
    </w:p>
    <w:p>
      <w:pPr>
        <w:spacing w:after="0" w:line="232" w:lineRule="auto"/>
        <w:rPr>
          <w:sz w:val="20"/>
          <w:szCs w:val="20"/>
          <w:color w:val="auto"/>
        </w:rPr>
      </w:pPr>
      <w:r>
        <w:rPr>
          <w:rFonts w:ascii="Times New Roman" w:cs="Times New Roman" w:eastAsia="Times New Roman" w:hAnsi="Times New Roman"/>
          <w:sz w:val="12"/>
          <w:szCs w:val="12"/>
          <w:color w:val="auto"/>
        </w:rPr>
        <w:t>Other loss, net</w:t>
      </w:r>
    </w:p>
    <w:p>
      <w:pPr>
        <w:ind w:left="240"/>
        <w:spacing w:after="0"/>
        <w:rPr>
          <w:sz w:val="20"/>
          <w:szCs w:val="20"/>
          <w:color w:val="auto"/>
        </w:rPr>
      </w:pPr>
      <w:r>
        <w:rPr>
          <w:rFonts w:ascii="Times New Roman" w:cs="Times New Roman" w:eastAsia="Times New Roman" w:hAnsi="Times New Roman"/>
          <w:sz w:val="12"/>
          <w:szCs w:val="12"/>
          <w:color w:val="auto"/>
        </w:rPr>
        <w:t>Loss before income taxes</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Year Ended November 29,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103"/>
              <w:spacing w:after="0" w:line="106" w:lineRule="exact"/>
              <w:rPr>
                <w:sz w:val="20"/>
                <w:szCs w:val="20"/>
                <w:color w:val="auto"/>
              </w:rPr>
            </w:pPr>
            <w:r>
              <w:rPr>
                <w:rFonts w:ascii="Times New Roman" w:cs="Times New Roman" w:eastAsia="Times New Roman" w:hAnsi="Times New Roman"/>
                <w:sz w:val="12"/>
                <w:szCs w:val="12"/>
                <w:color w:val="auto"/>
                <w:w w:val="95"/>
              </w:rPr>
              <w:t>Corporate</w:t>
            </w:r>
          </w:p>
        </w:tc>
        <w:tc>
          <w:tcPr>
            <w:tcW w:w="740" w:type="dxa"/>
            <w:vAlign w:val="bottom"/>
            <w:tcBorders>
              <w:top w:val="single" w:sz="8" w:color="auto"/>
            </w:tcBorders>
            <w:gridSpan w:val="2"/>
          </w:tcPr>
          <w:p>
            <w:pPr>
              <w:jc w:val="right"/>
              <w:ind w:right="23"/>
              <w:spacing w:after="0" w:line="106" w:lineRule="exact"/>
              <w:rPr>
                <w:sz w:val="20"/>
                <w:szCs w:val="20"/>
                <w:color w:val="auto"/>
              </w:rPr>
            </w:pPr>
            <w:r>
              <w:rPr>
                <w:rFonts w:ascii="Times New Roman" w:cs="Times New Roman" w:eastAsia="Times New Roman" w:hAnsi="Times New Roman"/>
                <w:sz w:val="12"/>
                <w:szCs w:val="12"/>
                <w:color w:val="auto"/>
              </w:rPr>
              <w:t>Intersegment</w:t>
            </w: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56"/>
        </w:trPr>
        <w:tc>
          <w:tcPr>
            <w:tcW w:w="6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w w:val="94"/>
              </w:rPr>
              <w:t>Wholesale</w:t>
            </w:r>
          </w:p>
        </w:tc>
        <w:tc>
          <w:tcPr>
            <w:tcW w:w="200" w:type="dxa"/>
            <w:vAlign w:val="bottom"/>
          </w:tcPr>
          <w:p>
            <w:pPr>
              <w:spacing w:after="0"/>
              <w:rPr>
                <w:sz w:val="13"/>
                <w:szCs w:val="13"/>
                <w:color w:val="auto"/>
              </w:rPr>
            </w:pPr>
          </w:p>
        </w:tc>
        <w:tc>
          <w:tcPr>
            <w:tcW w:w="600" w:type="dxa"/>
            <w:vAlign w:val="bottom"/>
          </w:tcPr>
          <w:p>
            <w:pPr>
              <w:jc w:val="right"/>
              <w:ind w:right="203"/>
              <w:spacing w:after="0"/>
              <w:rPr>
                <w:sz w:val="20"/>
                <w:szCs w:val="20"/>
                <w:color w:val="auto"/>
              </w:rPr>
            </w:pPr>
            <w:r>
              <w:rPr>
                <w:rFonts w:ascii="Times New Roman" w:cs="Times New Roman" w:eastAsia="Times New Roman" w:hAnsi="Times New Roman"/>
                <w:sz w:val="12"/>
                <w:szCs w:val="12"/>
                <w:color w:val="auto"/>
              </w:rPr>
              <w:t>Retail</w:t>
            </w:r>
          </w:p>
        </w:tc>
        <w:tc>
          <w:tcPr>
            <w:tcW w:w="120" w:type="dxa"/>
            <w:vAlign w:val="bottom"/>
          </w:tcPr>
          <w:p>
            <w:pPr>
              <w:spacing w:after="0"/>
              <w:rPr>
                <w:sz w:val="13"/>
                <w:szCs w:val="13"/>
                <w:color w:val="auto"/>
              </w:rPr>
            </w:pPr>
          </w:p>
        </w:tc>
        <w:tc>
          <w:tcPr>
            <w:tcW w:w="660" w:type="dxa"/>
            <w:vAlign w:val="bottom"/>
          </w:tcPr>
          <w:p>
            <w:pPr>
              <w:jc w:val="center"/>
              <w:ind w:right="103"/>
              <w:spacing w:after="0"/>
              <w:rPr>
                <w:sz w:val="20"/>
                <w:szCs w:val="20"/>
                <w:color w:val="auto"/>
              </w:rPr>
            </w:pPr>
            <w:r>
              <w:rPr>
                <w:rFonts w:ascii="Times New Roman" w:cs="Times New Roman" w:eastAsia="Times New Roman" w:hAnsi="Times New Roman"/>
                <w:sz w:val="12"/>
                <w:szCs w:val="12"/>
                <w:color w:val="auto"/>
                <w:w w:val="95"/>
              </w:rPr>
              <w:t>&amp; Other</w:t>
            </w:r>
          </w:p>
        </w:tc>
        <w:tc>
          <w:tcPr>
            <w:tcW w:w="740" w:type="dxa"/>
            <w:vAlign w:val="bottom"/>
            <w:gridSpan w:val="2"/>
          </w:tcPr>
          <w:p>
            <w:pPr>
              <w:jc w:val="right"/>
              <w:ind w:right="23"/>
              <w:spacing w:after="0"/>
              <w:rPr>
                <w:sz w:val="20"/>
                <w:szCs w:val="20"/>
                <w:color w:val="auto"/>
              </w:rPr>
            </w:pPr>
            <w:r>
              <w:rPr>
                <w:rFonts w:ascii="Times New Roman" w:cs="Times New Roman" w:eastAsia="Times New Roman" w:hAnsi="Times New Roman"/>
                <w:sz w:val="12"/>
                <w:szCs w:val="12"/>
                <w:color w:val="auto"/>
              </w:rPr>
              <w:t>Eliminations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94"/>
              </w:rPr>
              <w:t>Consolidated</w:t>
            </w:r>
          </w:p>
        </w:tc>
      </w:tr>
      <w:tr>
        <w:trPr>
          <w:trHeight w:val="235"/>
        </w:trPr>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118,599</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216,681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335,280</w:t>
            </w:r>
          </w:p>
        </w:tc>
        <w:tc>
          <w:tcPr>
            <w:tcW w:w="20" w:type="dxa"/>
            <w:vAlign w:val="bottom"/>
          </w:tcPr>
          <w:p>
            <w:pPr>
              <w:spacing w:after="0"/>
              <w:rPr>
                <w:sz w:val="20"/>
                <w:szCs w:val="20"/>
                <w:color w:val="auto"/>
              </w:rPr>
            </w:pPr>
          </w:p>
        </w:tc>
      </w:tr>
      <w:tr>
        <w:trPr>
          <w:trHeight w:val="156"/>
        </w:trPr>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96,015</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(96,015)</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01"/>
        </w:trPr>
        <w:tc>
          <w:tcPr>
            <w:tcW w:w="60" w:type="dxa"/>
            <w:vAlign w:val="bottom"/>
          </w:tcPr>
          <w:p>
            <w:pPr>
              <w:spacing w:after="0"/>
              <w:rPr>
                <w:sz w:val="8"/>
                <w:szCs w:val="8"/>
                <w:color w:val="auto"/>
              </w:rPr>
            </w:pPr>
          </w:p>
        </w:tc>
        <w:tc>
          <w:tcPr>
            <w:tcW w:w="640" w:type="dxa"/>
            <w:vAlign w:val="bottom"/>
          </w:tcPr>
          <w:p>
            <w:pPr>
              <w:jc w:val="right"/>
              <w:ind w:right="3"/>
              <w:spacing w:after="0" w:line="101" w:lineRule="exact"/>
              <w:rPr>
                <w:sz w:val="20"/>
                <w:szCs w:val="20"/>
                <w:color w:val="auto"/>
              </w:rPr>
            </w:pPr>
            <w:r>
              <w:rPr>
                <w:rFonts w:ascii="Times New Roman" w:cs="Times New Roman" w:eastAsia="Times New Roman" w:hAnsi="Times New Roman"/>
                <w:sz w:val="10"/>
                <w:szCs w:val="10"/>
                <w:color w:val="auto"/>
              </w:rPr>
              <w:t>214,614</w:t>
            </w:r>
          </w:p>
        </w:tc>
        <w:tc>
          <w:tcPr>
            <w:tcW w:w="200" w:type="dxa"/>
            <w:vAlign w:val="bottom"/>
          </w:tcPr>
          <w:p>
            <w:pPr>
              <w:spacing w:after="0"/>
              <w:rPr>
                <w:sz w:val="8"/>
                <w:szCs w:val="8"/>
                <w:color w:val="auto"/>
              </w:rPr>
            </w:pPr>
          </w:p>
        </w:tc>
        <w:tc>
          <w:tcPr>
            <w:tcW w:w="600" w:type="dxa"/>
            <w:vAlign w:val="bottom"/>
          </w:tcPr>
          <w:p>
            <w:pPr>
              <w:jc w:val="right"/>
              <w:ind w:right="23"/>
              <w:spacing w:after="0" w:line="101" w:lineRule="exact"/>
              <w:rPr>
                <w:sz w:val="20"/>
                <w:szCs w:val="20"/>
                <w:color w:val="auto"/>
              </w:rPr>
            </w:pPr>
            <w:r>
              <w:rPr>
                <w:rFonts w:ascii="Times New Roman" w:cs="Times New Roman" w:eastAsia="Times New Roman" w:hAnsi="Times New Roman"/>
                <w:sz w:val="10"/>
                <w:szCs w:val="10"/>
                <w:color w:val="auto"/>
              </w:rPr>
              <w:t>216,681</w:t>
            </w:r>
          </w:p>
        </w:tc>
        <w:tc>
          <w:tcPr>
            <w:tcW w:w="120" w:type="dxa"/>
            <w:vAlign w:val="bottom"/>
          </w:tcPr>
          <w:p>
            <w:pPr>
              <w:spacing w:after="0"/>
              <w:rPr>
                <w:sz w:val="8"/>
                <w:szCs w:val="8"/>
                <w:color w:val="auto"/>
              </w:rPr>
            </w:pPr>
          </w:p>
        </w:tc>
        <w:tc>
          <w:tcPr>
            <w:tcW w:w="660" w:type="dxa"/>
            <w:vAlign w:val="bottom"/>
          </w:tcPr>
          <w:p>
            <w:pPr>
              <w:jc w:val="right"/>
              <w:ind w:right="43"/>
              <w:spacing w:after="0" w:line="101"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(96,015)</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335,280</w:t>
            </w:r>
          </w:p>
        </w:tc>
        <w:tc>
          <w:tcPr>
            <w:tcW w:w="20" w:type="dxa"/>
            <w:vAlign w:val="bottom"/>
          </w:tcPr>
          <w:p>
            <w:pPr>
              <w:spacing w:after="0"/>
              <w:rPr>
                <w:sz w:val="8"/>
                <w:szCs w:val="8"/>
                <w:color w:val="auto"/>
              </w:rPr>
            </w:pPr>
          </w:p>
        </w:tc>
      </w:tr>
      <w:tr>
        <w:trPr>
          <w:trHeight w:val="134"/>
        </w:trPr>
        <w:tc>
          <w:tcPr>
            <w:tcW w:w="60" w:type="dxa"/>
            <w:vAlign w:val="bottom"/>
          </w:tcPr>
          <w:p>
            <w:pPr>
              <w:spacing w:after="0"/>
              <w:rPr>
                <w:sz w:val="11"/>
                <w:szCs w:val="11"/>
                <w:color w:val="auto"/>
              </w:rPr>
            </w:pPr>
          </w:p>
        </w:tc>
        <w:tc>
          <w:tcPr>
            <w:tcW w:w="640" w:type="dxa"/>
            <w:vAlign w:val="bottom"/>
          </w:tcPr>
          <w:p>
            <w:pPr>
              <w:jc w:val="right"/>
              <w:ind w:right="3"/>
              <w:spacing w:after="0" w:line="134" w:lineRule="exact"/>
              <w:rPr>
                <w:sz w:val="20"/>
                <w:szCs w:val="20"/>
                <w:color w:val="auto"/>
              </w:rPr>
            </w:pPr>
            <w:r>
              <w:rPr>
                <w:rFonts w:ascii="Times New Roman" w:cs="Times New Roman" w:eastAsia="Times New Roman" w:hAnsi="Times New Roman"/>
                <w:sz w:val="12"/>
                <w:szCs w:val="12"/>
                <w:color w:val="auto"/>
              </w:rPr>
              <w:t>138,883</w:t>
            </w:r>
          </w:p>
        </w:tc>
        <w:tc>
          <w:tcPr>
            <w:tcW w:w="200" w:type="dxa"/>
            <w:vAlign w:val="bottom"/>
          </w:tcPr>
          <w:p>
            <w:pPr>
              <w:spacing w:after="0"/>
              <w:rPr>
                <w:sz w:val="11"/>
                <w:szCs w:val="11"/>
                <w:color w:val="auto"/>
              </w:rPr>
            </w:pPr>
          </w:p>
        </w:tc>
        <w:tc>
          <w:tcPr>
            <w:tcW w:w="600" w:type="dxa"/>
            <w:vAlign w:val="bottom"/>
          </w:tcPr>
          <w:p>
            <w:pPr>
              <w:jc w:val="right"/>
              <w:ind w:right="23"/>
              <w:spacing w:after="0" w:line="134" w:lineRule="exact"/>
              <w:rPr>
                <w:sz w:val="20"/>
                <w:szCs w:val="20"/>
                <w:color w:val="auto"/>
              </w:rPr>
            </w:pPr>
            <w:r>
              <w:rPr>
                <w:rFonts w:ascii="Times New Roman" w:cs="Times New Roman" w:eastAsia="Times New Roman" w:hAnsi="Times New Roman"/>
                <w:sz w:val="12"/>
                <w:szCs w:val="12"/>
                <w:color w:val="auto"/>
              </w:rPr>
              <w:t>103,205</w:t>
            </w:r>
          </w:p>
        </w:tc>
        <w:tc>
          <w:tcPr>
            <w:tcW w:w="120" w:type="dxa"/>
            <w:vAlign w:val="bottom"/>
          </w:tcPr>
          <w:p>
            <w:pPr>
              <w:spacing w:after="0"/>
              <w:rPr>
                <w:sz w:val="11"/>
                <w:szCs w:val="11"/>
                <w:color w:val="auto"/>
              </w:rPr>
            </w:pPr>
          </w:p>
        </w:tc>
        <w:tc>
          <w:tcPr>
            <w:tcW w:w="660" w:type="dxa"/>
            <w:vAlign w:val="bottom"/>
          </w:tcPr>
          <w:p>
            <w:pPr>
              <w:jc w:val="right"/>
              <w:ind w:right="43"/>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(95,490)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146,598</w:t>
            </w:r>
          </w:p>
        </w:tc>
        <w:tc>
          <w:tcPr>
            <w:tcW w:w="20" w:type="dxa"/>
            <w:vAlign w:val="bottom"/>
          </w:tcPr>
          <w:p>
            <w:pPr>
              <w:spacing w:after="0"/>
              <w:rPr>
                <w:sz w:val="11"/>
                <w:szCs w:val="11"/>
                <w:color w:val="auto"/>
              </w:rPr>
            </w:pPr>
          </w:p>
        </w:tc>
      </w:tr>
      <w:tr>
        <w:trPr>
          <w:trHeight w:val="156"/>
        </w:trPr>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40,870</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113,069</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27,652</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(1,234)</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180,357</w:t>
            </w:r>
          </w:p>
        </w:tc>
        <w:tc>
          <w:tcPr>
            <w:tcW w:w="20" w:type="dxa"/>
            <w:vAlign w:val="bottom"/>
          </w:tcPr>
          <w:p>
            <w:pPr>
              <w:spacing w:after="0"/>
              <w:rPr>
                <w:sz w:val="13"/>
                <w:szCs w:val="13"/>
                <w:color w:val="auto"/>
              </w:rPr>
            </w:pPr>
          </w:p>
        </w:tc>
      </w:tr>
      <w:tr>
        <w:trPr>
          <w:trHeight w:val="268"/>
        </w:trPr>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34,861</w:t>
            </w:r>
          </w:p>
        </w:tc>
        <w:tc>
          <w:tcPr>
            <w:tcW w:w="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407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(27,652)</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709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8,325</w:t>
            </w:r>
          </w:p>
        </w:tc>
        <w:tc>
          <w:tcPr>
            <w:tcW w:w="20" w:type="dxa"/>
            <w:vAlign w:val="bottom"/>
          </w:tcPr>
          <w:p>
            <w:pPr>
              <w:spacing w:after="0"/>
              <w:rPr>
                <w:sz w:val="23"/>
                <w:szCs w:val="23"/>
                <w:color w:val="auto"/>
              </w:rPr>
            </w:pPr>
          </w:p>
        </w:tc>
      </w:tr>
      <w:tr>
        <w:trPr>
          <w:trHeight w:val="131"/>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498</w:t>
            </w:r>
          </w:p>
        </w:tc>
        <w:tc>
          <w:tcPr>
            <w:tcW w:w="20" w:type="dxa"/>
            <w:vAlign w:val="bottom"/>
          </w:tcPr>
          <w:p>
            <w:pPr>
              <w:spacing w:after="0"/>
              <w:rPr>
                <w:sz w:val="11"/>
                <w:szCs w:val="11"/>
                <w:color w:val="auto"/>
              </w:rPr>
            </w:pPr>
          </w:p>
        </w:tc>
      </w:tr>
      <w:tr>
        <w:trPr>
          <w:trHeight w:val="103"/>
        </w:trPr>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7,827</w:t>
            </w:r>
          </w:p>
        </w:tc>
        <w:tc>
          <w:tcPr>
            <w:tcW w:w="20" w:type="dxa"/>
            <w:vAlign w:val="bottom"/>
          </w:tcPr>
          <w:p>
            <w:pPr>
              <w:spacing w:after="0"/>
              <w:rPr>
                <w:sz w:val="8"/>
                <w:szCs w:val="8"/>
                <w:color w:val="auto"/>
              </w:rPr>
            </w:pPr>
          </w:p>
        </w:tc>
      </w:tr>
      <w:tr>
        <w:trPr>
          <w:trHeight w:val="134"/>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1,979</w:t>
            </w:r>
          </w:p>
        </w:tc>
        <w:tc>
          <w:tcPr>
            <w:tcW w:w="20" w:type="dxa"/>
            <w:vAlign w:val="bottom"/>
          </w:tcPr>
          <w:p>
            <w:pPr>
              <w:spacing w:after="0"/>
              <w:rPr>
                <w:sz w:val="11"/>
                <w:szCs w:val="11"/>
                <w:color w:val="auto"/>
              </w:rPr>
            </w:pPr>
          </w:p>
        </w:tc>
      </w:tr>
      <w:tr>
        <w:trPr>
          <w:trHeight w:val="134"/>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(52)</w:t>
            </w:r>
          </w:p>
        </w:tc>
      </w:tr>
      <w:tr>
        <w:trPr>
          <w:trHeight w:val="154"/>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(994)</w:t>
            </w:r>
          </w:p>
        </w:tc>
      </w:tr>
      <w:tr>
        <w:trPr>
          <w:trHeight w:val="138"/>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8,760</w:t>
            </w:r>
          </w:p>
        </w:tc>
        <w:tc>
          <w:tcPr>
            <w:tcW w:w="20" w:type="dxa"/>
            <w:vAlign w:val="bottom"/>
          </w:tcPr>
          <w:p>
            <w:pPr>
              <w:spacing w:after="0"/>
              <w:rPr>
                <w:sz w:val="11"/>
                <w:szCs w:val="11"/>
                <w:color w:val="auto"/>
              </w:rPr>
            </w:pPr>
          </w:p>
        </w:tc>
      </w:tr>
      <w:tr>
        <w:trPr>
          <w:trHeight w:val="264"/>
        </w:trPr>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5"/>
          </w:tcPr>
          <w:p>
            <w:pPr>
              <w:jc w:val="center"/>
              <w:ind w:right="123"/>
              <w:spacing w:after="0"/>
              <w:rPr>
                <w:sz w:val="20"/>
                <w:szCs w:val="20"/>
                <w:color w:val="auto"/>
              </w:rPr>
            </w:pPr>
            <w:r>
              <w:rPr>
                <w:rFonts w:ascii="Times New Roman" w:cs="Times New Roman" w:eastAsia="Times New Roman" w:hAnsi="Times New Roman"/>
                <w:sz w:val="12"/>
                <w:szCs w:val="12"/>
                <w:b w:val="1"/>
                <w:bCs w:val="1"/>
                <w:color w:val="auto"/>
                <w:w w:val="96"/>
              </w:rPr>
              <w:t>Year Ended November 30, 2024</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02"/>
        </w:trPr>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ind w:right="103"/>
              <w:spacing w:after="0" w:line="103" w:lineRule="exact"/>
              <w:rPr>
                <w:sz w:val="20"/>
                <w:szCs w:val="20"/>
                <w:color w:val="auto"/>
              </w:rPr>
            </w:pPr>
            <w:r>
              <w:rPr>
                <w:rFonts w:ascii="Times New Roman" w:cs="Times New Roman" w:eastAsia="Times New Roman" w:hAnsi="Times New Roman"/>
                <w:sz w:val="10"/>
                <w:szCs w:val="10"/>
                <w:color w:val="auto"/>
              </w:rPr>
              <w:t>Corporate</w:t>
            </w:r>
          </w:p>
        </w:tc>
        <w:tc>
          <w:tcPr>
            <w:tcW w:w="740" w:type="dxa"/>
            <w:vAlign w:val="bottom"/>
            <w:gridSpan w:val="2"/>
          </w:tcPr>
          <w:p>
            <w:pPr>
              <w:jc w:val="right"/>
              <w:ind w:right="23"/>
              <w:spacing w:after="0" w:line="103" w:lineRule="exact"/>
              <w:rPr>
                <w:sz w:val="20"/>
                <w:szCs w:val="20"/>
                <w:color w:val="auto"/>
              </w:rPr>
            </w:pPr>
            <w:r>
              <w:rPr>
                <w:rFonts w:ascii="Times New Roman" w:cs="Times New Roman" w:eastAsia="Times New Roman" w:hAnsi="Times New Roman"/>
                <w:sz w:val="10"/>
                <w:szCs w:val="10"/>
                <w:color w:val="auto"/>
              </w:rPr>
              <w:t>Intersegment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6"/>
        </w:trPr>
        <w:tc>
          <w:tcPr>
            <w:tcW w:w="6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w w:val="94"/>
              </w:rPr>
              <w:t>Wholesale</w:t>
            </w:r>
          </w:p>
        </w:tc>
        <w:tc>
          <w:tcPr>
            <w:tcW w:w="200" w:type="dxa"/>
            <w:vAlign w:val="bottom"/>
          </w:tcPr>
          <w:p>
            <w:pPr>
              <w:spacing w:after="0"/>
              <w:rPr>
                <w:sz w:val="13"/>
                <w:szCs w:val="13"/>
                <w:color w:val="auto"/>
              </w:rPr>
            </w:pPr>
          </w:p>
        </w:tc>
        <w:tc>
          <w:tcPr>
            <w:tcW w:w="600" w:type="dxa"/>
            <w:vAlign w:val="bottom"/>
          </w:tcPr>
          <w:p>
            <w:pPr>
              <w:jc w:val="right"/>
              <w:ind w:right="203"/>
              <w:spacing w:after="0"/>
              <w:rPr>
                <w:sz w:val="20"/>
                <w:szCs w:val="20"/>
                <w:color w:val="auto"/>
              </w:rPr>
            </w:pPr>
            <w:r>
              <w:rPr>
                <w:rFonts w:ascii="Times New Roman" w:cs="Times New Roman" w:eastAsia="Times New Roman" w:hAnsi="Times New Roman"/>
                <w:sz w:val="12"/>
                <w:szCs w:val="12"/>
                <w:color w:val="auto"/>
              </w:rPr>
              <w:t>Retail</w:t>
            </w:r>
          </w:p>
        </w:tc>
        <w:tc>
          <w:tcPr>
            <w:tcW w:w="120" w:type="dxa"/>
            <w:vAlign w:val="bottom"/>
          </w:tcPr>
          <w:p>
            <w:pPr>
              <w:spacing w:after="0"/>
              <w:rPr>
                <w:sz w:val="13"/>
                <w:szCs w:val="13"/>
                <w:color w:val="auto"/>
              </w:rPr>
            </w:pPr>
          </w:p>
        </w:tc>
        <w:tc>
          <w:tcPr>
            <w:tcW w:w="660" w:type="dxa"/>
            <w:vAlign w:val="bottom"/>
          </w:tcPr>
          <w:p>
            <w:pPr>
              <w:jc w:val="center"/>
              <w:ind w:right="103"/>
              <w:spacing w:after="0"/>
              <w:rPr>
                <w:sz w:val="20"/>
                <w:szCs w:val="20"/>
                <w:color w:val="auto"/>
              </w:rPr>
            </w:pPr>
            <w:r>
              <w:rPr>
                <w:rFonts w:ascii="Times New Roman" w:cs="Times New Roman" w:eastAsia="Times New Roman" w:hAnsi="Times New Roman"/>
                <w:sz w:val="12"/>
                <w:szCs w:val="12"/>
                <w:color w:val="auto"/>
                <w:w w:val="95"/>
              </w:rPr>
              <w:t>&amp; Other</w:t>
            </w:r>
          </w:p>
        </w:tc>
        <w:tc>
          <w:tcPr>
            <w:tcW w:w="740" w:type="dxa"/>
            <w:vAlign w:val="bottom"/>
            <w:gridSpan w:val="2"/>
          </w:tcPr>
          <w:p>
            <w:pPr>
              <w:jc w:val="right"/>
              <w:ind w:right="23"/>
              <w:spacing w:after="0"/>
              <w:rPr>
                <w:sz w:val="20"/>
                <w:szCs w:val="20"/>
                <w:color w:val="auto"/>
              </w:rPr>
            </w:pPr>
            <w:r>
              <w:rPr>
                <w:rFonts w:ascii="Times New Roman" w:cs="Times New Roman" w:eastAsia="Times New Roman" w:hAnsi="Times New Roman"/>
                <w:sz w:val="12"/>
                <w:szCs w:val="12"/>
                <w:color w:val="auto"/>
              </w:rPr>
              <w:t>Eliminations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94"/>
              </w:rPr>
              <w:t>Consolidated</w:t>
            </w:r>
          </w:p>
        </w:tc>
      </w:tr>
      <w:tr>
        <w:trPr>
          <w:trHeight w:val="235"/>
        </w:trPr>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120,441</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204,563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4,919</w:t>
            </w: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329,923</w:t>
            </w:r>
          </w:p>
        </w:tc>
        <w:tc>
          <w:tcPr>
            <w:tcW w:w="20" w:type="dxa"/>
            <w:vAlign w:val="bottom"/>
          </w:tcPr>
          <w:p>
            <w:pPr>
              <w:spacing w:after="0"/>
              <w:rPr>
                <w:sz w:val="20"/>
                <w:szCs w:val="20"/>
                <w:color w:val="auto"/>
              </w:rPr>
            </w:pPr>
          </w:p>
        </w:tc>
      </w:tr>
      <w:tr>
        <w:trPr>
          <w:trHeight w:val="156"/>
        </w:trPr>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87,021</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(87,021)</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01"/>
        </w:trPr>
        <w:tc>
          <w:tcPr>
            <w:tcW w:w="60" w:type="dxa"/>
            <w:vAlign w:val="bottom"/>
          </w:tcPr>
          <w:p>
            <w:pPr>
              <w:spacing w:after="0"/>
              <w:rPr>
                <w:sz w:val="8"/>
                <w:szCs w:val="8"/>
                <w:color w:val="auto"/>
              </w:rPr>
            </w:pPr>
          </w:p>
        </w:tc>
        <w:tc>
          <w:tcPr>
            <w:tcW w:w="640" w:type="dxa"/>
            <w:vAlign w:val="bottom"/>
          </w:tcPr>
          <w:p>
            <w:pPr>
              <w:jc w:val="right"/>
              <w:ind w:right="3"/>
              <w:spacing w:after="0" w:line="101" w:lineRule="exact"/>
              <w:rPr>
                <w:sz w:val="20"/>
                <w:szCs w:val="20"/>
                <w:color w:val="auto"/>
              </w:rPr>
            </w:pPr>
            <w:r>
              <w:rPr>
                <w:rFonts w:ascii="Times New Roman" w:cs="Times New Roman" w:eastAsia="Times New Roman" w:hAnsi="Times New Roman"/>
                <w:sz w:val="10"/>
                <w:szCs w:val="10"/>
                <w:color w:val="auto"/>
              </w:rPr>
              <w:t>207,462</w:t>
            </w:r>
          </w:p>
        </w:tc>
        <w:tc>
          <w:tcPr>
            <w:tcW w:w="200" w:type="dxa"/>
            <w:vAlign w:val="bottom"/>
          </w:tcPr>
          <w:p>
            <w:pPr>
              <w:spacing w:after="0"/>
              <w:rPr>
                <w:sz w:val="8"/>
                <w:szCs w:val="8"/>
                <w:color w:val="auto"/>
              </w:rPr>
            </w:pPr>
          </w:p>
        </w:tc>
        <w:tc>
          <w:tcPr>
            <w:tcW w:w="600" w:type="dxa"/>
            <w:vAlign w:val="bottom"/>
          </w:tcPr>
          <w:p>
            <w:pPr>
              <w:jc w:val="right"/>
              <w:ind w:right="23"/>
              <w:spacing w:after="0" w:line="101" w:lineRule="exact"/>
              <w:rPr>
                <w:sz w:val="20"/>
                <w:szCs w:val="20"/>
                <w:color w:val="auto"/>
              </w:rPr>
            </w:pPr>
            <w:r>
              <w:rPr>
                <w:rFonts w:ascii="Times New Roman" w:cs="Times New Roman" w:eastAsia="Times New Roman" w:hAnsi="Times New Roman"/>
                <w:sz w:val="10"/>
                <w:szCs w:val="10"/>
                <w:color w:val="auto"/>
              </w:rPr>
              <w:t>204,563</w:t>
            </w:r>
          </w:p>
        </w:tc>
        <w:tc>
          <w:tcPr>
            <w:tcW w:w="120" w:type="dxa"/>
            <w:vAlign w:val="bottom"/>
          </w:tcPr>
          <w:p>
            <w:pPr>
              <w:spacing w:after="0"/>
              <w:rPr>
                <w:sz w:val="8"/>
                <w:szCs w:val="8"/>
                <w:color w:val="auto"/>
              </w:rPr>
            </w:pPr>
          </w:p>
        </w:tc>
        <w:tc>
          <w:tcPr>
            <w:tcW w:w="660" w:type="dxa"/>
            <w:vAlign w:val="bottom"/>
          </w:tcPr>
          <w:p>
            <w:pPr>
              <w:jc w:val="right"/>
              <w:ind w:right="43"/>
              <w:spacing w:after="0" w:line="101" w:lineRule="exact"/>
              <w:rPr>
                <w:sz w:val="20"/>
                <w:szCs w:val="20"/>
                <w:color w:val="auto"/>
              </w:rPr>
            </w:pPr>
            <w:r>
              <w:rPr>
                <w:rFonts w:ascii="Times New Roman" w:cs="Times New Roman" w:eastAsia="Times New Roman" w:hAnsi="Times New Roman"/>
                <w:sz w:val="10"/>
                <w:szCs w:val="10"/>
                <w:color w:val="auto"/>
              </w:rPr>
              <w:t>4,919</w:t>
            </w:r>
          </w:p>
        </w:tc>
        <w:tc>
          <w:tcPr>
            <w:tcW w:w="1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(87,021)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329,923</w:t>
            </w:r>
          </w:p>
        </w:tc>
        <w:tc>
          <w:tcPr>
            <w:tcW w:w="20" w:type="dxa"/>
            <w:vAlign w:val="bottom"/>
          </w:tcPr>
          <w:p>
            <w:pPr>
              <w:spacing w:after="0"/>
              <w:rPr>
                <w:sz w:val="8"/>
                <w:szCs w:val="8"/>
                <w:color w:val="auto"/>
              </w:rPr>
            </w:pPr>
          </w:p>
        </w:tc>
      </w:tr>
      <w:tr>
        <w:trPr>
          <w:trHeight w:val="134"/>
        </w:trPr>
        <w:tc>
          <w:tcPr>
            <w:tcW w:w="60" w:type="dxa"/>
            <w:vAlign w:val="bottom"/>
          </w:tcPr>
          <w:p>
            <w:pPr>
              <w:spacing w:after="0"/>
              <w:rPr>
                <w:sz w:val="11"/>
                <w:szCs w:val="11"/>
                <w:color w:val="auto"/>
              </w:rPr>
            </w:pPr>
          </w:p>
        </w:tc>
        <w:tc>
          <w:tcPr>
            <w:tcW w:w="640" w:type="dxa"/>
            <w:vAlign w:val="bottom"/>
          </w:tcPr>
          <w:p>
            <w:pPr>
              <w:jc w:val="right"/>
              <w:ind w:right="3"/>
              <w:spacing w:after="0" w:line="134" w:lineRule="exact"/>
              <w:rPr>
                <w:sz w:val="20"/>
                <w:szCs w:val="20"/>
                <w:color w:val="auto"/>
              </w:rPr>
            </w:pPr>
            <w:r>
              <w:rPr>
                <w:rFonts w:ascii="Times New Roman" w:cs="Times New Roman" w:eastAsia="Times New Roman" w:hAnsi="Times New Roman"/>
                <w:sz w:val="12"/>
                <w:szCs w:val="12"/>
                <w:color w:val="auto"/>
              </w:rPr>
              <w:t>139,393</w:t>
            </w:r>
          </w:p>
        </w:tc>
        <w:tc>
          <w:tcPr>
            <w:tcW w:w="200" w:type="dxa"/>
            <w:vAlign w:val="bottom"/>
          </w:tcPr>
          <w:p>
            <w:pPr>
              <w:spacing w:after="0"/>
              <w:rPr>
                <w:sz w:val="11"/>
                <w:szCs w:val="11"/>
                <w:color w:val="auto"/>
              </w:rPr>
            </w:pPr>
          </w:p>
        </w:tc>
        <w:tc>
          <w:tcPr>
            <w:tcW w:w="600" w:type="dxa"/>
            <w:vAlign w:val="bottom"/>
          </w:tcPr>
          <w:p>
            <w:pPr>
              <w:jc w:val="right"/>
              <w:ind w:right="23"/>
              <w:spacing w:after="0" w:line="134" w:lineRule="exact"/>
              <w:rPr>
                <w:sz w:val="20"/>
                <w:szCs w:val="20"/>
                <w:color w:val="auto"/>
              </w:rPr>
            </w:pPr>
            <w:r>
              <w:rPr>
                <w:rFonts w:ascii="Times New Roman" w:cs="Times New Roman" w:eastAsia="Times New Roman" w:hAnsi="Times New Roman"/>
                <w:sz w:val="12"/>
                <w:szCs w:val="12"/>
                <w:color w:val="auto"/>
              </w:rPr>
              <w:t>95,728</w:t>
            </w:r>
          </w:p>
        </w:tc>
        <w:tc>
          <w:tcPr>
            <w:tcW w:w="120" w:type="dxa"/>
            <w:vAlign w:val="bottom"/>
          </w:tcPr>
          <w:p>
            <w:pPr>
              <w:spacing w:after="0"/>
              <w:rPr>
                <w:sz w:val="11"/>
                <w:szCs w:val="11"/>
                <w:color w:val="auto"/>
              </w:rPr>
            </w:pPr>
          </w:p>
        </w:tc>
        <w:tc>
          <w:tcPr>
            <w:tcW w:w="660" w:type="dxa"/>
            <w:vAlign w:val="bottom"/>
          </w:tcPr>
          <w:p>
            <w:pPr>
              <w:jc w:val="right"/>
              <w:ind w:right="43"/>
              <w:spacing w:after="0" w:line="134" w:lineRule="exact"/>
              <w:rPr>
                <w:sz w:val="20"/>
                <w:szCs w:val="20"/>
                <w:color w:val="auto"/>
              </w:rPr>
            </w:pPr>
            <w:r>
              <w:rPr>
                <w:rFonts w:ascii="Times New Roman" w:cs="Times New Roman" w:eastAsia="Times New Roman" w:hAnsi="Times New Roman"/>
                <w:sz w:val="12"/>
                <w:szCs w:val="12"/>
                <w:color w:val="auto"/>
              </w:rPr>
              <w:t>2,803</w:t>
            </w:r>
          </w:p>
        </w:tc>
        <w:tc>
          <w:tcPr>
            <w:tcW w:w="1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(87,416)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150,508</w:t>
            </w:r>
          </w:p>
        </w:tc>
        <w:tc>
          <w:tcPr>
            <w:tcW w:w="20" w:type="dxa"/>
            <w:vAlign w:val="bottom"/>
          </w:tcPr>
          <w:p>
            <w:pPr>
              <w:spacing w:after="0"/>
              <w:rPr>
                <w:sz w:val="11"/>
                <w:szCs w:val="11"/>
                <w:color w:val="auto"/>
              </w:rPr>
            </w:pPr>
          </w:p>
        </w:tc>
      </w:tr>
      <w:tr>
        <w:trPr>
          <w:trHeight w:val="156"/>
        </w:trPr>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42,712</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115,439</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30,572</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187,527</w:t>
            </w:r>
          </w:p>
        </w:tc>
        <w:tc>
          <w:tcPr>
            <w:tcW w:w="20" w:type="dxa"/>
            <w:vAlign w:val="bottom"/>
          </w:tcPr>
          <w:p>
            <w:pPr>
              <w:spacing w:after="0"/>
              <w:rPr>
                <w:sz w:val="13"/>
                <w:szCs w:val="13"/>
                <w:color w:val="auto"/>
              </w:rPr>
            </w:pPr>
          </w:p>
        </w:tc>
      </w:tr>
      <w:tr>
        <w:trPr>
          <w:trHeight w:val="268"/>
        </w:trPr>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25,357</w:t>
            </w:r>
          </w:p>
        </w:tc>
        <w:tc>
          <w:tcPr>
            <w:tcW w:w="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(6,604)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(28,456)</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1,591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(8,112)</w:t>
            </w:r>
          </w:p>
        </w:tc>
      </w:tr>
      <w:tr>
        <w:trPr>
          <w:trHeight w:val="110"/>
        </w:trPr>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5,515</w:t>
            </w:r>
          </w:p>
        </w:tc>
        <w:tc>
          <w:tcPr>
            <w:tcW w:w="20" w:type="dxa"/>
            <w:vAlign w:val="bottom"/>
          </w:tcPr>
          <w:p>
            <w:pPr>
              <w:spacing w:after="0"/>
              <w:rPr>
                <w:sz w:val="9"/>
                <w:szCs w:val="9"/>
                <w:color w:val="auto"/>
              </w:rPr>
            </w:pPr>
          </w:p>
        </w:tc>
      </w:tr>
      <w:tr>
        <w:trPr>
          <w:trHeight w:val="154"/>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w:t>
            </w:r>
          </w:p>
        </w:tc>
        <w:tc>
          <w:tcPr>
            <w:tcW w:w="20" w:type="dxa"/>
            <w:vAlign w:val="bottom"/>
          </w:tcPr>
          <w:p>
            <w:pPr>
              <w:spacing w:after="0"/>
              <w:rPr>
                <w:sz w:val="13"/>
                <w:szCs w:val="13"/>
                <w:color w:val="auto"/>
              </w:rPr>
            </w:pPr>
          </w:p>
        </w:tc>
      </w:tr>
      <w:tr>
        <w:trPr>
          <w:trHeight w:val="248"/>
        </w:trPr>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w:t>
            </w:r>
          </w:p>
        </w:tc>
        <w:tc>
          <w:tcPr>
            <w:tcW w:w="20" w:type="dxa"/>
            <w:vAlign w:val="bottom"/>
          </w:tcPr>
          <w:p>
            <w:pPr>
              <w:spacing w:after="0"/>
              <w:rPr>
                <w:sz w:val="21"/>
                <w:szCs w:val="21"/>
                <w:color w:val="auto"/>
              </w:rPr>
            </w:pPr>
          </w:p>
        </w:tc>
      </w:tr>
      <w:tr>
        <w:trPr>
          <w:trHeight w:val="154"/>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20" w:type="dxa"/>
            <w:vAlign w:val="bottom"/>
          </w:tcPr>
          <w:p>
            <w:pPr>
              <w:spacing w:after="0"/>
              <w:rPr>
                <w:sz w:val="13"/>
                <w:szCs w:val="13"/>
                <w:color w:val="auto"/>
              </w:rPr>
            </w:pPr>
          </w:p>
        </w:tc>
      </w:tr>
      <w:tr>
        <w:trPr>
          <w:trHeight w:val="104"/>
        </w:trPr>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(16,269)</w:t>
            </w:r>
          </w:p>
        </w:tc>
        <w:tc>
          <w:tcPr>
            <w:tcW w:w="20" w:type="dxa"/>
            <w:vAlign w:val="bottom"/>
          </w:tcPr>
          <w:p>
            <w:pPr>
              <w:spacing w:after="0"/>
              <w:rPr>
                <w:sz w:val="9"/>
                <w:szCs w:val="9"/>
                <w:color w:val="auto"/>
              </w:rPr>
            </w:pPr>
          </w:p>
        </w:tc>
      </w:tr>
      <w:tr>
        <w:trPr>
          <w:trHeight w:val="134"/>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2,673</w:t>
            </w:r>
          </w:p>
        </w:tc>
        <w:tc>
          <w:tcPr>
            <w:tcW w:w="20" w:type="dxa"/>
            <w:vAlign w:val="bottom"/>
          </w:tcPr>
          <w:p>
            <w:pPr>
              <w:spacing w:after="0"/>
              <w:rPr>
                <w:sz w:val="11"/>
                <w:szCs w:val="11"/>
                <w:color w:val="auto"/>
              </w:rPr>
            </w:pPr>
          </w:p>
        </w:tc>
      </w:tr>
      <w:tr>
        <w:trPr>
          <w:trHeight w:val="134"/>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(30)</w:t>
            </w:r>
          </w:p>
        </w:tc>
      </w:tr>
      <w:tr>
        <w:trPr>
          <w:trHeight w:val="154"/>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(744)</w:t>
            </w:r>
          </w:p>
        </w:tc>
      </w:tr>
      <w:tr>
        <w:trPr>
          <w:trHeight w:val="138"/>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(14,370)</w:t>
            </w:r>
          </w:p>
        </w:tc>
        <w:tc>
          <w:tcPr>
            <w:tcW w:w="20" w:type="dxa"/>
            <w:vAlign w:val="bottom"/>
          </w:tcPr>
          <w:p>
            <w:pPr>
              <w:spacing w:after="0"/>
              <w:rPr>
                <w:sz w:val="11"/>
                <w:szCs w:val="11"/>
                <w:color w:val="auto"/>
              </w:rPr>
            </w:pPr>
          </w:p>
        </w:tc>
      </w:tr>
      <w:tr>
        <w:trPr>
          <w:trHeight w:val="264"/>
        </w:trPr>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5"/>
          </w:tcPr>
          <w:p>
            <w:pPr>
              <w:jc w:val="center"/>
              <w:ind w:right="123"/>
              <w:spacing w:after="0"/>
              <w:rPr>
                <w:sz w:val="20"/>
                <w:szCs w:val="20"/>
                <w:color w:val="auto"/>
              </w:rPr>
            </w:pPr>
            <w:r>
              <w:rPr>
                <w:rFonts w:ascii="Times New Roman" w:cs="Times New Roman" w:eastAsia="Times New Roman" w:hAnsi="Times New Roman"/>
                <w:sz w:val="12"/>
                <w:szCs w:val="12"/>
                <w:b w:val="1"/>
                <w:bCs w:val="1"/>
                <w:color w:val="auto"/>
                <w:w w:val="96"/>
              </w:rPr>
              <w:t>Year Ended November 25, 2023</w:t>
            </w:r>
          </w:p>
        </w:tc>
        <w:tc>
          <w:tcPr>
            <w:tcW w:w="60" w:type="dxa"/>
            <w:vAlign w:val="bottom"/>
            <w:tcBorders>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01"/>
        </w:trPr>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ind w:right="103"/>
              <w:spacing w:after="0" w:line="102" w:lineRule="exact"/>
              <w:rPr>
                <w:sz w:val="20"/>
                <w:szCs w:val="20"/>
                <w:color w:val="auto"/>
              </w:rPr>
            </w:pPr>
            <w:r>
              <w:rPr>
                <w:rFonts w:ascii="Times New Roman" w:cs="Times New Roman" w:eastAsia="Times New Roman" w:hAnsi="Times New Roman"/>
                <w:sz w:val="10"/>
                <w:szCs w:val="10"/>
                <w:color w:val="auto"/>
              </w:rPr>
              <w:t>Corporate</w:t>
            </w:r>
          </w:p>
        </w:tc>
        <w:tc>
          <w:tcPr>
            <w:tcW w:w="740" w:type="dxa"/>
            <w:vAlign w:val="bottom"/>
            <w:gridSpan w:val="2"/>
          </w:tcPr>
          <w:p>
            <w:pPr>
              <w:jc w:val="right"/>
              <w:ind w:right="23"/>
              <w:spacing w:after="0" w:line="102" w:lineRule="exact"/>
              <w:rPr>
                <w:sz w:val="20"/>
                <w:szCs w:val="20"/>
                <w:color w:val="auto"/>
              </w:rPr>
            </w:pPr>
            <w:r>
              <w:rPr>
                <w:rFonts w:ascii="Times New Roman" w:cs="Times New Roman" w:eastAsia="Times New Roman" w:hAnsi="Times New Roman"/>
                <w:sz w:val="10"/>
                <w:szCs w:val="10"/>
                <w:color w:val="auto"/>
              </w:rPr>
              <w:t>Intersegment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6"/>
        </w:trPr>
        <w:tc>
          <w:tcPr>
            <w:tcW w:w="6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w w:val="94"/>
              </w:rPr>
              <w:t>Wholesale</w:t>
            </w:r>
          </w:p>
        </w:tc>
        <w:tc>
          <w:tcPr>
            <w:tcW w:w="200" w:type="dxa"/>
            <w:vAlign w:val="bottom"/>
          </w:tcPr>
          <w:p>
            <w:pPr>
              <w:spacing w:after="0"/>
              <w:rPr>
                <w:sz w:val="13"/>
                <w:szCs w:val="13"/>
                <w:color w:val="auto"/>
              </w:rPr>
            </w:pPr>
          </w:p>
        </w:tc>
        <w:tc>
          <w:tcPr>
            <w:tcW w:w="600" w:type="dxa"/>
            <w:vAlign w:val="bottom"/>
          </w:tcPr>
          <w:p>
            <w:pPr>
              <w:jc w:val="right"/>
              <w:ind w:right="203"/>
              <w:spacing w:after="0"/>
              <w:rPr>
                <w:sz w:val="20"/>
                <w:szCs w:val="20"/>
                <w:color w:val="auto"/>
              </w:rPr>
            </w:pPr>
            <w:r>
              <w:rPr>
                <w:rFonts w:ascii="Times New Roman" w:cs="Times New Roman" w:eastAsia="Times New Roman" w:hAnsi="Times New Roman"/>
                <w:sz w:val="12"/>
                <w:szCs w:val="12"/>
                <w:color w:val="auto"/>
              </w:rPr>
              <w:t>Retail</w:t>
            </w:r>
          </w:p>
        </w:tc>
        <w:tc>
          <w:tcPr>
            <w:tcW w:w="120" w:type="dxa"/>
            <w:vAlign w:val="bottom"/>
          </w:tcPr>
          <w:p>
            <w:pPr>
              <w:spacing w:after="0"/>
              <w:rPr>
                <w:sz w:val="13"/>
                <w:szCs w:val="13"/>
                <w:color w:val="auto"/>
              </w:rPr>
            </w:pPr>
          </w:p>
        </w:tc>
        <w:tc>
          <w:tcPr>
            <w:tcW w:w="660" w:type="dxa"/>
            <w:vAlign w:val="bottom"/>
          </w:tcPr>
          <w:p>
            <w:pPr>
              <w:jc w:val="center"/>
              <w:ind w:right="103"/>
              <w:spacing w:after="0"/>
              <w:rPr>
                <w:sz w:val="20"/>
                <w:szCs w:val="20"/>
                <w:color w:val="auto"/>
              </w:rPr>
            </w:pPr>
            <w:r>
              <w:rPr>
                <w:rFonts w:ascii="Times New Roman" w:cs="Times New Roman" w:eastAsia="Times New Roman" w:hAnsi="Times New Roman"/>
                <w:sz w:val="12"/>
                <w:szCs w:val="12"/>
                <w:color w:val="auto"/>
                <w:w w:val="95"/>
              </w:rPr>
              <w:t>&amp; Other</w:t>
            </w:r>
          </w:p>
        </w:tc>
        <w:tc>
          <w:tcPr>
            <w:tcW w:w="740" w:type="dxa"/>
            <w:vAlign w:val="bottom"/>
            <w:gridSpan w:val="2"/>
          </w:tcPr>
          <w:p>
            <w:pPr>
              <w:jc w:val="right"/>
              <w:ind w:right="23"/>
              <w:spacing w:after="0"/>
              <w:rPr>
                <w:sz w:val="20"/>
                <w:szCs w:val="20"/>
                <w:color w:val="auto"/>
              </w:rPr>
            </w:pPr>
            <w:r>
              <w:rPr>
                <w:rFonts w:ascii="Times New Roman" w:cs="Times New Roman" w:eastAsia="Times New Roman" w:hAnsi="Times New Roman"/>
                <w:sz w:val="12"/>
                <w:szCs w:val="12"/>
                <w:color w:val="auto"/>
              </w:rPr>
              <w:t>Eliminations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94"/>
              </w:rPr>
              <w:t>Consolidated</w:t>
            </w:r>
          </w:p>
        </w:tc>
      </w:tr>
      <w:tr>
        <w:trPr>
          <w:trHeight w:val="235"/>
        </w:trPr>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145,392</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235,940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8,804</w:t>
            </w: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390,136</w:t>
            </w:r>
          </w:p>
        </w:tc>
        <w:tc>
          <w:tcPr>
            <w:tcW w:w="20" w:type="dxa"/>
            <w:vAlign w:val="bottom"/>
          </w:tcPr>
          <w:p>
            <w:pPr>
              <w:spacing w:after="0"/>
              <w:rPr>
                <w:sz w:val="20"/>
                <w:szCs w:val="20"/>
                <w:color w:val="auto"/>
              </w:rPr>
            </w:pPr>
          </w:p>
        </w:tc>
      </w:tr>
      <w:tr>
        <w:trPr>
          <w:trHeight w:val="156"/>
        </w:trPr>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103,519</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(103,519)</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02"/>
        </w:trPr>
        <w:tc>
          <w:tcPr>
            <w:tcW w:w="60" w:type="dxa"/>
            <w:vAlign w:val="bottom"/>
          </w:tcPr>
          <w:p>
            <w:pPr>
              <w:spacing w:after="0"/>
              <w:rPr>
                <w:sz w:val="8"/>
                <w:szCs w:val="8"/>
                <w:color w:val="auto"/>
              </w:rPr>
            </w:pPr>
          </w:p>
        </w:tc>
        <w:tc>
          <w:tcPr>
            <w:tcW w:w="640" w:type="dxa"/>
            <w:vAlign w:val="bottom"/>
          </w:tcPr>
          <w:p>
            <w:pPr>
              <w:jc w:val="right"/>
              <w:ind w:right="3"/>
              <w:spacing w:after="0" w:line="102" w:lineRule="exact"/>
              <w:rPr>
                <w:sz w:val="20"/>
                <w:szCs w:val="20"/>
                <w:color w:val="auto"/>
              </w:rPr>
            </w:pPr>
            <w:r>
              <w:rPr>
                <w:rFonts w:ascii="Times New Roman" w:cs="Times New Roman" w:eastAsia="Times New Roman" w:hAnsi="Times New Roman"/>
                <w:sz w:val="10"/>
                <w:szCs w:val="10"/>
                <w:color w:val="auto"/>
              </w:rPr>
              <w:t>248,911</w:t>
            </w:r>
          </w:p>
        </w:tc>
        <w:tc>
          <w:tcPr>
            <w:tcW w:w="200" w:type="dxa"/>
            <w:vAlign w:val="bottom"/>
          </w:tcPr>
          <w:p>
            <w:pPr>
              <w:spacing w:after="0"/>
              <w:rPr>
                <w:sz w:val="8"/>
                <w:szCs w:val="8"/>
                <w:color w:val="auto"/>
              </w:rPr>
            </w:pPr>
          </w:p>
        </w:tc>
        <w:tc>
          <w:tcPr>
            <w:tcW w:w="600" w:type="dxa"/>
            <w:vAlign w:val="bottom"/>
          </w:tcPr>
          <w:p>
            <w:pPr>
              <w:jc w:val="right"/>
              <w:ind w:right="23"/>
              <w:spacing w:after="0" w:line="102" w:lineRule="exact"/>
              <w:rPr>
                <w:sz w:val="20"/>
                <w:szCs w:val="20"/>
                <w:color w:val="auto"/>
              </w:rPr>
            </w:pPr>
            <w:r>
              <w:rPr>
                <w:rFonts w:ascii="Times New Roman" w:cs="Times New Roman" w:eastAsia="Times New Roman" w:hAnsi="Times New Roman"/>
                <w:sz w:val="10"/>
                <w:szCs w:val="10"/>
                <w:color w:val="auto"/>
              </w:rPr>
              <w:t>235,940</w:t>
            </w:r>
          </w:p>
        </w:tc>
        <w:tc>
          <w:tcPr>
            <w:tcW w:w="120" w:type="dxa"/>
            <w:vAlign w:val="bottom"/>
          </w:tcPr>
          <w:p>
            <w:pPr>
              <w:spacing w:after="0"/>
              <w:rPr>
                <w:sz w:val="8"/>
                <w:szCs w:val="8"/>
                <w:color w:val="auto"/>
              </w:rPr>
            </w:pPr>
          </w:p>
        </w:tc>
        <w:tc>
          <w:tcPr>
            <w:tcW w:w="660" w:type="dxa"/>
            <w:vAlign w:val="bottom"/>
          </w:tcPr>
          <w:p>
            <w:pPr>
              <w:jc w:val="right"/>
              <w:ind w:right="43"/>
              <w:spacing w:after="0" w:line="102" w:lineRule="exact"/>
              <w:rPr>
                <w:sz w:val="20"/>
                <w:szCs w:val="20"/>
                <w:color w:val="auto"/>
              </w:rPr>
            </w:pPr>
            <w:r>
              <w:rPr>
                <w:rFonts w:ascii="Times New Roman" w:cs="Times New Roman" w:eastAsia="Times New Roman" w:hAnsi="Times New Roman"/>
                <w:sz w:val="10"/>
                <w:szCs w:val="10"/>
                <w:color w:val="auto"/>
              </w:rPr>
              <w:t>8,804</w:t>
            </w:r>
          </w:p>
        </w:tc>
        <w:tc>
          <w:tcPr>
            <w:tcW w:w="180" w:type="dxa"/>
            <w:vAlign w:val="bottom"/>
          </w:tcPr>
          <w:p>
            <w:pPr>
              <w:spacing w:after="0"/>
              <w:rPr>
                <w:sz w:val="8"/>
                <w:szCs w:val="8"/>
                <w:color w:val="auto"/>
              </w:rPr>
            </w:pPr>
          </w:p>
        </w:tc>
        <w:tc>
          <w:tcPr>
            <w:tcW w:w="56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(103,519)</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390,136</w:t>
            </w:r>
          </w:p>
        </w:tc>
        <w:tc>
          <w:tcPr>
            <w:tcW w:w="20" w:type="dxa"/>
            <w:vAlign w:val="bottom"/>
          </w:tcPr>
          <w:p>
            <w:pPr>
              <w:spacing w:after="0"/>
              <w:rPr>
                <w:sz w:val="8"/>
                <w:szCs w:val="8"/>
                <w:color w:val="auto"/>
              </w:rPr>
            </w:pPr>
          </w:p>
        </w:tc>
      </w:tr>
      <w:tr>
        <w:trPr>
          <w:trHeight w:val="134"/>
        </w:trPr>
        <w:tc>
          <w:tcPr>
            <w:tcW w:w="60" w:type="dxa"/>
            <w:vAlign w:val="bottom"/>
          </w:tcPr>
          <w:p>
            <w:pPr>
              <w:spacing w:after="0"/>
              <w:rPr>
                <w:sz w:val="11"/>
                <w:szCs w:val="11"/>
                <w:color w:val="auto"/>
              </w:rPr>
            </w:pPr>
          </w:p>
        </w:tc>
        <w:tc>
          <w:tcPr>
            <w:tcW w:w="640" w:type="dxa"/>
            <w:vAlign w:val="bottom"/>
          </w:tcPr>
          <w:p>
            <w:pPr>
              <w:jc w:val="right"/>
              <w:ind w:right="3"/>
              <w:spacing w:after="0" w:line="134" w:lineRule="exact"/>
              <w:rPr>
                <w:sz w:val="20"/>
                <w:szCs w:val="20"/>
                <w:color w:val="auto"/>
              </w:rPr>
            </w:pPr>
            <w:r>
              <w:rPr>
                <w:rFonts w:ascii="Times New Roman" w:cs="Times New Roman" w:eastAsia="Times New Roman" w:hAnsi="Times New Roman"/>
                <w:sz w:val="12"/>
                <w:szCs w:val="12"/>
                <w:color w:val="auto"/>
              </w:rPr>
              <w:t>171,394</w:t>
            </w:r>
          </w:p>
        </w:tc>
        <w:tc>
          <w:tcPr>
            <w:tcW w:w="200" w:type="dxa"/>
            <w:vAlign w:val="bottom"/>
          </w:tcPr>
          <w:p>
            <w:pPr>
              <w:spacing w:after="0"/>
              <w:rPr>
                <w:sz w:val="11"/>
                <w:szCs w:val="11"/>
                <w:color w:val="auto"/>
              </w:rPr>
            </w:pPr>
          </w:p>
        </w:tc>
        <w:tc>
          <w:tcPr>
            <w:tcW w:w="600" w:type="dxa"/>
            <w:vAlign w:val="bottom"/>
          </w:tcPr>
          <w:p>
            <w:pPr>
              <w:jc w:val="right"/>
              <w:ind w:right="23"/>
              <w:spacing w:after="0" w:line="134" w:lineRule="exact"/>
              <w:rPr>
                <w:sz w:val="20"/>
                <w:szCs w:val="20"/>
                <w:color w:val="auto"/>
              </w:rPr>
            </w:pPr>
            <w:r>
              <w:rPr>
                <w:rFonts w:ascii="Times New Roman" w:cs="Times New Roman" w:eastAsia="Times New Roman" w:hAnsi="Times New Roman"/>
                <w:sz w:val="12"/>
                <w:szCs w:val="12"/>
                <w:color w:val="auto"/>
              </w:rPr>
              <w:t>111,769</w:t>
            </w:r>
          </w:p>
        </w:tc>
        <w:tc>
          <w:tcPr>
            <w:tcW w:w="120" w:type="dxa"/>
            <w:vAlign w:val="bottom"/>
          </w:tcPr>
          <w:p>
            <w:pPr>
              <w:spacing w:after="0"/>
              <w:rPr>
                <w:sz w:val="11"/>
                <w:szCs w:val="11"/>
                <w:color w:val="auto"/>
              </w:rPr>
            </w:pPr>
          </w:p>
        </w:tc>
        <w:tc>
          <w:tcPr>
            <w:tcW w:w="660" w:type="dxa"/>
            <w:vAlign w:val="bottom"/>
          </w:tcPr>
          <w:p>
            <w:pPr>
              <w:jc w:val="right"/>
              <w:ind w:right="43"/>
              <w:spacing w:after="0" w:line="134" w:lineRule="exact"/>
              <w:rPr>
                <w:sz w:val="20"/>
                <w:szCs w:val="20"/>
                <w:color w:val="auto"/>
              </w:rPr>
            </w:pPr>
            <w:r>
              <w:rPr>
                <w:rFonts w:ascii="Times New Roman" w:cs="Times New Roman" w:eastAsia="Times New Roman" w:hAnsi="Times New Roman"/>
                <w:sz w:val="12"/>
                <w:szCs w:val="12"/>
                <w:color w:val="auto"/>
              </w:rPr>
              <w:t>4,002</w:t>
            </w:r>
          </w:p>
        </w:tc>
        <w:tc>
          <w:tcPr>
            <w:tcW w:w="1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(103,517)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183,648</w:t>
            </w:r>
          </w:p>
        </w:tc>
        <w:tc>
          <w:tcPr>
            <w:tcW w:w="20" w:type="dxa"/>
            <w:vAlign w:val="bottom"/>
          </w:tcPr>
          <w:p>
            <w:pPr>
              <w:spacing w:after="0"/>
              <w:rPr>
                <w:sz w:val="11"/>
                <w:szCs w:val="11"/>
                <w:color w:val="auto"/>
              </w:rPr>
            </w:pPr>
          </w:p>
        </w:tc>
      </w:tr>
      <w:tr>
        <w:trPr>
          <w:trHeight w:val="156"/>
        </w:trPr>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46,818</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124,707</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34,728</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(1,026)</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205,227</w:t>
            </w:r>
          </w:p>
        </w:tc>
        <w:tc>
          <w:tcPr>
            <w:tcW w:w="20" w:type="dxa"/>
            <w:vAlign w:val="bottom"/>
          </w:tcPr>
          <w:p>
            <w:pPr>
              <w:spacing w:after="0"/>
              <w:rPr>
                <w:sz w:val="13"/>
                <w:szCs w:val="13"/>
                <w:color w:val="auto"/>
              </w:rPr>
            </w:pPr>
          </w:p>
        </w:tc>
      </w:tr>
      <w:tr>
        <w:trPr>
          <w:trHeight w:val="269"/>
        </w:trPr>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30,699</w:t>
            </w:r>
          </w:p>
        </w:tc>
        <w:tc>
          <w:tcPr>
            <w:tcW w:w="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(29,926)</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20" w:type="dxa"/>
            <w:vAlign w:val="bottom"/>
          </w:tcPr>
          <w:p>
            <w:pPr>
              <w:spacing w:after="0"/>
              <w:rPr>
                <w:sz w:val="23"/>
                <w:szCs w:val="23"/>
                <w:color w:val="auto"/>
              </w:rPr>
            </w:pPr>
          </w:p>
        </w:tc>
      </w:tr>
      <w:tr>
        <w:trPr>
          <w:trHeight w:val="109"/>
        </w:trPr>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5,409</w:t>
            </w:r>
          </w:p>
        </w:tc>
        <w:tc>
          <w:tcPr>
            <w:tcW w:w="20" w:type="dxa"/>
            <w:vAlign w:val="bottom"/>
          </w:tcPr>
          <w:p>
            <w:pPr>
              <w:spacing w:after="0"/>
              <w:rPr>
                <w:sz w:val="9"/>
                <w:szCs w:val="9"/>
                <w:color w:val="auto"/>
              </w:rPr>
            </w:pPr>
          </w:p>
        </w:tc>
      </w:tr>
      <w:tr>
        <w:trPr>
          <w:trHeight w:val="154"/>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20" w:type="dxa"/>
            <w:vAlign w:val="bottom"/>
          </w:tcPr>
          <w:p>
            <w:pPr>
              <w:spacing w:after="0"/>
              <w:rPr>
                <w:sz w:val="13"/>
                <w:szCs w:val="13"/>
                <w:color w:val="auto"/>
              </w:rPr>
            </w:pPr>
          </w:p>
        </w:tc>
      </w:tr>
      <w:tr>
        <w:trPr>
          <w:trHeight w:val="104"/>
        </w:trPr>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(3,135)</w:t>
            </w:r>
          </w:p>
        </w:tc>
        <w:tc>
          <w:tcPr>
            <w:tcW w:w="20" w:type="dxa"/>
            <w:vAlign w:val="bottom"/>
          </w:tcPr>
          <w:p>
            <w:pPr>
              <w:spacing w:after="0"/>
              <w:rPr>
                <w:sz w:val="9"/>
                <w:szCs w:val="9"/>
                <w:color w:val="auto"/>
              </w:rPr>
            </w:pPr>
          </w:p>
        </w:tc>
      </w:tr>
      <w:tr>
        <w:trPr>
          <w:trHeight w:val="134"/>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2,528</w:t>
            </w:r>
          </w:p>
        </w:tc>
        <w:tc>
          <w:tcPr>
            <w:tcW w:w="20" w:type="dxa"/>
            <w:vAlign w:val="bottom"/>
          </w:tcPr>
          <w:p>
            <w:pPr>
              <w:spacing w:after="0"/>
              <w:rPr>
                <w:sz w:val="11"/>
                <w:szCs w:val="11"/>
                <w:color w:val="auto"/>
              </w:rPr>
            </w:pPr>
          </w:p>
        </w:tc>
      </w:tr>
      <w:tr>
        <w:trPr>
          <w:trHeight w:val="134"/>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(22)</w:t>
            </w:r>
          </w:p>
        </w:tc>
      </w:tr>
      <w:tr>
        <w:trPr>
          <w:trHeight w:val="154"/>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(1,859)</w:t>
            </w:r>
          </w:p>
        </w:tc>
      </w:tr>
      <w:tr>
        <w:trPr>
          <w:trHeight w:val="138"/>
        </w:trPr>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(2,488)</w:t>
            </w:r>
          </w:p>
        </w:tc>
        <w:tc>
          <w:tcPr>
            <w:tcW w:w="20" w:type="dxa"/>
            <w:vAlign w:val="bottom"/>
          </w:tcPr>
          <w:p>
            <w:pPr>
              <w:spacing w:after="0"/>
              <w:rPr>
                <w:sz w:val="11"/>
                <w:szCs w:val="11"/>
                <w:color w:val="auto"/>
              </w:rPr>
            </w:pPr>
          </w:p>
        </w:tc>
      </w:tr>
    </w:tbl>
    <w:p>
      <w:pPr>
        <w:spacing w:after="0" w:line="200" w:lineRule="exact"/>
        <w:rPr>
          <w:sz w:val="20"/>
          <w:szCs w:val="20"/>
          <w:color w:val="auto"/>
        </w:rPr>
      </w:pPr>
    </w:p>
    <w:p>
      <w:pPr>
        <w:sectPr>
          <w:pgSz w:w="15840" w:h="12240" w:orient="landscape"/>
          <w:cols w:equalWidth="0" w:num="3">
            <w:col w:w="7200" w:space="720"/>
            <w:col w:w="2480" w:space="160"/>
            <w:col w:w="3760"/>
          </w:cols>
          <w:pgMar w:left="740" w:top="1424" w:right="780" w:bottom="940" w:gutter="0" w:footer="0" w:header="0"/>
          <w:type w:val="continuous"/>
        </w:sectPr>
      </w:pPr>
    </w:p>
    <w:p>
      <w:pPr>
        <w:spacing w:after="0" w:line="90"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2"/>
          <w:szCs w:val="12"/>
          <w:color w:val="auto"/>
        </w:rPr>
        <w:t>44</w:t>
      </w:r>
    </w:p>
    <w:p>
      <w:pPr>
        <w:sectPr>
          <w:pgSz w:w="15840" w:h="12240" w:orient="landscape"/>
          <w:cols w:equalWidth="0" w:num="1">
            <w:col w:w="14320"/>
          </w:cols>
          <w:pgMar w:left="740" w:top="1424" w:right="780" w:bottom="9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Additional information reported by segment is as follows: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200" w:type="dxa"/>
            <w:vAlign w:val="bottom"/>
            <w:vMerge w:val="restart"/>
          </w:tcPr>
          <w:p>
            <w:pPr>
              <w:ind w:left="900"/>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Wholesale</w:t>
            </w: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2,317</w:t>
            </w:r>
          </w:p>
        </w:tc>
        <w:tc>
          <w:tcPr>
            <w:tcW w:w="140" w:type="dxa"/>
            <w:vAlign w:val="bottom"/>
            <w:gridSpan w:val="2"/>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2,424</w:t>
            </w:r>
          </w:p>
        </w:tc>
        <w:tc>
          <w:tcPr>
            <w:tcW w:w="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2,455</w:t>
            </w:r>
          </w:p>
        </w:tc>
        <w:tc>
          <w:tcPr>
            <w:tcW w:w="0" w:type="dxa"/>
            <w:vAlign w:val="bottom"/>
          </w:tcPr>
          <w:p>
            <w:pPr>
              <w:spacing w:after="0"/>
              <w:rPr>
                <w:sz w:val="1"/>
                <w:szCs w:val="1"/>
                <w:color w:val="auto"/>
              </w:rPr>
            </w:pPr>
          </w:p>
        </w:tc>
      </w:tr>
      <w:tr>
        <w:trPr>
          <w:trHeight w:val="148"/>
        </w:trPr>
        <w:tc>
          <w:tcPr>
            <w:tcW w:w="3200" w:type="dxa"/>
            <w:vAlign w:val="bottom"/>
          </w:tcPr>
          <w:p>
            <w:pPr>
              <w:ind w:left="1120"/>
              <w:spacing w:after="0" w:line="149" w:lineRule="exact"/>
              <w:rPr>
                <w:sz w:val="20"/>
                <w:szCs w:val="20"/>
                <w:color w:val="auto"/>
              </w:rPr>
            </w:pPr>
            <w:r>
              <w:rPr>
                <w:rFonts w:ascii="Times New Roman" w:cs="Times New Roman" w:eastAsia="Times New Roman" w:hAnsi="Times New Roman"/>
                <w:sz w:val="13"/>
                <w:szCs w:val="13"/>
                <w:color w:val="auto"/>
              </w:rPr>
              <w:t>Retail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3,884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rPr>
              <w:t>4,850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Corporate and other</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900"/>
              <w:spacing w:after="0" w:line="144" w:lineRule="exact"/>
              <w:rPr>
                <w:sz w:val="20"/>
                <w:szCs w:val="20"/>
                <w:color w:val="auto"/>
              </w:rPr>
            </w:pPr>
            <w:r>
              <w:rPr>
                <w:rFonts w:ascii="Times New Roman" w:cs="Times New Roman" w:eastAsia="Times New Roman" w:hAnsi="Times New Roman"/>
                <w:sz w:val="13"/>
                <w:szCs w:val="13"/>
                <w:color w:val="auto"/>
              </w:rPr>
              <w:t>Consolidated</w:t>
            </w:r>
          </w:p>
        </w:tc>
        <w:tc>
          <w:tcPr>
            <w:tcW w:w="20" w:type="dxa"/>
            <w:vAlign w:val="bottom"/>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8,801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9,918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10,141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32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Wholesale</w:t>
            </w: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1,607</w:t>
            </w:r>
          </w:p>
        </w:tc>
        <w:tc>
          <w:tcPr>
            <w:tcW w:w="140" w:type="dxa"/>
            <w:vAlign w:val="bottom"/>
            <w:gridSpan w:val="2"/>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1,108</w:t>
            </w:r>
          </w:p>
        </w:tc>
        <w:tc>
          <w:tcPr>
            <w:tcW w:w="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0" w:type="dxa"/>
            <w:vAlign w:val="bottom"/>
          </w:tcPr>
          <w:p>
            <w:pPr>
              <w:spacing w:after="0"/>
              <w:rPr>
                <w:sz w:val="1"/>
                <w:szCs w:val="1"/>
                <w:color w:val="auto"/>
              </w:rPr>
            </w:pPr>
          </w:p>
        </w:tc>
      </w:tr>
      <w:tr>
        <w:trPr>
          <w:trHeight w:val="148"/>
        </w:trPr>
        <w:tc>
          <w:tcPr>
            <w:tcW w:w="3200" w:type="dxa"/>
            <w:vAlign w:val="bottom"/>
          </w:tcPr>
          <w:p>
            <w:pPr>
              <w:ind w:left="1120"/>
              <w:spacing w:after="0" w:line="149" w:lineRule="exact"/>
              <w:rPr>
                <w:sz w:val="20"/>
                <w:szCs w:val="20"/>
                <w:color w:val="auto"/>
              </w:rPr>
            </w:pPr>
            <w:r>
              <w:rPr>
                <w:rFonts w:ascii="Times New Roman" w:cs="Times New Roman" w:eastAsia="Times New Roman" w:hAnsi="Times New Roman"/>
                <w:sz w:val="13"/>
                <w:szCs w:val="13"/>
                <w:color w:val="auto"/>
              </w:rPr>
              <w:t>Retail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2,222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rPr>
              <w:t>2,759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9,877</w:t>
            </w:r>
          </w:p>
        </w:tc>
        <w:tc>
          <w:tcPr>
            <w:tcW w:w="0" w:type="dxa"/>
            <w:vAlign w:val="bottom"/>
          </w:tcPr>
          <w:p>
            <w:pPr>
              <w:spacing w:after="0"/>
              <w:rPr>
                <w:sz w:val="1"/>
                <w:szCs w:val="1"/>
                <w:color w:val="auto"/>
              </w:rPr>
            </w:pPr>
          </w:p>
        </w:tc>
      </w:tr>
      <w:tr>
        <w:trPr>
          <w:trHeight w:val="172"/>
        </w:trPr>
        <w:tc>
          <w:tcPr>
            <w:tcW w:w="32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Corporate 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1,344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5,317</w:t>
            </w:r>
          </w:p>
        </w:tc>
        <w:tc>
          <w:tcPr>
            <w:tcW w:w="0" w:type="dxa"/>
            <w:vAlign w:val="bottom"/>
          </w:tcPr>
          <w:p>
            <w:pPr>
              <w:spacing w:after="0"/>
              <w:rPr>
                <w:sz w:val="1"/>
                <w:szCs w:val="1"/>
                <w:color w:val="auto"/>
              </w:rPr>
            </w:pPr>
          </w:p>
        </w:tc>
      </w:tr>
      <w:tr>
        <w:trPr>
          <w:trHeight w:val="152"/>
        </w:trPr>
        <w:tc>
          <w:tcPr>
            <w:tcW w:w="3200" w:type="dxa"/>
            <w:vAlign w:val="bottom"/>
          </w:tcPr>
          <w:p>
            <w:pPr>
              <w:ind w:left="900"/>
              <w:spacing w:after="0" w:line="144" w:lineRule="exact"/>
              <w:rPr>
                <w:sz w:val="20"/>
                <w:szCs w:val="20"/>
                <w:color w:val="auto"/>
              </w:rPr>
            </w:pPr>
            <w:r>
              <w:rPr>
                <w:rFonts w:ascii="Times New Roman" w:cs="Times New Roman" w:eastAsia="Times New Roman" w:hAnsi="Times New Roman"/>
                <w:sz w:val="13"/>
                <w:szCs w:val="13"/>
                <w:color w:val="auto"/>
              </w:rPr>
              <w:t>Consolidated</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4,530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5,211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17,489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32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Identifiable Assets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Wholesale</w:t>
            </w: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92,805</w:t>
            </w:r>
          </w:p>
        </w:tc>
        <w:tc>
          <w:tcPr>
            <w:tcW w:w="140" w:type="dxa"/>
            <w:vAlign w:val="bottom"/>
            <w:gridSpan w:val="2"/>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88,533</w:t>
            </w:r>
          </w:p>
        </w:tc>
        <w:tc>
          <w:tcPr>
            <w:tcW w:w="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99,004</w:t>
            </w:r>
          </w:p>
        </w:tc>
        <w:tc>
          <w:tcPr>
            <w:tcW w:w="0" w:type="dxa"/>
            <w:vAlign w:val="bottom"/>
          </w:tcPr>
          <w:p>
            <w:pPr>
              <w:spacing w:after="0"/>
              <w:rPr>
                <w:sz w:val="1"/>
                <w:szCs w:val="1"/>
                <w:color w:val="auto"/>
              </w:rPr>
            </w:pPr>
          </w:p>
        </w:tc>
      </w:tr>
      <w:tr>
        <w:trPr>
          <w:trHeight w:val="148"/>
        </w:trPr>
        <w:tc>
          <w:tcPr>
            <w:tcW w:w="3200" w:type="dxa"/>
            <w:vAlign w:val="bottom"/>
          </w:tcPr>
          <w:p>
            <w:pPr>
              <w:ind w:left="1120"/>
              <w:spacing w:after="0" w:line="149" w:lineRule="exact"/>
              <w:rPr>
                <w:sz w:val="20"/>
                <w:szCs w:val="20"/>
                <w:color w:val="auto"/>
              </w:rPr>
            </w:pPr>
            <w:r>
              <w:rPr>
                <w:rFonts w:ascii="Times New Roman" w:cs="Times New Roman" w:eastAsia="Times New Roman" w:hAnsi="Times New Roman"/>
                <w:sz w:val="13"/>
                <w:szCs w:val="13"/>
                <w:color w:val="auto"/>
              </w:rPr>
              <w:t>Retail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140,507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3"/>
                <w:szCs w:val="13"/>
                <w:color w:val="auto"/>
              </w:rPr>
              <w:t>158,084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166,604</w:t>
            </w:r>
          </w:p>
        </w:tc>
        <w:tc>
          <w:tcPr>
            <w:tcW w:w="0" w:type="dxa"/>
            <w:vAlign w:val="bottom"/>
          </w:tcPr>
          <w:p>
            <w:pPr>
              <w:spacing w:after="0"/>
              <w:rPr>
                <w:sz w:val="1"/>
                <w:szCs w:val="1"/>
                <w:color w:val="auto"/>
              </w:rPr>
            </w:pPr>
          </w:p>
        </w:tc>
      </w:tr>
      <w:tr>
        <w:trPr>
          <w:trHeight w:val="172"/>
        </w:trPr>
        <w:tc>
          <w:tcPr>
            <w:tcW w:w="32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Corporate 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90,507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94,553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104,816</w:t>
            </w:r>
          </w:p>
        </w:tc>
        <w:tc>
          <w:tcPr>
            <w:tcW w:w="0" w:type="dxa"/>
            <w:vAlign w:val="bottom"/>
          </w:tcPr>
          <w:p>
            <w:pPr>
              <w:spacing w:after="0"/>
              <w:rPr>
                <w:sz w:val="1"/>
                <w:szCs w:val="1"/>
                <w:color w:val="auto"/>
              </w:rPr>
            </w:pPr>
          </w:p>
        </w:tc>
      </w:tr>
      <w:tr>
        <w:trPr>
          <w:trHeight w:val="152"/>
        </w:trPr>
        <w:tc>
          <w:tcPr>
            <w:tcW w:w="3200" w:type="dxa"/>
            <w:vAlign w:val="bottom"/>
          </w:tcPr>
          <w:p>
            <w:pPr>
              <w:ind w:left="900"/>
              <w:spacing w:after="0" w:line="144" w:lineRule="exact"/>
              <w:rPr>
                <w:sz w:val="20"/>
                <w:szCs w:val="20"/>
                <w:color w:val="auto"/>
              </w:rPr>
            </w:pPr>
            <w:r>
              <w:rPr>
                <w:rFonts w:ascii="Times New Roman" w:cs="Times New Roman" w:eastAsia="Times New Roman" w:hAnsi="Times New Roman"/>
                <w:sz w:val="13"/>
                <w:szCs w:val="13"/>
                <w:color w:val="auto"/>
              </w:rPr>
              <w:t>Consolidated</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323,819</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341,170</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370,424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760"/>
        <w:spacing w:after="0" w:line="273" w:lineRule="auto"/>
        <w:rPr>
          <w:sz w:val="20"/>
          <w:szCs w:val="20"/>
          <w:color w:val="auto"/>
        </w:rPr>
      </w:pPr>
      <w:r>
        <w:rPr>
          <w:rFonts w:ascii="Times New Roman" w:cs="Times New Roman" w:eastAsia="Times New Roman" w:hAnsi="Times New Roman"/>
          <w:sz w:val="13"/>
          <w:szCs w:val="13"/>
          <w:color w:val="auto"/>
        </w:rPr>
        <w:t>See Note 19 for disaggregated revenue information regarding sales of furniture and accessories by product type for the wholesale and retail 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19. Revenue Recognition</w:t>
      </w:r>
    </w:p>
    <w:p>
      <w:pPr>
        <w:spacing w:after="0" w:line="153"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13"/>
          <w:szCs w:val="13"/>
          <w:color w:val="auto"/>
        </w:rPr>
        <w:t>Disaggregated revenue information for sales of furniture and accessories by product category for fiscal years 2025, 2024 and 2023, excluding intercompany transactions between our segments, is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2025</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375"/>
              <w:spacing w:after="0"/>
              <w:rPr>
                <w:sz w:val="20"/>
                <w:szCs w:val="20"/>
                <w:color w:val="auto"/>
              </w:rPr>
            </w:pPr>
            <w:r>
              <w:rPr>
                <w:rFonts w:ascii="Times New Roman" w:cs="Times New Roman" w:eastAsia="Times New Roman" w:hAnsi="Times New Roman"/>
                <w:sz w:val="9"/>
                <w:szCs w:val="9"/>
                <w:b w:val="1"/>
                <w:bCs w:val="1"/>
                <w:color w:val="auto"/>
                <w:w w:val="88"/>
              </w:rPr>
              <w:t>2024</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2023</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r>
        <w:trPr>
          <w:trHeight w:val="83"/>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gridSpan w:val="2"/>
          </w:tcPr>
          <w:p>
            <w:pPr>
              <w:ind w:left="100"/>
              <w:spacing w:after="0" w:line="83" w:lineRule="exact"/>
              <w:rPr>
                <w:sz w:val="20"/>
                <w:szCs w:val="20"/>
                <w:color w:val="auto"/>
              </w:rPr>
            </w:pPr>
            <w:r>
              <w:rPr>
                <w:rFonts w:ascii="Times New Roman" w:cs="Times New Roman" w:eastAsia="Times New Roman" w:hAnsi="Times New Roman"/>
                <w:sz w:val="9"/>
                <w:szCs w:val="9"/>
                <w:color w:val="auto"/>
              </w:rPr>
              <w:t>Corporate &amp;</w:t>
            </w: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gridSpan w:val="2"/>
          </w:tcPr>
          <w:p>
            <w:pPr>
              <w:jc w:val="right"/>
              <w:ind w:right="15"/>
              <w:spacing w:after="0" w:line="83" w:lineRule="exact"/>
              <w:rPr>
                <w:sz w:val="20"/>
                <w:szCs w:val="20"/>
                <w:color w:val="auto"/>
              </w:rPr>
            </w:pPr>
            <w:r>
              <w:rPr>
                <w:rFonts w:ascii="Times New Roman" w:cs="Times New Roman" w:eastAsia="Times New Roman" w:hAnsi="Times New Roman"/>
                <w:sz w:val="9"/>
                <w:szCs w:val="9"/>
                <w:color w:val="auto"/>
              </w:rPr>
              <w:t>Corporate &amp;</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gridSpan w:val="2"/>
          </w:tcPr>
          <w:p>
            <w:pPr>
              <w:ind w:left="80"/>
              <w:spacing w:after="0" w:line="83" w:lineRule="exact"/>
              <w:rPr>
                <w:sz w:val="20"/>
                <w:szCs w:val="20"/>
                <w:color w:val="auto"/>
              </w:rPr>
            </w:pPr>
            <w:r>
              <w:rPr>
                <w:rFonts w:ascii="Times New Roman" w:cs="Times New Roman" w:eastAsia="Times New Roman" w:hAnsi="Times New Roman"/>
                <w:sz w:val="9"/>
                <w:szCs w:val="9"/>
                <w:color w:val="auto"/>
              </w:rPr>
              <w:t>Corporate &amp;</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22"/>
        </w:trPr>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color w:val="auto"/>
              </w:rPr>
              <w:t>Wholesale</w:t>
            </w: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Retail</w:t>
            </w:r>
          </w:p>
        </w:tc>
        <w:tc>
          <w:tcPr>
            <w:tcW w:w="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9"/>
                <w:szCs w:val="9"/>
                <w:color w:val="auto"/>
                <w:w w:val="96"/>
              </w:rPr>
              <w:t>Other (2)</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Total</w:t>
            </w:r>
          </w:p>
        </w:tc>
        <w:tc>
          <w:tcPr>
            <w:tcW w:w="80" w:type="dxa"/>
            <w:vAlign w:val="bottom"/>
          </w:tcPr>
          <w:p>
            <w:pPr>
              <w:spacing w:after="0"/>
              <w:rPr>
                <w:sz w:val="10"/>
                <w:szCs w:val="10"/>
                <w:color w:val="auto"/>
              </w:rPr>
            </w:pP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color w:val="auto"/>
              </w:rPr>
              <w:t>Wholesale</w:t>
            </w: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Retail</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96"/>
              </w:rPr>
              <w:t>Other (2)</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Total</w:t>
            </w:r>
          </w:p>
        </w:tc>
        <w:tc>
          <w:tcPr>
            <w:tcW w:w="80" w:type="dxa"/>
            <w:vAlign w:val="bottom"/>
          </w:tcPr>
          <w:p>
            <w:pPr>
              <w:spacing w:after="0"/>
              <w:rPr>
                <w:sz w:val="10"/>
                <w:szCs w:val="10"/>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color w:val="auto"/>
              </w:rPr>
              <w:t>Wholesale</w:t>
            </w: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Retail</w:t>
            </w: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color w:val="auto"/>
                <w:w w:val="97"/>
              </w:rPr>
              <w:t>Other</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Total</w:t>
            </w:r>
          </w:p>
        </w:tc>
      </w:tr>
      <w:tr>
        <w:trPr>
          <w:trHeight w:val="85"/>
        </w:trPr>
        <w:tc>
          <w:tcPr>
            <w:tcW w:w="540" w:type="dxa"/>
            <w:vAlign w:val="bottom"/>
            <w:gridSpan w:val="2"/>
          </w:tcPr>
          <w:p>
            <w:pPr>
              <w:spacing w:after="0" w:line="86" w:lineRule="exact"/>
              <w:rPr>
                <w:sz w:val="20"/>
                <w:szCs w:val="20"/>
                <w:color w:val="auto"/>
              </w:rPr>
            </w:pPr>
            <w:r>
              <w:rPr>
                <w:rFonts w:ascii="Times New Roman" w:cs="Times New Roman" w:eastAsia="Times New Roman" w:hAnsi="Times New Roman"/>
                <w:sz w:val="9"/>
                <w:szCs w:val="9"/>
                <w:color w:val="auto"/>
              </w:rPr>
              <w:t>Bassett</w:t>
            </w: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04"/>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Custom</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19"/>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Upholstery</w:t>
            </w: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76,923</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$ 117,231</w:t>
            </w:r>
          </w:p>
        </w:tc>
        <w:tc>
          <w:tcPr>
            <w:tcW w:w="500" w:type="dxa"/>
            <w:vAlign w:val="bottom"/>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194,154</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79,281</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$ 111,943</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191,224</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89,005</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$ 134,000</w:t>
            </w:r>
          </w:p>
        </w:tc>
        <w:tc>
          <w:tcPr>
            <w:tcW w:w="200" w:type="dxa"/>
            <w:vAlign w:val="bottom"/>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223,005</w:t>
            </w:r>
          </w:p>
        </w:tc>
      </w:tr>
      <w:tr>
        <w:trPr>
          <w:trHeight w:val="109"/>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Bassett</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19"/>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Leather</w:t>
            </w: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16,484</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9,121</w:t>
            </w:r>
          </w:p>
        </w:tc>
        <w:tc>
          <w:tcPr>
            <w:tcW w:w="500" w:type="dxa"/>
            <w:vAlign w:val="bottom"/>
          </w:tcPr>
          <w:p>
            <w:pPr>
              <w:spacing w:after="0"/>
              <w:rPr>
                <w:sz w:val="10"/>
                <w:szCs w:val="10"/>
                <w:color w:val="auto"/>
              </w:rPr>
            </w:pP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25,605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15,705</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4,990</w:t>
            </w:r>
          </w:p>
        </w:tc>
        <w:tc>
          <w:tcPr>
            <w:tcW w:w="140" w:type="dxa"/>
            <w:vAlign w:val="bottom"/>
          </w:tcPr>
          <w:p>
            <w:pPr>
              <w:spacing w:after="0"/>
              <w:rPr>
                <w:sz w:val="10"/>
                <w:szCs w:val="1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20,695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26,701</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1,951</w:t>
            </w:r>
          </w:p>
        </w:tc>
        <w:tc>
          <w:tcPr>
            <w:tcW w:w="200" w:type="dxa"/>
            <w:vAlign w:val="bottom"/>
          </w:tcPr>
          <w:p>
            <w:pPr>
              <w:spacing w:after="0"/>
              <w:rPr>
                <w:sz w:val="10"/>
                <w:szCs w:val="10"/>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28,652</w:t>
            </w:r>
          </w:p>
        </w:tc>
      </w:tr>
      <w:tr>
        <w:trPr>
          <w:trHeight w:val="109"/>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Bassett</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04"/>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Custom</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19"/>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Wood</w:t>
            </w: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12,357</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31,885</w:t>
            </w:r>
          </w:p>
        </w:tc>
        <w:tc>
          <w:tcPr>
            <w:tcW w:w="500" w:type="dxa"/>
            <w:vAlign w:val="bottom"/>
          </w:tcPr>
          <w:p>
            <w:pPr>
              <w:spacing w:after="0"/>
              <w:rPr>
                <w:sz w:val="10"/>
                <w:szCs w:val="10"/>
                <w:color w:val="auto"/>
              </w:rPr>
            </w:pP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44,242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13,735</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32,201</w:t>
            </w:r>
          </w:p>
        </w:tc>
        <w:tc>
          <w:tcPr>
            <w:tcW w:w="140" w:type="dxa"/>
            <w:vAlign w:val="bottom"/>
          </w:tcPr>
          <w:p>
            <w:pPr>
              <w:spacing w:after="0"/>
              <w:rPr>
                <w:sz w:val="10"/>
                <w:szCs w:val="1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45,936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17,357</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36,732</w:t>
            </w:r>
          </w:p>
        </w:tc>
        <w:tc>
          <w:tcPr>
            <w:tcW w:w="200" w:type="dxa"/>
            <w:vAlign w:val="bottom"/>
          </w:tcPr>
          <w:p>
            <w:pPr>
              <w:spacing w:after="0"/>
              <w:rPr>
                <w:sz w:val="10"/>
                <w:szCs w:val="10"/>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54,089</w:t>
            </w:r>
          </w:p>
        </w:tc>
      </w:tr>
      <w:tr>
        <w:trPr>
          <w:trHeight w:val="109"/>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Bassett</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19"/>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Casegoods</w:t>
            </w: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12,835</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29,218</w:t>
            </w:r>
          </w:p>
        </w:tc>
        <w:tc>
          <w:tcPr>
            <w:tcW w:w="500" w:type="dxa"/>
            <w:vAlign w:val="bottom"/>
          </w:tcPr>
          <w:p>
            <w:pPr>
              <w:spacing w:after="0"/>
              <w:rPr>
                <w:sz w:val="10"/>
                <w:szCs w:val="10"/>
                <w:color w:val="auto"/>
              </w:rPr>
            </w:pP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42,053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11,720</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26,179</w:t>
            </w:r>
          </w:p>
        </w:tc>
        <w:tc>
          <w:tcPr>
            <w:tcW w:w="140" w:type="dxa"/>
            <w:vAlign w:val="bottom"/>
          </w:tcPr>
          <w:p>
            <w:pPr>
              <w:spacing w:after="0"/>
              <w:rPr>
                <w:sz w:val="10"/>
                <w:szCs w:val="1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37,899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12,329</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32,252</w:t>
            </w:r>
          </w:p>
        </w:tc>
        <w:tc>
          <w:tcPr>
            <w:tcW w:w="200" w:type="dxa"/>
            <w:vAlign w:val="bottom"/>
          </w:tcPr>
          <w:p>
            <w:pPr>
              <w:spacing w:after="0"/>
              <w:rPr>
                <w:sz w:val="10"/>
                <w:szCs w:val="10"/>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44,581</w:t>
            </w:r>
          </w:p>
        </w:tc>
      </w:tr>
      <w:tr>
        <w:trPr>
          <w:trHeight w:val="109"/>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Accessories,</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05"/>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mattresses</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22"/>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and other (1)</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29,226</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29,226</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29,250</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4,919</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34,169</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31,005</w:t>
            </w: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8,804</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39,809</w:t>
            </w:r>
          </w:p>
        </w:tc>
      </w:tr>
      <w:tr>
        <w:trPr>
          <w:trHeight w:val="85"/>
        </w:trPr>
        <w:tc>
          <w:tcPr>
            <w:tcW w:w="540" w:type="dxa"/>
            <w:vAlign w:val="bottom"/>
            <w:gridSpan w:val="2"/>
          </w:tcPr>
          <w:p>
            <w:pPr>
              <w:spacing w:after="0" w:line="86" w:lineRule="exact"/>
              <w:rPr>
                <w:sz w:val="20"/>
                <w:szCs w:val="20"/>
                <w:color w:val="auto"/>
              </w:rPr>
            </w:pPr>
            <w:r>
              <w:rPr>
                <w:rFonts w:ascii="Times New Roman" w:cs="Times New Roman" w:eastAsia="Times New Roman" w:hAnsi="Times New Roman"/>
                <w:sz w:val="9"/>
                <w:szCs w:val="9"/>
                <w:color w:val="auto"/>
              </w:rPr>
              <w:t>Consolidated</w:t>
            </w: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04"/>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Furniture</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04"/>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and</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04"/>
        </w:trPr>
        <w:tc>
          <w:tcPr>
            <w:tcW w:w="5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Accessories</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43"/>
        </w:trPr>
        <w:tc>
          <w:tcPr>
            <w:tcW w:w="520" w:type="dxa"/>
            <w:vAlign w:val="bottom"/>
          </w:tcPr>
          <w:p>
            <w:pPr>
              <w:spacing w:after="0"/>
              <w:rPr>
                <w:sz w:val="20"/>
                <w:szCs w:val="20"/>
                <w:color w:val="auto"/>
              </w:rPr>
            </w:pPr>
            <w:r>
              <w:rPr>
                <w:rFonts w:ascii="Times New Roman" w:cs="Times New Roman" w:eastAsia="Times New Roman" w:hAnsi="Times New Roman"/>
                <w:sz w:val="9"/>
                <w:szCs w:val="9"/>
                <w:color w:val="auto"/>
              </w:rPr>
              <w:t>revenue</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118,599</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$ 216,681</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95"/>
              </w:rPr>
              <w:t>335,280</w:t>
            </w:r>
          </w:p>
        </w:tc>
        <w:tc>
          <w:tcPr>
            <w:tcW w:w="80" w:type="dxa"/>
            <w:vAlign w:val="bottom"/>
          </w:tcPr>
          <w:p>
            <w:pPr>
              <w:spacing w:after="0"/>
              <w:rPr>
                <w:sz w:val="12"/>
                <w:szCs w:val="12"/>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120,441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$ 204,563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4,919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329,923</w:t>
            </w:r>
          </w:p>
        </w:tc>
        <w:tc>
          <w:tcPr>
            <w:tcW w:w="80" w:type="dxa"/>
            <w:vAlign w:val="bottom"/>
          </w:tcPr>
          <w:p>
            <w:pPr>
              <w:spacing w:after="0"/>
              <w:rPr>
                <w:sz w:val="12"/>
                <w:szCs w:val="12"/>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145,392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$ 235,940</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8,804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390,136</w:t>
            </w:r>
          </w:p>
        </w:tc>
      </w:tr>
    </w:tbl>
    <w:p>
      <w:pPr>
        <w:spacing w:after="0" w:line="116" w:lineRule="exact"/>
        <w:rPr>
          <w:sz w:val="20"/>
          <w:szCs w:val="20"/>
          <w:color w:val="auto"/>
        </w:rPr>
      </w:pPr>
    </w:p>
    <w:p>
      <w:pPr>
        <w:ind w:left="480" w:right="760" w:hanging="242"/>
        <w:spacing w:after="0" w:line="257" w:lineRule="auto"/>
        <w:tabs>
          <w:tab w:leader="none" w:pos="481"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sale of goods other than Bassett-branded products, such as accessories and bedding, and also includes the sale of furniture protection plans.</w:t>
      </w:r>
    </w:p>
    <w:p>
      <w:pPr>
        <w:jc w:val="both"/>
        <w:ind w:left="480" w:right="760" w:hanging="242"/>
        <w:spacing w:after="0" w:line="238" w:lineRule="auto"/>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fiscal 2023 and 2024, Corporate and other reconciling category includes the sales of Noa Home, which was acquired on September 2, 2022 and closed at the end of fiscal 2024 following the decision in the second quarter of fiscal 2024 to cease operations and liquidate the remaining inventory.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Bassett Furniture Industries, Incorporated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right="355"/>
              <w:spacing w:after="0"/>
              <w:rPr>
                <w:sz w:val="20"/>
                <w:szCs w:val="20"/>
                <w:color w:val="auto"/>
              </w:rPr>
            </w:pPr>
            <w:r>
              <w:rPr>
                <w:rFonts w:ascii="Times New Roman" w:cs="Times New Roman" w:eastAsia="Times New Roman" w:hAnsi="Times New Roman"/>
                <w:sz w:val="13"/>
                <w:szCs w:val="13"/>
                <w:color w:val="auto"/>
              </w:rPr>
              <w:t>Schedule II</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4580" w:type="dxa"/>
            <w:vAlign w:val="bottom"/>
            <w:gridSpan w:val="7"/>
          </w:tcPr>
          <w:p>
            <w:pPr>
              <w:jc w:val="center"/>
              <w:ind w:left="1795"/>
              <w:spacing w:after="0"/>
              <w:rPr>
                <w:sz w:val="20"/>
                <w:szCs w:val="20"/>
                <w:color w:val="auto"/>
              </w:rPr>
            </w:pPr>
            <w:r>
              <w:rPr>
                <w:rFonts w:ascii="Times New Roman" w:cs="Times New Roman" w:eastAsia="Times New Roman" w:hAnsi="Times New Roman"/>
                <w:sz w:val="13"/>
                <w:szCs w:val="13"/>
                <w:color w:val="auto"/>
                <w:w w:val="99"/>
              </w:rPr>
              <w:t>Analysis of Valuation and Qualifying Accounts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20" w:type="dxa"/>
            <w:vAlign w:val="bottom"/>
            <w:gridSpan w:val="9"/>
          </w:tcPr>
          <w:p>
            <w:pPr>
              <w:jc w:val="center"/>
              <w:ind w:left="855"/>
              <w:spacing w:after="0" w:line="148" w:lineRule="exact"/>
              <w:rPr>
                <w:sz w:val="20"/>
                <w:szCs w:val="20"/>
                <w:color w:val="auto"/>
              </w:rPr>
            </w:pPr>
            <w:r>
              <w:rPr>
                <w:rFonts w:ascii="Times New Roman" w:cs="Times New Roman" w:eastAsia="Times New Roman" w:hAnsi="Times New Roman"/>
                <w:sz w:val="13"/>
                <w:szCs w:val="13"/>
                <w:color w:val="auto"/>
                <w:w w:val="99"/>
              </w:rPr>
              <w:t>For the Years Ended November 29, 2025, November 30, 2024 and November 25, 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560" w:type="dxa"/>
            <w:vAlign w:val="bottom"/>
            <w:gridSpan w:val="5"/>
          </w:tcPr>
          <w:p>
            <w:pPr>
              <w:jc w:val="center"/>
              <w:ind w:right="215"/>
              <w:spacing w:after="0"/>
              <w:rPr>
                <w:sz w:val="20"/>
                <w:szCs w:val="20"/>
                <w:color w:val="auto"/>
              </w:rPr>
            </w:pPr>
            <w:r>
              <w:rPr>
                <w:rFonts w:ascii="Times New Roman" w:cs="Times New Roman" w:eastAsia="Times New Roman" w:hAnsi="Times New Roman"/>
                <w:sz w:val="13"/>
                <w:szCs w:val="13"/>
                <w:i w:val="1"/>
                <w:iCs w:val="1"/>
                <w:color w:val="auto"/>
                <w:w w:val="98"/>
              </w:rPr>
              <w:t>(amounts in thousands)</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auto"/>
                <w:w w:val="97"/>
              </w:rPr>
              <w:t>Additions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auto"/>
                <w:w w:val="95"/>
              </w:rPr>
              <w:t>Balance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Charged to</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rPr>
              <w:t>Balance</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color w:val="auto"/>
                <w:w w:val="99"/>
              </w:rPr>
              <w:t>Beginning</w:t>
            </w:r>
          </w:p>
        </w:tc>
        <w:tc>
          <w:tcPr>
            <w:tcW w:w="140" w:type="dxa"/>
            <w:vAlign w:val="bottom"/>
          </w:tcPr>
          <w:p>
            <w:pPr>
              <w:spacing w:after="0"/>
              <w:rPr>
                <w:sz w:val="12"/>
                <w:szCs w:val="12"/>
                <w:color w:val="auto"/>
              </w:rPr>
            </w:pPr>
          </w:p>
        </w:tc>
        <w:tc>
          <w:tcPr>
            <w:tcW w:w="6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3"/>
                <w:szCs w:val="13"/>
                <w:color w:val="auto"/>
              </w:rPr>
              <w:t>Cost and</w:t>
            </w:r>
          </w:p>
        </w:tc>
        <w:tc>
          <w:tcPr>
            <w:tcW w:w="780" w:type="dxa"/>
            <w:vAlign w:val="bottom"/>
            <w:gridSpan w:val="2"/>
          </w:tcPr>
          <w:p>
            <w:pPr>
              <w:jc w:val="right"/>
              <w:ind w:right="55"/>
              <w:spacing w:after="0" w:line="149" w:lineRule="exact"/>
              <w:rPr>
                <w:sz w:val="20"/>
                <w:szCs w:val="20"/>
                <w:color w:val="auto"/>
              </w:rPr>
            </w:pPr>
            <w:r>
              <w:rPr>
                <w:rFonts w:ascii="Times New Roman" w:cs="Times New Roman" w:eastAsia="Times New Roman" w:hAnsi="Times New Roman"/>
                <w:sz w:val="13"/>
                <w:szCs w:val="13"/>
                <w:color w:val="auto"/>
              </w:rPr>
              <w:t>Deductions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3"/>
                <w:szCs w:val="13"/>
                <w:color w:val="auto"/>
              </w:rPr>
              <w:t>End</w:t>
            </w:r>
          </w:p>
        </w:tc>
        <w:tc>
          <w:tcPr>
            <w:tcW w:w="0" w:type="dxa"/>
            <w:vAlign w:val="bottom"/>
          </w:tcPr>
          <w:p>
            <w:pPr>
              <w:spacing w:after="0"/>
              <w:rPr>
                <w:sz w:val="1"/>
                <w:szCs w:val="1"/>
                <w:color w:val="auto"/>
              </w:rPr>
            </w:pPr>
          </w:p>
        </w:tc>
      </w:tr>
      <w:tr>
        <w:trPr>
          <w:trHeight w:val="174"/>
        </w:trPr>
        <w:tc>
          <w:tcPr>
            <w:tcW w:w="2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Year Ended November 25, 2023:</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color w:val="auto"/>
                <w:w w:val="99"/>
              </w:rPr>
              <w:t>of Period</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3"/>
                <w:szCs w:val="13"/>
                <w:color w:val="auto"/>
              </w:rPr>
              <w:t>Expenses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color w:val="auto"/>
                <w:w w:val="99"/>
              </w:rPr>
              <w:t>of Period</w:t>
            </w:r>
          </w:p>
        </w:tc>
        <w:tc>
          <w:tcPr>
            <w:tcW w:w="0" w:type="dxa"/>
            <w:vAlign w:val="bottom"/>
          </w:tcPr>
          <w:p>
            <w:pPr>
              <w:spacing w:after="0"/>
              <w:rPr>
                <w:sz w:val="1"/>
                <w:szCs w:val="1"/>
                <w:color w:val="auto"/>
              </w:rPr>
            </w:pPr>
          </w:p>
        </w:tc>
      </w:tr>
      <w:tr>
        <w:trPr>
          <w:trHeight w:val="113"/>
        </w:trPr>
        <w:tc>
          <w:tcPr>
            <w:tcW w:w="2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Reserve deducted from assets to which it applies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219</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(945)</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Income tax valuation allowance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452</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0" w:type="dxa"/>
            <w:vAlign w:val="bottom"/>
          </w:tcPr>
          <w:p>
            <w:pPr>
              <w:spacing w:after="0"/>
              <w:rPr>
                <w:sz w:val="1"/>
                <w:szCs w:val="1"/>
                <w:color w:val="auto"/>
              </w:rPr>
            </w:pPr>
          </w:p>
        </w:tc>
      </w:tr>
      <w:tr>
        <w:trPr>
          <w:trHeight w:val="419"/>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Year Ended November 30, 2024:</w:t>
            </w: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Reserve deducted from assets to which it applies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624</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Income tax valuation allowance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473</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Year Ended November 29, 2025:</w:t>
            </w: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Reserve deducted from assets to which it applies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(606)</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Income tax valuation allowance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Deductions are for the purpose for which the reserve was created.</w:t>
      </w:r>
    </w:p>
    <w:p>
      <w:pPr>
        <w:spacing w:after="0" w:line="2615" w:lineRule="exact"/>
        <w:rPr>
          <w:sz w:val="20"/>
          <w:szCs w:val="20"/>
          <w:color w:val="auto"/>
        </w:rPr>
      </w:pPr>
    </w:p>
    <w:p>
      <w:pPr>
        <w:sectPr>
          <w:pgSz w:w="15840" w:h="12240" w:orient="landscape"/>
          <w:cols w:equalWidth="0" w:num="2">
            <w:col w:w="7200" w:space="720"/>
            <w:col w:w="6380"/>
          </w:cols>
          <w:pgMar w:left="740" w:top="1424" w:right="800" w:bottom="9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45</w:t>
      </w:r>
      <w:r>
        <w:rPr>
          <w:sz w:val="20"/>
          <w:szCs w:val="20"/>
          <w:color w:val="auto"/>
        </w:rPr>
        <w:tab/>
      </w:r>
      <w:r>
        <w:rPr>
          <w:rFonts w:ascii="Times New Roman" w:cs="Times New Roman" w:eastAsia="Times New Roman" w:hAnsi="Times New Roman"/>
          <w:sz w:val="12"/>
          <w:szCs w:val="12"/>
          <w:color w:val="auto"/>
        </w:rPr>
        <w:t>46</w:t>
      </w:r>
    </w:p>
    <w:p>
      <w:pPr>
        <w:sectPr>
          <w:pgSz w:w="15840" w:h="12240" w:orient="landscape"/>
          <w:cols w:equalWidth="0" w:num="1">
            <w:col w:w="14300"/>
          </w:cols>
          <w:pgMar w:left="740" w:top="1424" w:right="800" w:bottom="940" w:gutter="0" w:footer="0" w:header="0"/>
          <w:type w:val="continuous"/>
        </w:sectPr>
      </w:pPr>
    </w:p>
    <w:bookmarkStart w:id="27" w:name="page28"/>
    <w:bookmarkEnd w:id="27"/>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Management’s Report of Internal Control over Financial Reporting</w:t>
      </w:r>
    </w:p>
    <w:p>
      <w:pPr>
        <w:spacing w:after="0" w:line="152" w:lineRule="exact"/>
        <w:rPr>
          <w:sz w:val="20"/>
          <w:szCs w:val="20"/>
          <w:color w:val="auto"/>
        </w:rPr>
      </w:pPr>
    </w:p>
    <w:p>
      <w:pPr>
        <w:jc w:val="both"/>
        <w:ind w:right="760"/>
        <w:spacing w:after="0" w:line="241" w:lineRule="auto"/>
        <w:rPr>
          <w:sz w:val="20"/>
          <w:szCs w:val="20"/>
          <w:color w:val="auto"/>
        </w:rPr>
      </w:pPr>
      <w:r>
        <w:rPr>
          <w:rFonts w:ascii="Times New Roman" w:cs="Times New Roman" w:eastAsia="Times New Roman" w:hAnsi="Times New Roman"/>
          <w:sz w:val="13"/>
          <w:szCs w:val="13"/>
          <w:color w:val="auto"/>
        </w:rPr>
        <w:t>As of the end of the period covered by this Annual Report on Form 10-K, our principal executive officer and principal financial officer have evaluated the effectiveness of our “disclosure controls and procedures” (“Disclosure Controls”). Disclosure Controls, as defined in Rule 13a-15(e) of the Securities Exchange Act of 1934, as amended (the “Exchange Act”), are procedures that are designed to provide reasonable assurance that information required to be disclosed in our reports filed under the Exchange Act, such as this Annual Report, is recorded, processed, summarized and reported within the time periods specified in the Securities and Exchange Commission’s rules and forms. Disclosure Controls are also designed with the objective of ensuring that such information is accumulated and communicated to our management, including the CEO and CFO, as appropriate to allow timely decisions regarding required disclosure. Our management, including the CEO and CFO, does not expect that our Disclosure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28" w:lineRule="exact"/>
        <w:rPr>
          <w:sz w:val="20"/>
          <w:szCs w:val="20"/>
          <w:color w:val="auto"/>
        </w:rPr>
      </w:pPr>
    </w:p>
    <w:p>
      <w:pPr>
        <w:jc w:val="both"/>
        <w:ind w:right="760"/>
        <w:spacing w:after="0" w:line="273" w:lineRule="auto"/>
        <w:rPr>
          <w:sz w:val="20"/>
          <w:szCs w:val="20"/>
          <w:color w:val="auto"/>
        </w:rPr>
      </w:pPr>
      <w:r>
        <w:rPr>
          <w:rFonts w:ascii="Times New Roman" w:cs="Times New Roman" w:eastAsia="Times New Roman" w:hAnsi="Times New Roman"/>
          <w:sz w:val="13"/>
          <w:szCs w:val="13"/>
          <w:color w:val="auto"/>
        </w:rPr>
        <w:t>Based upon their controls evaluation, our CEO and CFO have concluded that our Disclosure Controls are effective at a reasonable assurance level.</w:t>
      </w:r>
    </w:p>
    <w:p>
      <w:pPr>
        <w:spacing w:after="0" w:line="107" w:lineRule="exact"/>
        <w:rPr>
          <w:sz w:val="20"/>
          <w:szCs w:val="20"/>
          <w:color w:val="auto"/>
        </w:rPr>
      </w:pPr>
    </w:p>
    <w:p>
      <w:pPr>
        <w:jc w:val="both"/>
        <w:ind w:right="760"/>
        <w:spacing w:after="0" w:line="243" w:lineRule="auto"/>
        <w:rPr>
          <w:sz w:val="20"/>
          <w:szCs w:val="20"/>
          <w:color w:val="auto"/>
        </w:rPr>
      </w:pPr>
      <w:r>
        <w:rPr>
          <w:rFonts w:ascii="Times New Roman" w:cs="Times New Roman" w:eastAsia="Times New Roman" w:hAnsi="Times New Roman"/>
          <w:sz w:val="13"/>
          <w:szCs w:val="13"/>
          <w:color w:val="auto"/>
        </w:rPr>
        <w:t xml:space="preserve">We are responsible for establishing and maintaining adequate internal control over financial reporting in accordance with Exchange Act Rule 13a-15. With the participation of our CEO and CFO, our management conducted an evaluation of the effectiveness of our internal control over financial reporting as of November 29, 2025 based on the criteria established in </w:t>
      </w:r>
      <w:r>
        <w:rPr>
          <w:rFonts w:ascii="Times New Roman" w:cs="Times New Roman" w:eastAsia="Times New Roman" w:hAnsi="Times New Roman"/>
          <w:sz w:val="13"/>
          <w:szCs w:val="13"/>
          <w:i w:val="1"/>
          <w:iCs w:val="1"/>
          <w:color w:val="auto"/>
        </w:rPr>
        <w:t xml:space="preserve">Internal Control - Integrated Framework </w:t>
      </w:r>
      <w:r>
        <w:rPr>
          <w:rFonts w:ascii="Times New Roman" w:cs="Times New Roman" w:eastAsia="Times New Roman" w:hAnsi="Times New Roman"/>
          <w:sz w:val="13"/>
          <w:szCs w:val="13"/>
          <w:color w:val="auto"/>
        </w:rPr>
        <w:t>issued by the Committee of Sponsoring Organizations of the Treadway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Commission. Based on this evaluation, management concluded that our internal control over financial reporting was effective as of November 29, 2025, based on those criteria.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126" w:lineRule="exact"/>
        <w:rPr>
          <w:sz w:val="20"/>
          <w:szCs w:val="20"/>
          <w:color w:val="auto"/>
        </w:rPr>
      </w:pPr>
    </w:p>
    <w:p>
      <w:pPr>
        <w:jc w:val="both"/>
        <w:ind w:right="760"/>
        <w:spacing w:after="0" w:line="274" w:lineRule="auto"/>
        <w:rPr>
          <w:sz w:val="20"/>
          <w:szCs w:val="20"/>
          <w:color w:val="auto"/>
        </w:rPr>
      </w:pPr>
      <w:r>
        <w:rPr>
          <w:rFonts w:ascii="Times New Roman" w:cs="Times New Roman" w:eastAsia="Times New Roman" w:hAnsi="Times New Roman"/>
          <w:sz w:val="13"/>
          <w:szCs w:val="13"/>
          <w:color w:val="auto"/>
        </w:rPr>
        <w:t>Grant Thornton LLP, the Company’s independent registered public accounting firm, has issued an attestation report on the effectiveness of the Company’s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Changes in internal control over financial reporting.</w:t>
      </w:r>
    </w:p>
    <w:p>
      <w:pPr>
        <w:spacing w:after="0" w:line="152" w:lineRule="exact"/>
        <w:rPr>
          <w:sz w:val="20"/>
          <w:szCs w:val="20"/>
          <w:color w:val="auto"/>
        </w:rPr>
      </w:pPr>
    </w:p>
    <w:p>
      <w:pPr>
        <w:jc w:val="both"/>
        <w:ind w:right="760"/>
        <w:spacing w:after="0" w:line="274" w:lineRule="auto"/>
        <w:rPr>
          <w:sz w:val="20"/>
          <w:szCs w:val="20"/>
          <w:color w:val="auto"/>
        </w:rPr>
      </w:pPr>
      <w:r>
        <w:rPr>
          <w:rFonts w:ascii="Times New Roman" w:cs="Times New Roman" w:eastAsia="Times New Roman" w:hAnsi="Times New Roman"/>
          <w:sz w:val="13"/>
          <w:szCs w:val="13"/>
          <w:color w:val="auto"/>
        </w:rPr>
        <w:t>There have been no changes in our internal controls over financial reporting during our fourth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Bassett Furniture Industries, Incorporated and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Internal Control over Financial Reporting</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We have audited the internal control over financial reporting of Bassett Furniture Industries, Incorporated (a Virginia corporation) and subsidiaries (the “Company”) as of November 29,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November 29, 2025, based on criteria established in the 2013 Internal Control—Integrated Framework issued by COSO.</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also have audited, in accordance with the standards of the Public Company Accounting Oversight Board (United States) (“PCAOB”), the consolidated financial statements of the Company as of and for the year ended November 29, 2025, and our report dated February 5, 2026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1520190" cy="267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extLst>
                        <a:ext uri="{28A0092B-C50C-407E-A947-70E740481C1C}"/>
                      </a:extLst>
                    </a:blip>
                    <a:srcRect/>
                    <a:stretch>
                      <a:fillRect/>
                    </a:stretch>
                  </pic:blipFill>
                  <pic:spPr bwMode="auto">
                    <a:xfrm>
                      <a:off x="0" y="0"/>
                      <a:ext cx="152019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Charlotte,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5, 2026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48</w:t>
      </w:r>
    </w:p>
    <w:p>
      <w:pPr>
        <w:sectPr>
          <w:pgSz w:w="15840" w:h="12240" w:orient="landscape"/>
          <w:cols w:equalWidth="0" w:num="2">
            <w:col w:w="7200" w:space="720"/>
            <w:col w:w="6440"/>
          </w:cols>
          <w:pgMar w:left="740" w:top="1440" w:right="740" w:bottom="929" w:gutter="0" w:footer="0" w:header="0"/>
        </w:sectPr>
      </w:pPr>
    </w:p>
    <w:bookmarkStart w:id="28" w:name="page29"/>
    <w:bookmarkEnd w:id="28"/>
    <w:p>
      <w:pPr>
        <w:spacing w:after="0" w:line="17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Bassett Furniture Industries, Incorporated and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52"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 of Bassett Furniture Industries, Incorporated (a Virginia corporation) and subsidiaries (the “Company”) as of November 29, 2025, the related consolidated statement of operations, comprehensive income (loss), cash flows, and stockholders’ equity for the year ended November 29,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November 29, 2025, and the results of its operations and its cash flows for the year ended November 29, 2025, in conformity with accounting principles generally accepted in the United States of America.</w:t>
      </w:r>
    </w:p>
    <w:p>
      <w:pPr>
        <w:spacing w:after="0" w:line="127"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We also have audited, in accordance with the standards of the Public Company Accounting Oversight Board (United States) (“PCAOB”), the Company’s internal control over financial reporting as of November 29, 2025, based on criteria established in the 2013 Internal Control—Integrated Framework issued by the Committee of Sponsoring Organizations of the Treadway Commission (“COSO”), and our report dated February 5, 2026 expressed an unqualified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52" w:lineRule="exact"/>
        <w:rPr>
          <w:sz w:val="20"/>
          <w:szCs w:val="20"/>
          <w:color w:val="auto"/>
        </w:rPr>
      </w:pPr>
    </w:p>
    <w:p>
      <w:pPr>
        <w:jc w:val="both"/>
        <w:ind w:right="760"/>
        <w:spacing w:after="0" w:line="278"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Matters</w:t>
      </w:r>
    </w:p>
    <w:p>
      <w:pPr>
        <w:spacing w:after="0" w:line="153"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3"/>
          <w:szCs w:val="13"/>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1520190" cy="267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extLst>
                    </a:blip>
                    <a:srcRect/>
                    <a:stretch>
                      <a:fillRect/>
                    </a:stretch>
                  </pic:blipFill>
                  <pic:spPr bwMode="auto">
                    <a:xfrm>
                      <a:off x="0" y="0"/>
                      <a:ext cx="152019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Charlotte, North Carolina</w:t>
      </w:r>
    </w:p>
    <w:p>
      <w:pPr>
        <w:spacing w:after="0"/>
        <w:rPr>
          <w:sz w:val="20"/>
          <w:szCs w:val="20"/>
          <w:color w:val="auto"/>
        </w:rPr>
      </w:pPr>
      <w:r>
        <w:rPr>
          <w:rFonts w:ascii="Times New Roman" w:cs="Times New Roman" w:eastAsia="Times New Roman" w:hAnsi="Times New Roman"/>
          <w:sz w:val="13"/>
          <w:szCs w:val="13"/>
          <w:color w:val="auto"/>
        </w:rPr>
        <w:t>February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 Bassett Furniture Industries, Incorporated and Subsidiaries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 of Bassett Furniture Industries, Incorporated and subsidiaries (the Company) as of November 30, 2024, the related consolidated statements of operations, comprehensive income (loss), stockholders' equity and cash flows for each of the two years in the period ended November 30,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30, 2024, and the results of its operations and its cash flows for each of the two years in the period ended November 30, 2024, in conformity with U.S. generally accepted accounting principles.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1422400" cy="259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a:extLst>
                        <a:ext uri="{28A0092B-C50C-407E-A947-70E740481C1C}"/>
                      </a:extLst>
                    </a:blip>
                    <a:srcRect/>
                    <a:stretch>
                      <a:fillRect/>
                    </a:stretch>
                  </pic:blipFill>
                  <pic:spPr bwMode="auto">
                    <a:xfrm>
                      <a:off x="0" y="0"/>
                      <a:ext cx="1422400" cy="25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served as the Company’s auditor from 2002 to 2024.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Richmond, Virginia</w:t>
      </w:r>
    </w:p>
    <w:p>
      <w:pPr>
        <w:spacing w:after="0"/>
        <w:rPr>
          <w:sz w:val="20"/>
          <w:szCs w:val="20"/>
          <w:color w:val="auto"/>
        </w:rPr>
      </w:pPr>
      <w:r>
        <w:rPr>
          <w:rFonts w:ascii="Times New Roman" w:cs="Times New Roman" w:eastAsia="Times New Roman" w:hAnsi="Times New Roman"/>
          <w:sz w:val="13"/>
          <w:szCs w:val="13"/>
          <w:color w:val="auto"/>
        </w:rPr>
        <w:t>February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50</w:t>
      </w:r>
    </w:p>
    <w:p>
      <w:pPr>
        <w:sectPr>
          <w:pgSz w:w="15840" w:h="12240" w:orient="landscape"/>
          <w:cols w:equalWidth="0" w:num="2">
            <w:col w:w="7200" w:space="720"/>
            <w:col w:w="6440"/>
          </w:cols>
          <w:pgMar w:left="740" w:top="1440" w:right="740" w:bottom="929" w:gutter="0" w:footer="0" w:header="0"/>
        </w:sectPr>
      </w:pPr>
    </w:p>
    <w:bookmarkStart w:id="29" w:name="page30"/>
    <w:bookmarkEnd w:id="29"/>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INVESTOR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Internet Site</w:t>
      </w:r>
    </w:p>
    <w:p>
      <w:pPr>
        <w:spacing w:after="0" w:line="60" w:lineRule="exact"/>
        <w:rPr>
          <w:sz w:val="20"/>
          <w:szCs w:val="20"/>
          <w:color w:val="auto"/>
        </w:rPr>
      </w:pPr>
    </w:p>
    <w:p>
      <w:pPr>
        <w:ind w:right="20"/>
        <w:spacing w:after="0" w:line="398" w:lineRule="auto"/>
        <w:rPr>
          <w:sz w:val="20"/>
          <w:szCs w:val="20"/>
          <w:color w:val="auto"/>
        </w:rPr>
      </w:pPr>
      <w:r>
        <w:rPr>
          <w:rFonts w:ascii="Arial" w:cs="Arial" w:eastAsia="Arial" w:hAnsi="Arial"/>
          <w:sz w:val="9"/>
          <w:szCs w:val="9"/>
          <w:color w:val="auto"/>
        </w:rPr>
        <w:t>Our site on the Internet has been updated recently and is filled with information about Bassett Furniture, including this annual report, detailed financial information and updates, information about our home furnishings products, and a dealer locator of Bassett stores and other stores that feature Bassett products. Visit us at bassettfurniture.com.</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Forward Looking Statements</w:t>
      </w:r>
    </w:p>
    <w:p>
      <w:pPr>
        <w:spacing w:after="0" w:line="60" w:lineRule="exact"/>
        <w:rPr>
          <w:sz w:val="20"/>
          <w:szCs w:val="20"/>
          <w:color w:val="auto"/>
        </w:rPr>
      </w:pPr>
    </w:p>
    <w:p>
      <w:pPr>
        <w:spacing w:after="0" w:line="392" w:lineRule="auto"/>
        <w:rPr>
          <w:sz w:val="20"/>
          <w:szCs w:val="20"/>
          <w:color w:val="auto"/>
        </w:rPr>
      </w:pPr>
      <w:r>
        <w:rPr>
          <w:rFonts w:ascii="Arial" w:cs="Arial" w:eastAsia="Arial" w:hAnsi="Arial"/>
          <w:sz w:val="9"/>
          <w:szCs w:val="9"/>
          <w:color w:val="auto"/>
        </w:rPr>
        <w:t>This Annual Report contains forward-looking statements as defined in the Private Securities Litigation and Reform Act of 1995 and within the meaning of Sections 27A of the Securities Exchange Act of 1933, as amended, and Section 21E of the Securities Exchange Act of 1934, as amended. When used in this Annual Report the words “hope,” “believe,” “expect,” “plan” or “planned,” “intend,” “anticipate,” “potential” and similar expressions are intended to identify forward-looking statements. Readers are cautioned against placing undue reliance on these statements. Such statements, including but not limited to those regarding increases in sales, improving gross margins, growth in earnings per share, and the operating performance of licensed Bassett stores are based upon management’s beliefs, as well as assumptions made by and information currently available to management, and involve various risks and uncertainties, certain of which are beyond the Company’s control. The Company’s actual results could differ materially from those expressed in any forward-looking statement made by or on behalf of the Company.</w:t>
      </w:r>
    </w:p>
    <w:p>
      <w:pPr>
        <w:spacing w:after="0" w:line="155" w:lineRule="exact"/>
        <w:rPr>
          <w:sz w:val="20"/>
          <w:szCs w:val="20"/>
          <w:color w:val="auto"/>
        </w:rPr>
      </w:pPr>
    </w:p>
    <w:p>
      <w:pPr>
        <w:ind w:right="180"/>
        <w:spacing w:after="0" w:line="398" w:lineRule="auto"/>
        <w:rPr>
          <w:sz w:val="20"/>
          <w:szCs w:val="20"/>
          <w:color w:val="auto"/>
        </w:rPr>
      </w:pPr>
      <w:r>
        <w:rPr>
          <w:rFonts w:ascii="Arial" w:cs="Arial" w:eastAsia="Arial" w:hAnsi="Arial"/>
          <w:sz w:val="9"/>
          <w:szCs w:val="9"/>
          <w:color w:val="auto"/>
        </w:rPr>
        <w:t>If the Company does not attain its goals, its business and results of operations might be adversely affected. For a discussion of factors that may impair the Company’s ability to achieve its goals, please see the cautionary statements in the Management’s Discussion and Analysis section of this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Corporate Information and Investor Inquiries</w:t>
      </w:r>
    </w:p>
    <w:p>
      <w:pPr>
        <w:spacing w:after="0" w:line="60" w:lineRule="exact"/>
        <w:rPr>
          <w:sz w:val="20"/>
          <w:szCs w:val="20"/>
          <w:color w:val="auto"/>
        </w:rPr>
      </w:pPr>
    </w:p>
    <w:p>
      <w:pPr>
        <w:spacing w:after="0"/>
        <w:rPr>
          <w:sz w:val="20"/>
          <w:szCs w:val="20"/>
          <w:color w:val="auto"/>
        </w:rPr>
      </w:pPr>
      <w:r>
        <w:rPr>
          <w:rFonts w:ascii="Arial" w:cs="Arial" w:eastAsia="Arial" w:hAnsi="Arial"/>
          <w:sz w:val="9"/>
          <w:szCs w:val="9"/>
          <w:color w:val="auto"/>
        </w:rPr>
        <w:t>Our annual report and proxy statement together</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contain much of the information presented in the</w:t>
      </w:r>
    </w:p>
    <w:p>
      <w:pPr>
        <w:spacing w:after="0" w:line="65" w:lineRule="exact"/>
        <w:rPr>
          <w:sz w:val="20"/>
          <w:szCs w:val="20"/>
          <w:color w:val="auto"/>
        </w:rPr>
      </w:pPr>
    </w:p>
    <w:p>
      <w:pPr>
        <w:ind w:right="1440"/>
        <w:spacing w:after="0" w:line="401" w:lineRule="auto"/>
        <w:rPr>
          <w:sz w:val="20"/>
          <w:szCs w:val="20"/>
          <w:color w:val="auto"/>
        </w:rPr>
      </w:pPr>
      <w:r>
        <w:rPr>
          <w:rFonts w:ascii="Arial" w:cs="Arial" w:eastAsia="Arial" w:hAnsi="Arial"/>
          <w:sz w:val="9"/>
          <w:szCs w:val="9"/>
          <w:color w:val="auto"/>
        </w:rPr>
        <w:t>Form 10-K report filed with the Securities and Exchange Commission. Individuals who wish to receive the Form 10-K or other corporate literature should visit our website at bassettfurniture.com or contact Investor Relations, at 276.629.6000.</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color w:val="auto"/>
        </w:rPr>
        <w:t>Transfer Agent - Stockholder Inquiries</w:t>
      </w:r>
    </w:p>
    <w:p>
      <w:pPr>
        <w:spacing w:after="0" w:line="60" w:lineRule="exact"/>
        <w:rPr>
          <w:sz w:val="20"/>
          <w:szCs w:val="20"/>
          <w:color w:val="auto"/>
        </w:rPr>
      </w:pPr>
    </w:p>
    <w:p>
      <w:pPr>
        <w:spacing w:after="0"/>
        <w:rPr>
          <w:sz w:val="20"/>
          <w:szCs w:val="20"/>
          <w:color w:val="auto"/>
        </w:rPr>
      </w:pPr>
      <w:r>
        <w:rPr>
          <w:rFonts w:ascii="Arial" w:cs="Arial" w:eastAsia="Arial" w:hAnsi="Arial"/>
          <w:sz w:val="9"/>
          <w:szCs w:val="9"/>
          <w:color w:val="auto"/>
        </w:rPr>
        <w:t>Stockholders with inquiries relating to stockholder</w:t>
      </w:r>
    </w:p>
    <w:p>
      <w:pPr>
        <w:spacing w:after="0" w:line="65" w:lineRule="exact"/>
        <w:rPr>
          <w:sz w:val="20"/>
          <w:szCs w:val="20"/>
          <w:color w:val="auto"/>
        </w:rPr>
      </w:pPr>
    </w:p>
    <w:p>
      <w:pPr>
        <w:ind w:right="1680"/>
        <w:spacing w:after="0" w:line="424" w:lineRule="auto"/>
        <w:rPr>
          <w:sz w:val="20"/>
          <w:szCs w:val="20"/>
          <w:color w:val="auto"/>
        </w:rPr>
      </w:pPr>
      <w:r>
        <w:rPr>
          <w:rFonts w:ascii="Arial" w:cs="Arial" w:eastAsia="Arial" w:hAnsi="Arial"/>
          <w:sz w:val="9"/>
          <w:szCs w:val="9"/>
          <w:color w:val="auto"/>
        </w:rPr>
        <w:t>records, stock transfers, change of ownership, change of address or dividend payments should write to:</w:t>
      </w:r>
    </w:p>
    <w:p>
      <w:pPr>
        <w:spacing w:after="0" w:line="139" w:lineRule="exact"/>
        <w:rPr>
          <w:sz w:val="20"/>
          <w:szCs w:val="20"/>
          <w:color w:val="auto"/>
        </w:rPr>
      </w:pPr>
    </w:p>
    <w:p>
      <w:pPr>
        <w:spacing w:after="0"/>
        <w:rPr>
          <w:sz w:val="20"/>
          <w:szCs w:val="20"/>
          <w:color w:val="auto"/>
        </w:rPr>
      </w:pPr>
      <w:r>
        <w:rPr>
          <w:rFonts w:ascii="Arial" w:cs="Arial" w:eastAsia="Arial" w:hAnsi="Arial"/>
          <w:sz w:val="9"/>
          <w:szCs w:val="9"/>
          <w:color w:val="auto"/>
        </w:rPr>
        <w:t>Equiniti Trust Company, LLC (“EQ”) EQ Shareholder Services Call Center</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48 Wall Street, Floor 23</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New York, NY 10005</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Toll Free: 800.937.5449</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Local &amp; International: 718-921-8124</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Hours: 8 a.m. – 8 p.m. ET Monday-Friday</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Email: helpast@equiniti.com</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Website: equiniti.com</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Annual Meeting</w:t>
      </w:r>
    </w:p>
    <w:p>
      <w:pPr>
        <w:spacing w:after="0" w:line="60" w:lineRule="exact"/>
        <w:rPr>
          <w:sz w:val="20"/>
          <w:szCs w:val="20"/>
          <w:color w:val="auto"/>
        </w:rPr>
      </w:pPr>
    </w:p>
    <w:p>
      <w:pPr>
        <w:ind w:right="1560"/>
        <w:spacing w:after="0" w:line="401" w:lineRule="auto"/>
        <w:rPr>
          <w:sz w:val="20"/>
          <w:szCs w:val="20"/>
          <w:color w:val="auto"/>
        </w:rPr>
      </w:pPr>
      <w:r>
        <w:rPr>
          <w:rFonts w:ascii="Arial" w:cs="Arial" w:eastAsia="Arial" w:hAnsi="Arial"/>
          <w:sz w:val="9"/>
          <w:szCs w:val="9"/>
          <w:color w:val="auto"/>
        </w:rPr>
        <w:t>The Bassett Annual Meeting of Shareholders will be held Wednesday, March 11, 2026 at 10 a.m. EST virtually and is available via live audio only webcast at: https://meetings.lumiconnect.com/200-283-394-171 (password: bassett2026 )</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Market and Dividend Information</w:t>
      </w:r>
    </w:p>
    <w:p>
      <w:pPr>
        <w:spacing w:after="0" w:line="60" w:lineRule="exact"/>
        <w:rPr>
          <w:sz w:val="20"/>
          <w:szCs w:val="20"/>
          <w:color w:val="auto"/>
        </w:rPr>
      </w:pPr>
    </w:p>
    <w:p>
      <w:pPr>
        <w:ind w:right="1480"/>
        <w:spacing w:after="0" w:line="398" w:lineRule="auto"/>
        <w:rPr>
          <w:sz w:val="20"/>
          <w:szCs w:val="20"/>
          <w:color w:val="auto"/>
        </w:rPr>
      </w:pPr>
      <w:r>
        <w:rPr>
          <w:rFonts w:ascii="Arial" w:cs="Arial" w:eastAsia="Arial" w:hAnsi="Arial"/>
          <w:sz w:val="9"/>
          <w:szCs w:val="9"/>
          <w:color w:val="auto"/>
        </w:rPr>
        <w:t>Bassett’s common stock trades on the NASDAQ national market system under the symbol “BSET.” We had approximately 6,500 beneficial stockholders as of January 23, 2026. The range of per share amounts for the high and low market prices and dividends declared for the last two fiscal years are listed below:</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BOARD OF DIRECTORS</w:t>
      </w:r>
    </w:p>
    <w:p>
      <w:pPr>
        <w:spacing w:after="0" w:line="181"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ROBERT H. SPILMAN JR.</w:t>
      </w:r>
      <w:r>
        <w:rPr>
          <w:sz w:val="20"/>
          <w:szCs w:val="20"/>
          <w:color w:val="auto"/>
        </w:rPr>
        <w:tab/>
      </w:r>
      <w:r>
        <w:rPr>
          <w:rFonts w:ascii="Arial" w:cs="Arial" w:eastAsia="Arial" w:hAnsi="Arial"/>
          <w:sz w:val="10"/>
          <w:szCs w:val="10"/>
          <w:b w:val="1"/>
          <w:bCs w:val="1"/>
          <w:color w:val="auto"/>
        </w:rPr>
        <w:t>VIRGINIA W. HAMLET</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Chairman of the Board and Chief Executive Officer Bassett</w:t>
      </w:r>
      <w:r>
        <w:rPr>
          <w:sz w:val="20"/>
          <w:szCs w:val="20"/>
          <w:color w:val="auto"/>
        </w:rPr>
        <w:tab/>
      </w:r>
      <w:r>
        <w:rPr>
          <w:rFonts w:ascii="Arial" w:cs="Arial" w:eastAsia="Arial" w:hAnsi="Arial"/>
          <w:sz w:val="10"/>
          <w:szCs w:val="10"/>
          <w:color w:val="auto"/>
        </w:rPr>
        <w:t>Founder and Owner</w:t>
      </w:r>
    </w:p>
    <w:p>
      <w:pPr>
        <w:spacing w:after="0" w:line="40"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Furniture Industries, Inc.</w:t>
      </w:r>
      <w:r>
        <w:rPr>
          <w:sz w:val="20"/>
          <w:szCs w:val="20"/>
          <w:color w:val="auto"/>
        </w:rPr>
        <w:tab/>
      </w:r>
      <w:r>
        <w:rPr>
          <w:rFonts w:ascii="Arial" w:cs="Arial" w:eastAsia="Arial" w:hAnsi="Arial"/>
          <w:sz w:val="10"/>
          <w:szCs w:val="10"/>
          <w:color w:val="auto"/>
        </w:rPr>
        <w:t>Hamlet Vineyards, LLC</w:t>
      </w:r>
    </w:p>
    <w:p>
      <w:pPr>
        <w:spacing w:after="0" w:line="186"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EMMA S. BATTLE</w:t>
      </w:r>
      <w:r>
        <w:rPr>
          <w:sz w:val="20"/>
          <w:szCs w:val="20"/>
          <w:color w:val="auto"/>
        </w:rPr>
        <w:tab/>
      </w:r>
      <w:r>
        <w:rPr>
          <w:rFonts w:ascii="Arial" w:cs="Arial" w:eastAsia="Arial" w:hAnsi="Arial"/>
          <w:sz w:val="10"/>
          <w:szCs w:val="10"/>
          <w:b w:val="1"/>
          <w:bCs w:val="1"/>
          <w:color w:val="auto"/>
        </w:rPr>
        <w:t>J. WALTER MCDOWELL</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Chief Executive Officer</w:t>
      </w:r>
      <w:r>
        <w:rPr>
          <w:sz w:val="20"/>
          <w:szCs w:val="20"/>
          <w:color w:val="auto"/>
        </w:rPr>
        <w:tab/>
      </w:r>
      <w:r>
        <w:rPr>
          <w:rFonts w:ascii="Arial" w:cs="Arial" w:eastAsia="Arial" w:hAnsi="Arial"/>
          <w:sz w:val="10"/>
          <w:szCs w:val="10"/>
          <w:color w:val="auto"/>
        </w:rPr>
        <w:t>Former Chief Executive Officer</w:t>
      </w:r>
    </w:p>
    <w:p>
      <w:pPr>
        <w:spacing w:after="0" w:line="40"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Market Vigor, LLC</w:t>
      </w:r>
      <w:r>
        <w:rPr>
          <w:sz w:val="20"/>
          <w:szCs w:val="20"/>
          <w:color w:val="auto"/>
        </w:rPr>
        <w:tab/>
      </w:r>
      <w:r>
        <w:rPr>
          <w:rFonts w:ascii="Arial" w:cs="Arial" w:eastAsia="Arial" w:hAnsi="Arial"/>
          <w:sz w:val="10"/>
          <w:szCs w:val="10"/>
          <w:color w:val="auto"/>
        </w:rPr>
        <w:t>Carolinas/Virginia Banking</w:t>
      </w:r>
    </w:p>
    <w:p>
      <w:pPr>
        <w:spacing w:after="0" w:line="41" w:lineRule="exact"/>
        <w:rPr>
          <w:sz w:val="20"/>
          <w:szCs w:val="20"/>
          <w:color w:val="auto"/>
        </w:rPr>
      </w:pPr>
    </w:p>
    <w:p>
      <w:pPr>
        <w:ind w:left="3260"/>
        <w:spacing w:after="0"/>
        <w:rPr>
          <w:sz w:val="20"/>
          <w:szCs w:val="20"/>
          <w:color w:val="auto"/>
        </w:rPr>
      </w:pPr>
      <w:r>
        <w:rPr>
          <w:rFonts w:ascii="Arial" w:cs="Arial" w:eastAsia="Arial" w:hAnsi="Arial"/>
          <w:sz w:val="10"/>
          <w:szCs w:val="10"/>
          <w:color w:val="auto"/>
        </w:rPr>
        <w:t>Wachovia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JOHN R. BELK</w:t>
      </w:r>
    </w:p>
    <w:p>
      <w:pPr>
        <w:spacing w:after="0" w:line="41"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Former President and Chief Operating Officer</w:t>
      </w:r>
      <w:r>
        <w:rPr>
          <w:sz w:val="20"/>
          <w:szCs w:val="20"/>
          <w:color w:val="auto"/>
        </w:rPr>
        <w:tab/>
      </w:r>
      <w:r>
        <w:rPr>
          <w:rFonts w:ascii="Arial" w:cs="Arial" w:eastAsia="Arial" w:hAnsi="Arial"/>
          <w:sz w:val="10"/>
          <w:szCs w:val="10"/>
          <w:b w:val="1"/>
          <w:bCs w:val="1"/>
          <w:color w:val="auto"/>
        </w:rPr>
        <w:t>WILLIAM C. WAMPLER JR.</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Belk, Inc.</w:t>
      </w:r>
      <w:r>
        <w:rPr>
          <w:sz w:val="20"/>
          <w:szCs w:val="20"/>
          <w:color w:val="auto"/>
        </w:rPr>
        <w:tab/>
      </w:r>
      <w:r>
        <w:rPr>
          <w:rFonts w:ascii="Arial" w:cs="Arial" w:eastAsia="Arial" w:hAnsi="Arial"/>
          <w:sz w:val="10"/>
          <w:szCs w:val="10"/>
          <w:color w:val="auto"/>
        </w:rPr>
        <w:t>Managing Member</w:t>
      </w:r>
    </w:p>
    <w:p>
      <w:pPr>
        <w:spacing w:after="0" w:line="40"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Private Investor</w:t>
      </w:r>
      <w:r>
        <w:rPr>
          <w:sz w:val="20"/>
          <w:szCs w:val="20"/>
          <w:color w:val="auto"/>
        </w:rPr>
        <w:tab/>
      </w:r>
      <w:r>
        <w:rPr>
          <w:rFonts w:ascii="Arial" w:cs="Arial" w:eastAsia="Arial" w:hAnsi="Arial"/>
          <w:sz w:val="10"/>
          <w:szCs w:val="10"/>
          <w:color w:val="auto"/>
        </w:rPr>
        <w:t>Wampler Consulting Group, LLC</w:t>
      </w:r>
    </w:p>
    <w:p>
      <w:pPr>
        <w:spacing w:after="0" w:line="41" w:lineRule="exact"/>
        <w:rPr>
          <w:sz w:val="20"/>
          <w:szCs w:val="20"/>
          <w:color w:val="auto"/>
        </w:rPr>
      </w:pPr>
    </w:p>
    <w:p>
      <w:pPr>
        <w:ind w:left="3260"/>
        <w:spacing w:after="0"/>
        <w:rPr>
          <w:sz w:val="20"/>
          <w:szCs w:val="20"/>
          <w:color w:val="auto"/>
        </w:rPr>
      </w:pPr>
      <w:r>
        <w:rPr>
          <w:rFonts w:ascii="Arial" w:cs="Arial" w:eastAsia="Arial" w:hAnsi="Arial"/>
          <w:sz w:val="10"/>
          <w:szCs w:val="10"/>
          <w:color w:val="auto"/>
        </w:rPr>
        <w:t>Former Member, Senate of Virginia</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KRISTINA CASHMAN GODINA</w:t>
      </w:r>
    </w:p>
    <w:p>
      <w:pPr>
        <w:spacing w:after="0" w:line="41"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Chief Executive Officer</w:t>
      </w:r>
      <w:r>
        <w:rPr>
          <w:sz w:val="20"/>
          <w:szCs w:val="20"/>
          <w:color w:val="auto"/>
        </w:rPr>
        <w:tab/>
      </w:r>
      <w:r>
        <w:rPr>
          <w:rFonts w:ascii="Arial" w:cs="Arial" w:eastAsia="Arial" w:hAnsi="Arial"/>
          <w:sz w:val="10"/>
          <w:szCs w:val="10"/>
          <w:b w:val="1"/>
          <w:bCs w:val="1"/>
          <w:color w:val="auto"/>
        </w:rPr>
        <w:t>WILLIAM C. WARDEN JR.</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Guy &amp; Larry Restaurants, LLC</w:t>
      </w:r>
      <w:r>
        <w:rPr>
          <w:sz w:val="20"/>
          <w:szCs w:val="20"/>
          <w:color w:val="auto"/>
        </w:rPr>
        <w:tab/>
      </w:r>
      <w:r>
        <w:rPr>
          <w:rFonts w:ascii="Arial" w:cs="Arial" w:eastAsia="Arial" w:hAnsi="Arial"/>
          <w:sz w:val="10"/>
          <w:szCs w:val="10"/>
          <w:color w:val="auto"/>
        </w:rPr>
        <w:t>Lead Independent Director</w:t>
      </w:r>
    </w:p>
    <w:p>
      <w:pPr>
        <w:spacing w:after="0" w:line="41" w:lineRule="exact"/>
        <w:rPr>
          <w:sz w:val="20"/>
          <w:szCs w:val="20"/>
          <w:color w:val="auto"/>
        </w:rPr>
      </w:pPr>
    </w:p>
    <w:p>
      <w:pPr>
        <w:ind w:left="3260"/>
        <w:spacing w:after="0"/>
        <w:rPr>
          <w:sz w:val="20"/>
          <w:szCs w:val="20"/>
          <w:color w:val="auto"/>
        </w:rPr>
      </w:pPr>
      <w:r>
        <w:rPr>
          <w:rFonts w:ascii="Arial" w:cs="Arial" w:eastAsia="Arial" w:hAnsi="Arial"/>
          <w:sz w:val="10"/>
          <w:szCs w:val="10"/>
          <w:color w:val="auto"/>
        </w:rPr>
        <w:t>of Bassett Furniture Industries, Inc.</w:t>
      </w:r>
    </w:p>
    <w:p>
      <w:pPr>
        <w:spacing w:after="0" w:line="31"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JAMES E. GOERGEN</w:t>
      </w:r>
      <w:r>
        <w:rPr>
          <w:sz w:val="20"/>
          <w:szCs w:val="20"/>
          <w:color w:val="auto"/>
        </w:rPr>
        <w:tab/>
      </w:r>
      <w:r>
        <w:rPr>
          <w:rFonts w:ascii="Arial" w:cs="Arial" w:eastAsia="Arial" w:hAnsi="Arial"/>
          <w:sz w:val="10"/>
          <w:szCs w:val="10"/>
          <w:color w:val="auto"/>
        </w:rPr>
        <w:t>Former Executive Vice President,</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Chief Executive Officer</w:t>
      </w:r>
      <w:r>
        <w:rPr>
          <w:sz w:val="20"/>
          <w:szCs w:val="20"/>
          <w:color w:val="auto"/>
        </w:rPr>
        <w:tab/>
      </w:r>
      <w:r>
        <w:rPr>
          <w:rFonts w:ascii="Arial" w:cs="Arial" w:eastAsia="Arial" w:hAnsi="Arial"/>
          <w:sz w:val="10"/>
          <w:szCs w:val="10"/>
          <w:color w:val="auto"/>
        </w:rPr>
        <w:t>Lowe’s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Ladco, LLC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OFFICERS</w:t>
      </w:r>
    </w:p>
    <w:p>
      <w:pPr>
        <w:spacing w:after="0" w:line="168"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ROBERT H. SPILMAN JR.</w:t>
      </w:r>
      <w:r>
        <w:rPr>
          <w:sz w:val="20"/>
          <w:szCs w:val="20"/>
          <w:color w:val="auto"/>
        </w:rPr>
        <w:tab/>
      </w:r>
      <w:r>
        <w:rPr>
          <w:rFonts w:ascii="Arial" w:cs="Arial" w:eastAsia="Arial" w:hAnsi="Arial"/>
          <w:sz w:val="10"/>
          <w:szCs w:val="10"/>
          <w:b w:val="1"/>
          <w:bCs w:val="1"/>
          <w:color w:val="auto"/>
        </w:rPr>
        <w:t>JAY R. HERVEY</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Chairman of the Board and Chief Executive Officer</w:t>
      </w:r>
      <w:r>
        <w:rPr>
          <w:sz w:val="20"/>
          <w:szCs w:val="20"/>
          <w:color w:val="auto"/>
        </w:rPr>
        <w:tab/>
      </w:r>
      <w:r>
        <w:rPr>
          <w:rFonts w:ascii="Arial" w:cs="Arial" w:eastAsia="Arial" w:hAnsi="Arial"/>
          <w:sz w:val="10"/>
          <w:szCs w:val="10"/>
          <w:color w:val="auto"/>
        </w:rPr>
        <w:t>Vice President, Secretary, General Counsel</w:t>
      </w:r>
    </w:p>
    <w:p>
      <w:pPr>
        <w:spacing w:after="0" w:line="186"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JOHN E. BASSETT III</w:t>
      </w:r>
      <w:r>
        <w:rPr>
          <w:sz w:val="20"/>
          <w:szCs w:val="20"/>
          <w:color w:val="auto"/>
        </w:rPr>
        <w:tab/>
      </w:r>
      <w:r>
        <w:rPr>
          <w:rFonts w:ascii="Arial" w:cs="Arial" w:eastAsia="Arial" w:hAnsi="Arial"/>
          <w:sz w:val="10"/>
          <w:szCs w:val="10"/>
          <w:b w:val="1"/>
          <w:bCs w:val="1"/>
          <w:color w:val="auto"/>
        </w:rPr>
        <w:t>DRURY E. INGRAM</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Senior Vice President, Chief Operations Officer</w:t>
      </w:r>
      <w:r>
        <w:rPr>
          <w:sz w:val="20"/>
          <w:szCs w:val="20"/>
          <w:color w:val="auto"/>
        </w:rPr>
        <w:tab/>
      </w:r>
      <w:r>
        <w:rPr>
          <w:rFonts w:ascii="Arial" w:cs="Arial" w:eastAsia="Arial" w:hAnsi="Arial"/>
          <w:sz w:val="10"/>
          <w:szCs w:val="10"/>
          <w:color w:val="auto"/>
        </w:rPr>
        <w:t>Vice President, Corporate Controller</w:t>
      </w:r>
    </w:p>
    <w:p>
      <w:pPr>
        <w:spacing w:after="0" w:line="186"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ANTHONY L. CHIVARI</w:t>
      </w:r>
      <w:r>
        <w:rPr>
          <w:sz w:val="20"/>
          <w:szCs w:val="20"/>
          <w:color w:val="auto"/>
        </w:rPr>
        <w:tab/>
      </w:r>
      <w:r>
        <w:rPr>
          <w:rFonts w:ascii="Arial" w:cs="Arial" w:eastAsia="Arial" w:hAnsi="Arial"/>
          <w:sz w:val="10"/>
          <w:szCs w:val="10"/>
          <w:b w:val="1"/>
          <w:bCs w:val="1"/>
          <w:color w:val="auto"/>
        </w:rPr>
        <w:t>J. HAYNES KING</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Senior Vice President, Chief Marketing Officer</w:t>
      </w:r>
      <w:r>
        <w:rPr>
          <w:sz w:val="20"/>
          <w:szCs w:val="20"/>
          <w:color w:val="auto"/>
        </w:rPr>
        <w:tab/>
      </w:r>
      <w:r>
        <w:rPr>
          <w:rFonts w:ascii="Arial" w:cs="Arial" w:eastAsia="Arial" w:hAnsi="Arial"/>
          <w:sz w:val="10"/>
          <w:szCs w:val="10"/>
          <w:color w:val="auto"/>
        </w:rPr>
        <w:t>Vice President, Dedicated Retail and Trade Sales</w:t>
      </w:r>
    </w:p>
    <w:p>
      <w:pPr>
        <w:spacing w:after="0" w:line="187"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BRIAN W. CLASPELL</w:t>
      </w:r>
      <w:r>
        <w:rPr>
          <w:sz w:val="20"/>
          <w:szCs w:val="20"/>
          <w:color w:val="auto"/>
        </w:rPr>
        <w:tab/>
      </w:r>
      <w:r>
        <w:rPr>
          <w:rFonts w:ascii="Arial" w:cs="Arial" w:eastAsia="Arial" w:hAnsi="Arial"/>
          <w:sz w:val="10"/>
          <w:szCs w:val="10"/>
          <w:b w:val="1"/>
          <w:bCs w:val="1"/>
          <w:color w:val="auto"/>
        </w:rPr>
        <w:t>MIKE R. KREIDLER</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Senior Vice President, Chief Information Officer</w:t>
      </w:r>
      <w:r>
        <w:rPr>
          <w:sz w:val="20"/>
          <w:szCs w:val="20"/>
          <w:color w:val="auto"/>
        </w:rPr>
        <w:tab/>
      </w:r>
      <w:r>
        <w:rPr>
          <w:rFonts w:ascii="Arial" w:cs="Arial" w:eastAsia="Arial" w:hAnsi="Arial"/>
          <w:sz w:val="10"/>
          <w:szCs w:val="10"/>
          <w:color w:val="auto"/>
        </w:rPr>
        <w:t>Vice President, Upholstery</w:t>
      </w:r>
    </w:p>
    <w:p>
      <w:pPr>
        <w:spacing w:after="0" w:line="187"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BRUCE R. COHENOUR</w:t>
      </w:r>
      <w:r>
        <w:rPr>
          <w:sz w:val="20"/>
          <w:szCs w:val="20"/>
          <w:color w:val="auto"/>
        </w:rPr>
        <w:tab/>
      </w:r>
      <w:r>
        <w:rPr>
          <w:rFonts w:ascii="Arial" w:cs="Arial" w:eastAsia="Arial" w:hAnsi="Arial"/>
          <w:sz w:val="10"/>
          <w:szCs w:val="10"/>
          <w:b w:val="1"/>
          <w:bCs w:val="1"/>
          <w:color w:val="auto"/>
        </w:rPr>
        <w:t>BETH A. LARSON</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Senior Vice President, Chief Sales Officer</w:t>
      </w:r>
      <w:r>
        <w:rPr>
          <w:sz w:val="20"/>
          <w:szCs w:val="20"/>
          <w:color w:val="auto"/>
        </w:rPr>
        <w:tab/>
      </w:r>
      <w:r>
        <w:rPr>
          <w:rFonts w:ascii="Arial" w:cs="Arial" w:eastAsia="Arial" w:hAnsi="Arial"/>
          <w:sz w:val="10"/>
          <w:szCs w:val="10"/>
          <w:color w:val="auto"/>
        </w:rPr>
        <w:t>Vice President, Upholstery Finance &amp; Administration</w:t>
      </w:r>
    </w:p>
    <w:p>
      <w:pPr>
        <w:spacing w:after="0" w:line="182" w:lineRule="exact"/>
        <w:rPr>
          <w:sz w:val="20"/>
          <w:szCs w:val="20"/>
          <w:color w:val="auto"/>
        </w:rPr>
      </w:pPr>
    </w:p>
    <w:p>
      <w:pPr>
        <w:sectPr>
          <w:pgSz w:w="15840" w:h="12240" w:orient="landscape"/>
          <w:cols w:equalWidth="0" w:num="3">
            <w:col w:w="3020" w:space="160"/>
            <w:col w:w="4400" w:space="720"/>
            <w:col w:w="5620"/>
          </w:cols>
          <w:pgMar w:left="860" w:top="1440" w:right="1060" w:bottom="1440" w:gutter="0" w:footer="0" w:header="0"/>
        </w:sectPr>
      </w:pPr>
    </w:p>
    <w:tbl>
      <w:tblPr>
        <w:tblLayout w:type="fixed"/>
        <w:tblInd w:w="2700" w:type="dxa"/>
        <w:tblCellMar>
          <w:top w:w="0" w:type="dxa"/>
          <w:left w:w="0" w:type="dxa"/>
          <w:bottom w:w="0" w:type="dxa"/>
          <w:right w:w="0" w:type="dxa"/>
        </w:tblCellMar>
      </w:tblPr>
      <w:tr>
        <w:trPr>
          <w:trHeight w:val="53"/>
        </w:trPr>
        <w:tc>
          <w:tcPr>
            <w:tcW w:w="620" w:type="dxa"/>
            <w:vAlign w:val="bottom"/>
          </w:tcPr>
          <w:p>
            <w:pPr>
              <w:spacing w:after="0"/>
              <w:rPr>
                <w:sz w:val="4"/>
                <w:szCs w:val="4"/>
                <w:color w:val="auto"/>
              </w:rPr>
            </w:pPr>
          </w:p>
        </w:tc>
        <w:tc>
          <w:tcPr>
            <w:tcW w:w="1820" w:type="dxa"/>
            <w:vAlign w:val="bottom"/>
            <w:gridSpan w:val="4"/>
            <w:vMerge w:val="restart"/>
          </w:tcPr>
          <w:p>
            <w:pPr>
              <w:jc w:val="right"/>
              <w:ind w:right="202"/>
              <w:spacing w:after="0"/>
              <w:rPr>
                <w:sz w:val="20"/>
                <w:szCs w:val="20"/>
                <w:color w:val="auto"/>
              </w:rPr>
            </w:pPr>
            <w:r>
              <w:rPr>
                <w:rFonts w:ascii="Arial" w:cs="Arial" w:eastAsia="Arial" w:hAnsi="Arial"/>
                <w:sz w:val="13"/>
                <w:szCs w:val="13"/>
                <w:color w:val="auto"/>
              </w:rPr>
              <w:t>MARKET PRICES OF</w:t>
            </w:r>
          </w:p>
        </w:tc>
        <w:tc>
          <w:tcPr>
            <w:tcW w:w="20" w:type="dxa"/>
            <w:vAlign w:val="bottom"/>
          </w:tcPr>
          <w:p>
            <w:pPr>
              <w:spacing w:after="0"/>
              <w:rPr>
                <w:sz w:val="4"/>
                <w:szCs w:val="4"/>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DIVIDENDS</w:t>
            </w:r>
          </w:p>
        </w:tc>
        <w:tc>
          <w:tcPr>
            <w:tcW w:w="0" w:type="dxa"/>
            <w:vAlign w:val="bottom"/>
          </w:tcPr>
          <w:p>
            <w:pPr>
              <w:spacing w:after="0"/>
              <w:rPr>
                <w:sz w:val="1"/>
                <w:szCs w:val="1"/>
                <w:color w:val="auto"/>
              </w:rPr>
            </w:pPr>
          </w:p>
        </w:tc>
      </w:tr>
      <w:tr>
        <w:trPr>
          <w:trHeight w:val="104"/>
        </w:trPr>
        <w:tc>
          <w:tcPr>
            <w:tcW w:w="62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1820" w:type="dxa"/>
            <w:vAlign w:val="bottom"/>
            <w:gridSpan w:val="4"/>
          </w:tcPr>
          <w:p>
            <w:pPr>
              <w:jc w:val="right"/>
              <w:ind w:right="242"/>
              <w:spacing w:after="0"/>
              <w:rPr>
                <w:sz w:val="20"/>
                <w:szCs w:val="20"/>
                <w:color w:val="auto"/>
              </w:rPr>
            </w:pPr>
            <w:r>
              <w:rPr>
                <w:rFonts w:ascii="Arial" w:cs="Arial" w:eastAsia="Arial" w:hAnsi="Arial"/>
                <w:sz w:val="13"/>
                <w:szCs w:val="13"/>
                <w:color w:val="auto"/>
              </w:rPr>
              <w:t>COMMON STOCK</w:t>
            </w:r>
          </w:p>
        </w:tc>
        <w:tc>
          <w:tcPr>
            <w:tcW w:w="20" w:type="dxa"/>
            <w:vAlign w:val="bottom"/>
            <w:shd w:val="clear" w:color="auto" w:fill="000000"/>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DECLARED</w:t>
            </w:r>
          </w:p>
        </w:tc>
        <w:tc>
          <w:tcPr>
            <w:tcW w:w="0" w:type="dxa"/>
            <w:vAlign w:val="bottom"/>
          </w:tcPr>
          <w:p>
            <w:pPr>
              <w:spacing w:after="0"/>
              <w:rPr>
                <w:sz w:val="1"/>
                <w:szCs w:val="1"/>
                <w:color w:val="auto"/>
              </w:rPr>
            </w:pPr>
          </w:p>
        </w:tc>
      </w:tr>
      <w:tr>
        <w:trPr>
          <w:trHeight w:val="58"/>
        </w:trPr>
        <w:tc>
          <w:tcPr>
            <w:tcW w:w="6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620" w:type="dxa"/>
            <w:vAlign w:val="bottom"/>
          </w:tcPr>
          <w:p>
            <w:pPr>
              <w:ind w:left="80"/>
              <w:spacing w:after="0"/>
              <w:rPr>
                <w:sz w:val="20"/>
                <w:szCs w:val="20"/>
                <w:color w:val="auto"/>
              </w:rPr>
            </w:pPr>
            <w:r>
              <w:rPr>
                <w:rFonts w:ascii="Arial" w:cs="Arial" w:eastAsia="Arial" w:hAnsi="Arial"/>
                <w:sz w:val="13"/>
                <w:szCs w:val="13"/>
                <w:color w:val="auto"/>
              </w:rPr>
              <w:t>Quarter</w:t>
            </w:r>
          </w:p>
        </w:tc>
        <w:tc>
          <w:tcPr>
            <w:tcW w:w="920" w:type="dxa"/>
            <w:vAlign w:val="bottom"/>
            <w:tcBorders>
              <w:right w:val="single" w:sz="8" w:color="auto"/>
            </w:tcBorders>
            <w:gridSpan w:val="2"/>
          </w:tcPr>
          <w:p>
            <w:pPr>
              <w:jc w:val="right"/>
              <w:ind w:right="262"/>
              <w:spacing w:after="0"/>
              <w:rPr>
                <w:sz w:val="20"/>
                <w:szCs w:val="20"/>
                <w:color w:val="auto"/>
              </w:rPr>
            </w:pPr>
            <w:r>
              <w:rPr>
                <w:rFonts w:ascii="Arial" w:cs="Arial" w:eastAsia="Arial" w:hAnsi="Arial"/>
                <w:sz w:val="13"/>
                <w:szCs w:val="13"/>
                <w:color w:val="auto"/>
              </w:rPr>
              <w:t>2025</w:t>
            </w:r>
          </w:p>
        </w:tc>
        <w:tc>
          <w:tcPr>
            <w:tcW w:w="900" w:type="dxa"/>
            <w:vAlign w:val="bottom"/>
            <w:gridSpan w:val="2"/>
          </w:tcPr>
          <w:p>
            <w:pPr>
              <w:jc w:val="right"/>
              <w:ind w:right="242"/>
              <w:spacing w:after="0"/>
              <w:rPr>
                <w:sz w:val="20"/>
                <w:szCs w:val="20"/>
                <w:color w:val="auto"/>
              </w:rPr>
            </w:pPr>
            <w:r>
              <w:rPr>
                <w:rFonts w:ascii="Arial" w:cs="Arial" w:eastAsia="Arial" w:hAnsi="Arial"/>
                <w:sz w:val="13"/>
                <w:szCs w:val="13"/>
                <w:color w:val="auto"/>
              </w:rPr>
              <w:t>2024</w:t>
            </w:r>
          </w:p>
        </w:tc>
        <w:tc>
          <w:tcPr>
            <w:tcW w:w="20" w:type="dxa"/>
            <w:vAlign w:val="bottom"/>
            <w:shd w:val="clear" w:color="auto" w:fill="000000"/>
          </w:tcPr>
          <w:p>
            <w:pPr>
              <w:spacing w:after="0"/>
              <w:rPr>
                <w:sz w:val="24"/>
                <w:szCs w:val="24"/>
                <w:color w:val="auto"/>
              </w:rPr>
            </w:pPr>
          </w:p>
        </w:tc>
        <w:tc>
          <w:tcPr>
            <w:tcW w:w="520" w:type="dxa"/>
            <w:vAlign w:val="bottom"/>
            <w:tcBorders>
              <w:right w:val="single" w:sz="8" w:color="auto"/>
            </w:tcBorders>
          </w:tcPr>
          <w:p>
            <w:pPr>
              <w:jc w:val="right"/>
              <w:ind w:right="59"/>
              <w:spacing w:after="0"/>
              <w:rPr>
                <w:sz w:val="20"/>
                <w:szCs w:val="20"/>
                <w:color w:val="auto"/>
              </w:rPr>
            </w:pPr>
            <w:r>
              <w:rPr>
                <w:rFonts w:ascii="Arial" w:cs="Arial" w:eastAsia="Arial" w:hAnsi="Arial"/>
                <w:sz w:val="13"/>
                <w:szCs w:val="13"/>
                <w:color w:val="auto"/>
              </w:rPr>
              <w:t>2025</w:t>
            </w:r>
          </w:p>
        </w:tc>
        <w:tc>
          <w:tcPr>
            <w:tcW w:w="520" w:type="dxa"/>
            <w:vAlign w:val="bottom"/>
          </w:tcPr>
          <w:p>
            <w:pPr>
              <w:jc w:val="right"/>
              <w:ind w:right="40"/>
              <w:spacing w:after="0"/>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109"/>
        </w:trPr>
        <w:tc>
          <w:tcPr>
            <w:tcW w:w="6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1"/>
                <w:szCs w:val="11"/>
                <w:color w:val="auto"/>
              </w:rPr>
              <w:t>HIGH</w:t>
            </w:r>
          </w:p>
        </w:tc>
        <w:tc>
          <w:tcPr>
            <w:tcW w:w="440" w:type="dxa"/>
            <w:vAlign w:val="bottom"/>
            <w:tcBorders>
              <w:right w:val="single" w:sz="8" w:color="auto"/>
            </w:tcBorders>
          </w:tcPr>
          <w:p>
            <w:pPr>
              <w:jc w:val="right"/>
              <w:ind w:right="22"/>
              <w:spacing w:after="0"/>
              <w:rPr>
                <w:sz w:val="20"/>
                <w:szCs w:val="20"/>
                <w:color w:val="auto"/>
              </w:rPr>
            </w:pPr>
            <w:r>
              <w:rPr>
                <w:rFonts w:ascii="Arial" w:cs="Arial" w:eastAsia="Arial" w:hAnsi="Arial"/>
                <w:sz w:val="11"/>
                <w:szCs w:val="11"/>
                <w:color w:val="auto"/>
              </w:rPr>
              <w:t>LOW</w:t>
            </w:r>
          </w:p>
        </w:tc>
        <w:tc>
          <w:tcPr>
            <w:tcW w:w="480" w:type="dxa"/>
            <w:vAlign w:val="bottom"/>
          </w:tcPr>
          <w:p>
            <w:pPr>
              <w:jc w:val="right"/>
              <w:ind w:right="61"/>
              <w:spacing w:after="0"/>
              <w:rPr>
                <w:sz w:val="20"/>
                <w:szCs w:val="20"/>
                <w:color w:val="auto"/>
              </w:rPr>
            </w:pPr>
            <w:r>
              <w:rPr>
                <w:rFonts w:ascii="Arial" w:cs="Arial" w:eastAsia="Arial" w:hAnsi="Arial"/>
                <w:sz w:val="11"/>
                <w:szCs w:val="11"/>
                <w:color w:val="auto"/>
              </w:rPr>
              <w:t>HIGH</w:t>
            </w:r>
          </w:p>
        </w:tc>
        <w:tc>
          <w:tcPr>
            <w:tcW w:w="420" w:type="dxa"/>
            <w:vAlign w:val="bottom"/>
          </w:tcPr>
          <w:p>
            <w:pPr>
              <w:jc w:val="right"/>
              <w:ind w:right="2"/>
              <w:spacing w:after="0"/>
              <w:rPr>
                <w:sz w:val="20"/>
                <w:szCs w:val="20"/>
                <w:color w:val="auto"/>
              </w:rPr>
            </w:pPr>
            <w:r>
              <w:rPr>
                <w:rFonts w:ascii="Arial" w:cs="Arial" w:eastAsia="Arial" w:hAnsi="Arial"/>
                <w:sz w:val="11"/>
                <w:szCs w:val="11"/>
                <w:color w:val="auto"/>
              </w:rPr>
              <w:t>LOW</w:t>
            </w:r>
          </w:p>
        </w:tc>
        <w:tc>
          <w:tcPr>
            <w:tcW w:w="2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20" w:type="dxa"/>
            <w:vAlign w:val="bottom"/>
          </w:tcPr>
          <w:p>
            <w:pPr>
              <w:ind w:left="20"/>
              <w:spacing w:after="0"/>
              <w:rPr>
                <w:sz w:val="20"/>
                <w:szCs w:val="20"/>
                <w:color w:val="auto"/>
              </w:rPr>
            </w:pPr>
            <w:r>
              <w:rPr>
                <w:rFonts w:ascii="Arial" w:cs="Arial" w:eastAsia="Arial" w:hAnsi="Arial"/>
                <w:sz w:val="13"/>
                <w:szCs w:val="13"/>
                <w:color w:val="auto"/>
              </w:rPr>
              <w:t>First</w:t>
            </w:r>
          </w:p>
        </w:tc>
        <w:tc>
          <w:tcPr>
            <w:tcW w:w="480" w:type="dxa"/>
            <w:vAlign w:val="bottom"/>
          </w:tcPr>
          <w:p>
            <w:pPr>
              <w:jc w:val="right"/>
              <w:spacing w:after="0"/>
              <w:rPr>
                <w:sz w:val="20"/>
                <w:szCs w:val="20"/>
                <w:color w:val="auto"/>
              </w:rPr>
            </w:pPr>
            <w:r>
              <w:rPr>
                <w:rFonts w:ascii="Arial" w:cs="Arial" w:eastAsia="Arial" w:hAnsi="Arial"/>
                <w:sz w:val="12"/>
                <w:szCs w:val="12"/>
                <w:color w:val="auto"/>
              </w:rPr>
              <w:t>$15.80</w:t>
            </w:r>
          </w:p>
        </w:tc>
        <w:tc>
          <w:tcPr>
            <w:tcW w:w="440" w:type="dxa"/>
            <w:vAlign w:val="bottom"/>
            <w:tcBorders>
              <w:right w:val="single" w:sz="8" w:color="auto"/>
            </w:tcBorders>
          </w:tcPr>
          <w:p>
            <w:pPr>
              <w:jc w:val="right"/>
              <w:ind w:right="2"/>
              <w:spacing w:after="0"/>
              <w:rPr>
                <w:sz w:val="20"/>
                <w:szCs w:val="20"/>
                <w:color w:val="auto"/>
              </w:rPr>
            </w:pPr>
            <w:r>
              <w:rPr>
                <w:rFonts w:ascii="Arial" w:cs="Arial" w:eastAsia="Arial" w:hAnsi="Arial"/>
                <w:sz w:val="12"/>
                <w:szCs w:val="12"/>
                <w:color w:val="auto"/>
                <w:w w:val="97"/>
              </w:rPr>
              <w:t>$13.64</w:t>
            </w:r>
          </w:p>
        </w:tc>
        <w:tc>
          <w:tcPr>
            <w:tcW w:w="480" w:type="dxa"/>
            <w:vAlign w:val="bottom"/>
          </w:tcPr>
          <w:p>
            <w:pPr>
              <w:jc w:val="right"/>
              <w:spacing w:after="0"/>
              <w:rPr>
                <w:sz w:val="20"/>
                <w:szCs w:val="20"/>
                <w:color w:val="auto"/>
              </w:rPr>
            </w:pPr>
            <w:r>
              <w:rPr>
                <w:rFonts w:ascii="Arial" w:cs="Arial" w:eastAsia="Arial" w:hAnsi="Arial"/>
                <w:sz w:val="12"/>
                <w:szCs w:val="12"/>
                <w:color w:val="auto"/>
              </w:rPr>
              <w:t>$17.79</w:t>
            </w:r>
          </w:p>
        </w:tc>
        <w:tc>
          <w:tcPr>
            <w:tcW w:w="420" w:type="dxa"/>
            <w:vAlign w:val="bottom"/>
          </w:tcPr>
          <w:p>
            <w:pPr>
              <w:jc w:val="right"/>
              <w:spacing w:after="0"/>
              <w:rPr>
                <w:sz w:val="20"/>
                <w:szCs w:val="20"/>
                <w:color w:val="auto"/>
              </w:rPr>
            </w:pPr>
            <w:r>
              <w:rPr>
                <w:rFonts w:ascii="Arial" w:cs="Arial" w:eastAsia="Arial" w:hAnsi="Arial"/>
                <w:sz w:val="12"/>
                <w:szCs w:val="12"/>
                <w:color w:val="auto"/>
                <w:w w:val="97"/>
              </w:rPr>
              <w:t>$14.86</w:t>
            </w:r>
          </w:p>
        </w:tc>
        <w:tc>
          <w:tcPr>
            <w:tcW w:w="20" w:type="dxa"/>
            <w:vAlign w:val="bottom"/>
            <w:shd w:val="clear" w:color="auto" w:fill="000000"/>
          </w:tcPr>
          <w:p>
            <w:pPr>
              <w:spacing w:after="0"/>
              <w:rPr>
                <w:sz w:val="21"/>
                <w:szCs w:val="21"/>
                <w:color w:val="auto"/>
              </w:rPr>
            </w:pPr>
          </w:p>
        </w:tc>
        <w:tc>
          <w:tcPr>
            <w:tcW w:w="52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$0.20</w:t>
            </w:r>
          </w:p>
        </w:tc>
        <w:tc>
          <w:tcPr>
            <w:tcW w:w="520" w:type="dxa"/>
            <w:vAlign w:val="bottom"/>
          </w:tcPr>
          <w:p>
            <w:pPr>
              <w:jc w:val="right"/>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298"/>
        </w:trPr>
        <w:tc>
          <w:tcPr>
            <w:tcW w:w="620" w:type="dxa"/>
            <w:vAlign w:val="bottom"/>
          </w:tcPr>
          <w:p>
            <w:pPr>
              <w:ind w:left="20"/>
              <w:spacing w:after="0"/>
              <w:rPr>
                <w:sz w:val="20"/>
                <w:szCs w:val="20"/>
                <w:color w:val="auto"/>
              </w:rPr>
            </w:pPr>
            <w:r>
              <w:rPr>
                <w:rFonts w:ascii="Arial" w:cs="Arial" w:eastAsia="Arial" w:hAnsi="Arial"/>
                <w:sz w:val="13"/>
                <w:szCs w:val="13"/>
                <w:color w:val="auto"/>
              </w:rPr>
              <w:t>Second</w:t>
            </w:r>
          </w:p>
        </w:tc>
        <w:tc>
          <w:tcPr>
            <w:tcW w:w="480" w:type="dxa"/>
            <w:vAlign w:val="bottom"/>
          </w:tcPr>
          <w:p>
            <w:pPr>
              <w:jc w:val="right"/>
              <w:spacing w:after="0"/>
              <w:rPr>
                <w:sz w:val="20"/>
                <w:szCs w:val="20"/>
                <w:color w:val="auto"/>
              </w:rPr>
            </w:pPr>
            <w:r>
              <w:rPr>
                <w:rFonts w:ascii="Arial" w:cs="Arial" w:eastAsia="Arial" w:hAnsi="Arial"/>
                <w:sz w:val="12"/>
                <w:szCs w:val="12"/>
                <w:color w:val="auto"/>
              </w:rPr>
              <w:t>18.80</w:t>
            </w:r>
          </w:p>
        </w:tc>
        <w:tc>
          <w:tcPr>
            <w:tcW w:w="440" w:type="dxa"/>
            <w:vAlign w:val="bottom"/>
            <w:tcBorders>
              <w:right w:val="single" w:sz="8" w:color="auto"/>
            </w:tcBorders>
          </w:tcPr>
          <w:p>
            <w:pPr>
              <w:jc w:val="right"/>
              <w:ind w:right="2"/>
              <w:spacing w:after="0"/>
              <w:rPr>
                <w:sz w:val="20"/>
                <w:szCs w:val="20"/>
                <w:color w:val="auto"/>
              </w:rPr>
            </w:pPr>
            <w:r>
              <w:rPr>
                <w:rFonts w:ascii="Arial" w:cs="Arial" w:eastAsia="Arial" w:hAnsi="Arial"/>
                <w:sz w:val="12"/>
                <w:szCs w:val="12"/>
                <w:color w:val="auto"/>
              </w:rPr>
              <w:t>14.77</w:t>
            </w:r>
          </w:p>
        </w:tc>
        <w:tc>
          <w:tcPr>
            <w:tcW w:w="480" w:type="dxa"/>
            <w:vAlign w:val="bottom"/>
          </w:tcPr>
          <w:p>
            <w:pPr>
              <w:jc w:val="right"/>
              <w:spacing w:after="0"/>
              <w:rPr>
                <w:sz w:val="20"/>
                <w:szCs w:val="20"/>
                <w:color w:val="auto"/>
              </w:rPr>
            </w:pPr>
            <w:r>
              <w:rPr>
                <w:rFonts w:ascii="Arial" w:cs="Arial" w:eastAsia="Arial" w:hAnsi="Arial"/>
                <w:sz w:val="12"/>
                <w:szCs w:val="12"/>
                <w:color w:val="auto"/>
              </w:rPr>
              <w:t>15.87</w:t>
            </w:r>
          </w:p>
        </w:tc>
        <w:tc>
          <w:tcPr>
            <w:tcW w:w="420" w:type="dxa"/>
            <w:vAlign w:val="bottom"/>
          </w:tcPr>
          <w:p>
            <w:pPr>
              <w:jc w:val="right"/>
              <w:spacing w:after="0"/>
              <w:rPr>
                <w:sz w:val="20"/>
                <w:szCs w:val="20"/>
                <w:color w:val="auto"/>
              </w:rPr>
            </w:pPr>
            <w:r>
              <w:rPr>
                <w:rFonts w:ascii="Arial" w:cs="Arial" w:eastAsia="Arial" w:hAnsi="Arial"/>
                <w:sz w:val="12"/>
                <w:szCs w:val="12"/>
                <w:color w:val="auto"/>
              </w:rPr>
              <w:t>13.02</w:t>
            </w:r>
          </w:p>
        </w:tc>
        <w:tc>
          <w:tcPr>
            <w:tcW w:w="20" w:type="dxa"/>
            <w:vAlign w:val="bottom"/>
            <w:shd w:val="clear" w:color="auto" w:fill="000000"/>
          </w:tcPr>
          <w:p>
            <w:pPr>
              <w:spacing w:after="0"/>
              <w:rPr>
                <w:sz w:val="24"/>
                <w:szCs w:val="24"/>
                <w:color w:val="auto"/>
              </w:rPr>
            </w:pPr>
          </w:p>
        </w:tc>
        <w:tc>
          <w:tcPr>
            <w:tcW w:w="52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0.20</w:t>
            </w:r>
          </w:p>
        </w:tc>
        <w:tc>
          <w:tcPr>
            <w:tcW w:w="520" w:type="dxa"/>
            <w:vAlign w:val="bottom"/>
          </w:tcPr>
          <w:p>
            <w:pPr>
              <w:jc w:val="right"/>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298"/>
        </w:trPr>
        <w:tc>
          <w:tcPr>
            <w:tcW w:w="620" w:type="dxa"/>
            <w:vAlign w:val="bottom"/>
          </w:tcPr>
          <w:p>
            <w:pPr>
              <w:ind w:left="20"/>
              <w:spacing w:after="0"/>
              <w:rPr>
                <w:sz w:val="20"/>
                <w:szCs w:val="20"/>
                <w:color w:val="auto"/>
              </w:rPr>
            </w:pPr>
            <w:r>
              <w:rPr>
                <w:rFonts w:ascii="Arial" w:cs="Arial" w:eastAsia="Arial" w:hAnsi="Arial"/>
                <w:sz w:val="13"/>
                <w:szCs w:val="13"/>
                <w:color w:val="auto"/>
              </w:rPr>
              <w:t>Third</w:t>
            </w:r>
          </w:p>
        </w:tc>
        <w:tc>
          <w:tcPr>
            <w:tcW w:w="480" w:type="dxa"/>
            <w:vAlign w:val="bottom"/>
          </w:tcPr>
          <w:p>
            <w:pPr>
              <w:jc w:val="right"/>
              <w:spacing w:after="0"/>
              <w:rPr>
                <w:sz w:val="20"/>
                <w:szCs w:val="20"/>
                <w:color w:val="auto"/>
              </w:rPr>
            </w:pPr>
            <w:r>
              <w:rPr>
                <w:rFonts w:ascii="Arial" w:cs="Arial" w:eastAsia="Arial" w:hAnsi="Arial"/>
                <w:sz w:val="12"/>
                <w:szCs w:val="12"/>
                <w:color w:val="auto"/>
              </w:rPr>
              <w:t>19.14</w:t>
            </w:r>
          </w:p>
        </w:tc>
        <w:tc>
          <w:tcPr>
            <w:tcW w:w="440" w:type="dxa"/>
            <w:vAlign w:val="bottom"/>
            <w:tcBorders>
              <w:right w:val="single" w:sz="8" w:color="auto"/>
            </w:tcBorders>
          </w:tcPr>
          <w:p>
            <w:pPr>
              <w:jc w:val="right"/>
              <w:ind w:right="2"/>
              <w:spacing w:after="0"/>
              <w:rPr>
                <w:sz w:val="20"/>
                <w:szCs w:val="20"/>
                <w:color w:val="auto"/>
              </w:rPr>
            </w:pPr>
            <w:r>
              <w:rPr>
                <w:rFonts w:ascii="Arial" w:cs="Arial" w:eastAsia="Arial" w:hAnsi="Arial"/>
                <w:sz w:val="12"/>
                <w:szCs w:val="12"/>
                <w:color w:val="auto"/>
              </w:rPr>
              <w:t>14.26</w:t>
            </w:r>
          </w:p>
        </w:tc>
        <w:tc>
          <w:tcPr>
            <w:tcW w:w="480" w:type="dxa"/>
            <w:vAlign w:val="bottom"/>
          </w:tcPr>
          <w:p>
            <w:pPr>
              <w:jc w:val="right"/>
              <w:spacing w:after="0"/>
              <w:rPr>
                <w:sz w:val="20"/>
                <w:szCs w:val="20"/>
                <w:color w:val="auto"/>
              </w:rPr>
            </w:pPr>
            <w:r>
              <w:rPr>
                <w:rFonts w:ascii="Arial" w:cs="Arial" w:eastAsia="Arial" w:hAnsi="Arial"/>
                <w:sz w:val="12"/>
                <w:szCs w:val="12"/>
                <w:color w:val="auto"/>
              </w:rPr>
              <w:t>14.90</w:t>
            </w:r>
          </w:p>
        </w:tc>
        <w:tc>
          <w:tcPr>
            <w:tcW w:w="420" w:type="dxa"/>
            <w:vAlign w:val="bottom"/>
          </w:tcPr>
          <w:p>
            <w:pPr>
              <w:jc w:val="right"/>
              <w:spacing w:after="0"/>
              <w:rPr>
                <w:sz w:val="20"/>
                <w:szCs w:val="20"/>
                <w:color w:val="auto"/>
              </w:rPr>
            </w:pPr>
            <w:r>
              <w:rPr>
                <w:rFonts w:ascii="Arial" w:cs="Arial" w:eastAsia="Arial" w:hAnsi="Arial"/>
                <w:sz w:val="12"/>
                <w:szCs w:val="12"/>
                <w:color w:val="auto"/>
              </w:rPr>
              <w:t>12.36</w:t>
            </w:r>
          </w:p>
        </w:tc>
        <w:tc>
          <w:tcPr>
            <w:tcW w:w="20" w:type="dxa"/>
            <w:vAlign w:val="bottom"/>
            <w:shd w:val="clear" w:color="auto" w:fill="000000"/>
          </w:tcPr>
          <w:p>
            <w:pPr>
              <w:spacing w:after="0"/>
              <w:rPr>
                <w:sz w:val="24"/>
                <w:szCs w:val="24"/>
                <w:color w:val="auto"/>
              </w:rPr>
            </w:pPr>
          </w:p>
        </w:tc>
        <w:tc>
          <w:tcPr>
            <w:tcW w:w="52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0.20</w:t>
            </w:r>
          </w:p>
        </w:tc>
        <w:tc>
          <w:tcPr>
            <w:tcW w:w="520" w:type="dxa"/>
            <w:vAlign w:val="bottom"/>
          </w:tcPr>
          <w:p>
            <w:pPr>
              <w:jc w:val="right"/>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300"/>
        </w:trPr>
        <w:tc>
          <w:tcPr>
            <w:tcW w:w="620" w:type="dxa"/>
            <w:vAlign w:val="bottom"/>
          </w:tcPr>
          <w:p>
            <w:pPr>
              <w:ind w:left="20"/>
              <w:spacing w:after="0"/>
              <w:rPr>
                <w:sz w:val="20"/>
                <w:szCs w:val="20"/>
                <w:color w:val="auto"/>
              </w:rPr>
            </w:pPr>
            <w:r>
              <w:rPr>
                <w:rFonts w:ascii="Arial" w:cs="Arial" w:eastAsia="Arial" w:hAnsi="Arial"/>
                <w:sz w:val="13"/>
                <w:szCs w:val="13"/>
                <w:color w:val="auto"/>
              </w:rPr>
              <w:t>Fourth</w:t>
            </w:r>
          </w:p>
        </w:tc>
        <w:tc>
          <w:tcPr>
            <w:tcW w:w="480" w:type="dxa"/>
            <w:vAlign w:val="bottom"/>
          </w:tcPr>
          <w:p>
            <w:pPr>
              <w:jc w:val="right"/>
              <w:spacing w:after="0"/>
              <w:rPr>
                <w:sz w:val="20"/>
                <w:szCs w:val="20"/>
                <w:color w:val="auto"/>
              </w:rPr>
            </w:pPr>
            <w:r>
              <w:rPr>
                <w:rFonts w:ascii="Arial" w:cs="Arial" w:eastAsia="Arial" w:hAnsi="Arial"/>
                <w:sz w:val="12"/>
                <w:szCs w:val="12"/>
                <w:color w:val="auto"/>
              </w:rPr>
              <w:t>17.04</w:t>
            </w:r>
          </w:p>
        </w:tc>
        <w:tc>
          <w:tcPr>
            <w:tcW w:w="440" w:type="dxa"/>
            <w:vAlign w:val="bottom"/>
            <w:tcBorders>
              <w:right w:val="single" w:sz="8" w:color="auto"/>
            </w:tcBorders>
          </w:tcPr>
          <w:p>
            <w:pPr>
              <w:jc w:val="right"/>
              <w:ind w:right="2"/>
              <w:spacing w:after="0"/>
              <w:rPr>
                <w:sz w:val="20"/>
                <w:szCs w:val="20"/>
                <w:color w:val="auto"/>
              </w:rPr>
            </w:pPr>
            <w:r>
              <w:rPr>
                <w:rFonts w:ascii="Arial" w:cs="Arial" w:eastAsia="Arial" w:hAnsi="Arial"/>
                <w:sz w:val="12"/>
                <w:szCs w:val="12"/>
                <w:color w:val="auto"/>
              </w:rPr>
              <w:t>14.45</w:t>
            </w:r>
          </w:p>
        </w:tc>
        <w:tc>
          <w:tcPr>
            <w:tcW w:w="480" w:type="dxa"/>
            <w:vAlign w:val="bottom"/>
          </w:tcPr>
          <w:p>
            <w:pPr>
              <w:jc w:val="right"/>
              <w:spacing w:after="0"/>
              <w:rPr>
                <w:sz w:val="20"/>
                <w:szCs w:val="20"/>
                <w:color w:val="auto"/>
              </w:rPr>
            </w:pPr>
            <w:r>
              <w:rPr>
                <w:rFonts w:ascii="Arial" w:cs="Arial" w:eastAsia="Arial" w:hAnsi="Arial"/>
                <w:sz w:val="12"/>
                <w:szCs w:val="12"/>
                <w:color w:val="auto"/>
              </w:rPr>
              <w:t>15.23</w:t>
            </w:r>
          </w:p>
        </w:tc>
        <w:tc>
          <w:tcPr>
            <w:tcW w:w="420" w:type="dxa"/>
            <w:vAlign w:val="bottom"/>
          </w:tcPr>
          <w:p>
            <w:pPr>
              <w:jc w:val="right"/>
              <w:spacing w:after="0"/>
              <w:rPr>
                <w:sz w:val="20"/>
                <w:szCs w:val="20"/>
                <w:color w:val="auto"/>
              </w:rPr>
            </w:pPr>
            <w:r>
              <w:rPr>
                <w:rFonts w:ascii="Arial" w:cs="Arial" w:eastAsia="Arial" w:hAnsi="Arial"/>
                <w:sz w:val="12"/>
                <w:szCs w:val="12"/>
                <w:color w:val="auto"/>
              </w:rPr>
              <w:t>13.25</w:t>
            </w:r>
          </w:p>
        </w:tc>
        <w:tc>
          <w:tcPr>
            <w:tcW w:w="20" w:type="dxa"/>
            <w:vAlign w:val="bottom"/>
            <w:shd w:val="clear" w:color="auto" w:fill="000000"/>
          </w:tcPr>
          <w:p>
            <w:pPr>
              <w:spacing w:after="0"/>
              <w:rPr>
                <w:sz w:val="24"/>
                <w:szCs w:val="24"/>
                <w:color w:val="auto"/>
              </w:rPr>
            </w:pPr>
          </w:p>
        </w:tc>
        <w:tc>
          <w:tcPr>
            <w:tcW w:w="52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0.20</w:t>
            </w:r>
          </w:p>
        </w:tc>
        <w:tc>
          <w:tcPr>
            <w:tcW w:w="520" w:type="dxa"/>
            <w:vAlign w:val="bottom"/>
          </w:tcPr>
          <w:p>
            <w:pPr>
              <w:jc w:val="right"/>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-1398270</wp:posOffset>
            </wp:positionV>
            <wp:extent cx="10795" cy="139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extLst>
                    </a:blip>
                    <a:srcRect/>
                    <a:stretch>
                      <a:fillRect/>
                    </a:stretch>
                  </pic:blipFill>
                  <pic:spPr bwMode="auto">
                    <a:xfrm>
                      <a:off x="0" y="0"/>
                      <a:ext cx="10795" cy="139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240" w:val="left"/>
        </w:tabs>
        <w:rPr>
          <w:sz w:val="20"/>
          <w:szCs w:val="20"/>
          <w:color w:val="auto"/>
        </w:rPr>
      </w:pPr>
      <w:r>
        <w:rPr>
          <w:rFonts w:ascii="Arial" w:cs="Arial" w:eastAsia="Arial" w:hAnsi="Arial"/>
          <w:sz w:val="10"/>
          <w:szCs w:val="10"/>
          <w:b w:val="1"/>
          <w:bCs w:val="1"/>
          <w:color w:val="auto"/>
        </w:rPr>
        <w:t>J. MICHAEL DANIEL</w:t>
      </w:r>
      <w:r>
        <w:rPr>
          <w:sz w:val="20"/>
          <w:szCs w:val="20"/>
          <w:color w:val="auto"/>
        </w:rPr>
        <w:tab/>
      </w:r>
      <w:r>
        <w:rPr>
          <w:rFonts w:ascii="Arial" w:cs="Arial" w:eastAsia="Arial" w:hAnsi="Arial"/>
          <w:sz w:val="10"/>
          <w:szCs w:val="10"/>
          <w:b w:val="1"/>
          <w:bCs w:val="1"/>
          <w:color w:val="auto"/>
        </w:rPr>
        <w:t>PETER D. MORRISON</w:t>
      </w:r>
    </w:p>
    <w:p>
      <w:pPr>
        <w:spacing w:after="0" w:line="49"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color w:val="auto"/>
        </w:rPr>
        <w:t>Senior Vice President, Chief Financial</w:t>
      </w:r>
      <w:r>
        <w:rPr>
          <w:sz w:val="20"/>
          <w:szCs w:val="20"/>
          <w:color w:val="auto"/>
        </w:rPr>
        <w:tab/>
      </w:r>
      <w:r>
        <w:rPr>
          <w:rFonts w:ascii="Arial" w:cs="Arial" w:eastAsia="Arial" w:hAnsi="Arial"/>
          <w:sz w:val="10"/>
          <w:szCs w:val="10"/>
          <w:color w:val="auto"/>
        </w:rPr>
        <w:t>Vice President, Chief Creative Officer</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&amp; Administrative Officer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0"/>
          <w:szCs w:val="10"/>
          <w:b w:val="1"/>
          <w:bCs w:val="1"/>
          <w:color w:val="auto"/>
        </w:rPr>
        <w:t>HEATHER P. PETERSEN</w:t>
      </w:r>
    </w:p>
    <w:p>
      <w:pPr>
        <w:spacing w:after="0" w:line="40"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NICHOLAS C. GEE</w:t>
      </w:r>
      <w:r>
        <w:rPr>
          <w:sz w:val="20"/>
          <w:szCs w:val="20"/>
          <w:color w:val="auto"/>
        </w:rPr>
        <w:tab/>
      </w:r>
      <w:r>
        <w:rPr>
          <w:rFonts w:ascii="Arial" w:cs="Arial" w:eastAsia="Arial" w:hAnsi="Arial"/>
          <w:sz w:val="10"/>
          <w:szCs w:val="10"/>
          <w:color w:val="auto"/>
        </w:rPr>
        <w:t>Vice President, Marketing and E-Commerce</w:t>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Senior Vice President, Corporate Retail</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0"/>
          <w:szCs w:val="10"/>
          <w:b w:val="1"/>
          <w:bCs w:val="1"/>
          <w:color w:val="auto"/>
        </w:rPr>
        <w:t>ROBERT H. SPILMAN III</w:t>
      </w:r>
    </w:p>
    <w:p>
      <w:pPr>
        <w:spacing w:after="0" w:line="40"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J. TYLER BASSETT</w:t>
      </w:r>
      <w:r>
        <w:rPr>
          <w:sz w:val="20"/>
          <w:szCs w:val="20"/>
          <w:color w:val="auto"/>
        </w:rPr>
        <w:tab/>
      </w:r>
      <w:r>
        <w:rPr>
          <w:rFonts w:ascii="Arial" w:cs="Arial" w:eastAsia="Arial" w:hAnsi="Arial"/>
          <w:sz w:val="10"/>
          <w:szCs w:val="10"/>
          <w:color w:val="auto"/>
        </w:rPr>
        <w:t>Vice President, Sales</w:t>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Vice President, Customer Experience Technology</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0"/>
          <w:szCs w:val="10"/>
          <w:b w:val="1"/>
          <w:bCs w:val="1"/>
          <w:color w:val="auto"/>
        </w:rPr>
        <w:t>J. CARTER UNDERWOOD</w:t>
      </w:r>
    </w:p>
    <w:p>
      <w:pPr>
        <w:spacing w:after="0" w:line="40" w:lineRule="exact"/>
        <w:rPr>
          <w:sz w:val="20"/>
          <w:szCs w:val="20"/>
          <w:color w:val="auto"/>
        </w:rPr>
      </w:pPr>
    </w:p>
    <w:p>
      <w:pPr>
        <w:spacing w:after="0"/>
        <w:tabs>
          <w:tab w:leader="none" w:pos="3240" w:val="left"/>
        </w:tabs>
        <w:rPr>
          <w:sz w:val="20"/>
          <w:szCs w:val="20"/>
          <w:color w:val="auto"/>
        </w:rPr>
      </w:pPr>
      <w:r>
        <w:rPr>
          <w:rFonts w:ascii="Arial" w:cs="Arial" w:eastAsia="Arial" w:hAnsi="Arial"/>
          <w:sz w:val="10"/>
          <w:szCs w:val="10"/>
          <w:b w:val="1"/>
          <w:bCs w:val="1"/>
          <w:color w:val="auto"/>
        </w:rPr>
        <w:t>D. SCHON DUKE</w:t>
      </w:r>
      <w:r>
        <w:rPr>
          <w:sz w:val="20"/>
          <w:szCs w:val="20"/>
          <w:color w:val="auto"/>
        </w:rPr>
        <w:tab/>
      </w:r>
      <w:r>
        <w:rPr>
          <w:rFonts w:ascii="Arial" w:cs="Arial" w:eastAsia="Arial" w:hAnsi="Arial"/>
          <w:sz w:val="10"/>
          <w:szCs w:val="10"/>
          <w:color w:val="auto"/>
        </w:rPr>
        <w:t>Vice President, Wood Operations</w:t>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Vice President, Lane Venture &amp; Contract Sales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0"/>
          <w:szCs w:val="10"/>
          <w:b w:val="1"/>
          <w:bCs w:val="1"/>
          <w:color w:val="auto"/>
        </w:rPr>
        <w:t>EDWARD H. WHITE</w:t>
      </w:r>
    </w:p>
    <w:p>
      <w:pPr>
        <w:spacing w:after="0" w:line="49" w:lineRule="exact"/>
        <w:rPr>
          <w:sz w:val="20"/>
          <w:szCs w:val="20"/>
          <w:color w:val="auto"/>
        </w:rPr>
      </w:pPr>
    </w:p>
    <w:p>
      <w:pPr>
        <w:ind w:left="3260"/>
        <w:spacing w:after="0"/>
        <w:rPr>
          <w:sz w:val="20"/>
          <w:szCs w:val="20"/>
          <w:color w:val="auto"/>
        </w:rPr>
      </w:pPr>
      <w:r>
        <w:rPr>
          <w:rFonts w:ascii="Arial" w:cs="Arial" w:eastAsia="Arial" w:hAnsi="Arial"/>
          <w:sz w:val="10"/>
          <w:szCs w:val="10"/>
          <w:color w:val="auto"/>
        </w:rPr>
        <w:t>Vice President, Human Resources</w:t>
      </w:r>
    </w:p>
    <w:p>
      <w:pPr>
        <w:sectPr>
          <w:pgSz w:w="15840" w:h="12240" w:orient="landscape"/>
          <w:cols w:equalWidth="0" w:num="2">
            <w:col w:w="7580" w:space="720"/>
            <w:col w:w="5620"/>
          </w:cols>
          <w:pgMar w:left="860" w:top="1440" w:right="1060"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1782445</wp:posOffset>
            </wp:positionV>
            <wp:extent cx="7772400" cy="7270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extLst>
                    </a:blip>
                    <a:srcRect/>
                    <a:stretch>
                      <a:fillRect/>
                    </a:stretch>
                  </pic:blipFill>
                  <pic:spPr bwMode="auto">
                    <a:xfrm>
                      <a:off x="0" y="0"/>
                      <a:ext cx="7772400" cy="727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760"/>
        <w:spacing w:after="0"/>
        <w:tabs>
          <w:tab w:leader="none" w:pos="4460" w:val="left"/>
          <w:tab w:leader="none" w:pos="7720" w:val="left"/>
        </w:tabs>
        <w:rPr>
          <w:sz w:val="20"/>
          <w:szCs w:val="20"/>
          <w:color w:val="auto"/>
        </w:rPr>
      </w:pPr>
      <w:r>
        <w:rPr>
          <w:rFonts w:ascii="Arial" w:cs="Arial" w:eastAsia="Arial" w:hAnsi="Arial"/>
          <w:sz w:val="20"/>
          <w:szCs w:val="20"/>
          <w:color w:val="auto"/>
        </w:rPr>
        <w:t>N A S D A Q : B S E T</w:t>
      </w:r>
      <w:r>
        <w:rPr>
          <w:sz w:val="20"/>
          <w:szCs w:val="20"/>
          <w:color w:val="auto"/>
        </w:rPr>
        <w:tab/>
      </w:r>
      <w:r>
        <w:rPr>
          <w:rFonts w:ascii="Arial" w:cs="Arial" w:eastAsia="Arial" w:hAnsi="Arial"/>
          <w:sz w:val="20"/>
          <w:szCs w:val="20"/>
          <w:color w:val="auto"/>
        </w:rPr>
        <w:t>b a s s e t t f u r n i t u r e . c o m</w:t>
      </w:r>
      <w:r>
        <w:rPr>
          <w:sz w:val="20"/>
          <w:szCs w:val="20"/>
          <w:color w:val="auto"/>
        </w:rPr>
        <w:tab/>
      </w:r>
      <w:r>
        <w:rPr>
          <w:rFonts w:ascii="Arial" w:cs="Arial" w:eastAsia="Arial" w:hAnsi="Arial"/>
          <w:sz w:val="19"/>
          <w:szCs w:val="19"/>
          <w:color w:val="auto"/>
        </w:rPr>
        <w:t>B a s s e t t , V i r g i n i a</w:t>
      </w:r>
    </w:p>
    <w:p>
      <w:pPr>
        <w:sectPr>
          <w:pgSz w:w="12240" w:h="15840" w:orient="portrait"/>
          <w:cols w:equalWidth="0" w:num="1">
            <w:col w:w="10500"/>
          </w:cols>
          <w:pgMar w:left="300" w:top="1440" w:right="1440" w:bottom="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1"/>
          <w:szCs w:val="11"/>
          <w:color w:val="auto"/>
        </w:rPr>
        <w:t>BSET-25AR-1</w:t>
      </w:r>
    </w:p>
    <w:sectPr>
      <w:pgSz w:w="12240" w:h="15840" w:orient="portrait"/>
      <w:cols w:equalWidth="0" w:num="1">
        <w:col w:w="10500"/>
      </w:cols>
      <w:pgMar w:left="300" w:top="1440"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Ɣ"/>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Ɣ"/>
      <w:numFmt w:val="bullet"/>
      <w:start w:val="1"/>
    </w:lvl>
  </w:abstractNum>
  <w:abstractNum w:abstractNumId="7">
    <w:nsid w:val="431BD7B7"/>
    <w:multiLevelType w:val="hybridMultilevel"/>
    <w:lvl w:ilvl="0">
      <w:lvlJc w:val="left"/>
      <w:lvlText w:val="Ɣ"/>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326"/>
    </w:lvl>
  </w:abstractNum>
  <w:abstractNum w:abstractNumId="12">
    <w:nsid w:val="436C6125"/>
    <w:multiLevelType w:val="hybridMultilevel"/>
    <w:lvl w:ilvl="0">
      <w:lvlJc w:val="left"/>
      <w:lvlText w:val="%1."/>
      <w:numFmt w:val="decimal"/>
      <w:start w:val="18"/>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7"/>
    </w:lvl>
  </w:abstractNum>
  <w:abstractNum w:abstractNumId="15">
    <w:nsid w:val="721DA317"/>
    <w:multiLevelType w:val="hybridMultilevel"/>
    <w:lvl w:ilvl="0">
      <w:lvlJc w:val="left"/>
      <w:lvlText w:val="%1."/>
      <w:numFmt w:val="decimal"/>
      <w:start w:val="8"/>
    </w:lvl>
  </w:abstractNum>
  <w:abstractNum w:abstractNumId="16">
    <w:nsid w:val="2443A858"/>
    <w:multiLevelType w:val="hybridMultilevel"/>
    <w:lvl w:ilvl="0">
      <w:lvlJc w:val="left"/>
      <w:lvlText w:val="%1."/>
      <w:numFmt w:val="decimal"/>
      <w:start w:val="9"/>
    </w:lvl>
  </w:abstractNum>
  <w:abstractNum w:abstractNumId="17">
    <w:nsid w:val="2D1D5AE9"/>
    <w:multiLevelType w:val="hybridMultilevel"/>
    <w:lvl w:ilvl="0">
      <w:lvlJc w:val="left"/>
      <w:lvlText w:val="Ɣ"/>
      <w:numFmt w:val="bullet"/>
      <w:start w:val="1"/>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decimal"/>
      <w:start w:val="1"/>
    </w:lvl>
    <w:lvl w:ilvl="1">
      <w:lvlJc w:val="left"/>
      <w:lvlText w:val="(%2)"/>
      <w:numFmt w:val="decimal"/>
      <w:start w:val="1"/>
    </w:lvl>
  </w:abstractNum>
  <w:abstractNum w:abstractNumId="20">
    <w:nsid w:val="8EDBDAB"/>
    <w:multiLevelType w:val="hybridMultilevel"/>
    <w:lvl w:ilvl="0">
      <w:lvlJc w:val="left"/>
      <w:lvlText w:val="%1."/>
      <w:numFmt w:val="decimal"/>
      <w:start w:val="12"/>
    </w:lvl>
    <w:lvl w:ilvl="1">
      <w:lvlJc w:val="left"/>
      <w:lvlText w:val="%2"/>
      <w:numFmt w:val="decimal"/>
      <w:start w:val="1"/>
    </w:lvl>
  </w:abstractNum>
  <w:abstractNum w:abstractNumId="21">
    <w:nsid w:val="79838CB2"/>
    <w:multiLevelType w:val="hybridMultilevel"/>
    <w:lvl w:ilvl="0">
      <w:lvlJc w:val="left"/>
      <w:lvlText w:val="\endash "/>
      <w:numFmt w:val="bullet"/>
      <w:start w:val="1"/>
    </w:lvl>
  </w:abstractNum>
  <w:abstractNum w:abstractNumId="22">
    <w:nsid w:val="4353D0CD"/>
    <w:multiLevelType w:val="hybridMultilevel"/>
    <w:lvl w:ilvl="0">
      <w:lvlJc w:val="left"/>
      <w:lvlText w:val="Ɣ"/>
      <w:numFmt w:val="bullet"/>
      <w:start w:val="1"/>
    </w:lvl>
  </w:abstractNum>
  <w:abstractNum w:abstractNumId="23">
    <w:nsid w:val="B03E0C6"/>
    <w:multiLevelType w:val="hybridMultilevel"/>
    <w:lvl w:ilvl="0">
      <w:lvlJc w:val="left"/>
      <w:lvlText w:val="%1."/>
      <w:numFmt w:val="decimal"/>
      <w:start w:val="15"/>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Ɣ"/>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2026-02-11T10:19:42Z</dcterms:created>
  <dcterms:modified xsi:type="dcterms:W3CDTF">2026-02-11T10:19:42Z</dcterms:modified>
</cp:coreProperties>
</file>