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182245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BASSETT FURNITURE INDUSTRIES, INCORPORATED</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000-00209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54-0135270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3">
            <w:col w:w="4040" w:space="720"/>
            <w:col w:w="3200" w:space="720"/>
            <w:col w:w="2560"/>
          </w:cols>
          <w:pgMar w:left="320" w:top="774" w:right="339" w:bottom="1440" w:gutter="0" w:footer="0" w:header="0"/>
          <w:type w:val="continuous"/>
        </w:sectPr>
      </w:pPr>
    </w:p>
    <w:p>
      <w:pPr>
        <w:spacing w:after="0" w:line="3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3525 Fairystone Park Highway</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Bassett, Virginia</w:t>
      </w:r>
    </w:p>
    <w:p>
      <w:pPr>
        <w:spacing w:after="0" w:line="9" w:lineRule="exact"/>
        <w:rPr>
          <w:sz w:val="24"/>
          <w:szCs w:val="24"/>
          <w:color w:val="auto"/>
        </w:rPr>
      </w:pPr>
    </w:p>
    <w:p>
      <w:pPr>
        <w:jc w:val="center"/>
        <w:ind w:right="168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24055</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74"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160" w:right="2760" w:hanging="152"/>
        <w:spacing w:after="0" w:line="500" w:lineRule="auto"/>
        <w:tabs>
          <w:tab w:leader="none" w:pos="45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240" w:type="dxa"/>
        <w:tblCellMar>
          <w:top w:w="0" w:type="dxa"/>
          <w:left w:w="0" w:type="dxa"/>
          <w:bottom w:w="0" w:type="dxa"/>
          <w:right w:w="0" w:type="dxa"/>
        </w:tblCellMar>
      </w:tblPr>
      <w:tr>
        <w:trPr>
          <w:trHeight w:val="230"/>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exchange on which registered</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1"/>
              </w:rPr>
              <w:t>Common Stock ($5.00 par value)</w:t>
            </w:r>
          </w:p>
        </w:tc>
        <w:tc>
          <w:tcPr>
            <w:tcW w:w="24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3"/>
              </w:rPr>
              <w:t>BSET</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9"/>
              </w:rPr>
              <w:t>NASDAQ</w:t>
            </w:r>
          </w:p>
        </w:tc>
      </w:tr>
    </w:tbl>
    <w:p>
      <w:pPr>
        <w:spacing w:after="0" w:line="18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12, 2023, Bassett Furniture Industries issued a news release relating to the declaration of a quarterly dividend of $0.18 per share of common stock payable on August 25, 2023, to shareholders of record at the close of business on August 11, 2023. A copy of the news release is attached to the report as Exhibit 99.</w:t>
      </w:r>
    </w:p>
    <w:p>
      <w:pPr>
        <w:spacing w:after="0" w:line="200" w:lineRule="exact"/>
        <w:rPr>
          <w:sz w:val="20"/>
          <w:szCs w:val="20"/>
          <w:color w:val="auto"/>
        </w:rPr>
      </w:pP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EE"/>
        </w:rPr>
        <w:t>News release issued by Bassett Furniture Industries, Inc. on July 12, 2023.</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left="52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July 12, 2023</w:t>
            </w:r>
          </w:p>
        </w:tc>
        <w:tc>
          <w:tcPr>
            <w:tcW w:w="7940" w:type="dxa"/>
            <w:vAlign w:val="bottom"/>
            <w:gridSpan w:val="2"/>
          </w:tcPr>
          <w:p>
            <w:pPr>
              <w:jc w:val="right"/>
              <w:ind w:right="4270"/>
              <w:spacing w:after="0"/>
              <w:rPr>
                <w:sz w:val="20"/>
                <w:szCs w:val="20"/>
                <w:color w:val="auto"/>
              </w:rPr>
            </w:pPr>
            <w:r>
              <w:rPr>
                <w:rFonts w:ascii="Arial" w:cs="Arial" w:eastAsia="Arial" w:hAnsi="Arial"/>
                <w:sz w:val="18"/>
                <w:szCs w:val="18"/>
                <w:color w:val="auto"/>
              </w:rPr>
              <w:t>By: /s/ J. Michael Daniel</w:t>
            </w:r>
          </w:p>
        </w:tc>
      </w:tr>
      <w:tr>
        <w:trPr>
          <w:trHeight w:val="195"/>
        </w:trPr>
        <w:tc>
          <w:tcPr>
            <w:tcW w:w="2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180" w:type="dxa"/>
            <w:vAlign w:val="bottom"/>
            <w:tcBorders>
              <w:top w:val="single" w:sz="8" w:color="auto"/>
            </w:tcBorders>
          </w:tcPr>
          <w:p>
            <w:pPr>
              <w:jc w:val="right"/>
              <w:ind w:right="4270"/>
              <w:spacing w:after="0" w:line="195" w:lineRule="exact"/>
              <w:rPr>
                <w:sz w:val="20"/>
                <w:szCs w:val="20"/>
                <w:color w:val="auto"/>
              </w:rPr>
            </w:pPr>
            <w:r>
              <w:rPr>
                <w:rFonts w:ascii="Arial" w:cs="Arial" w:eastAsia="Arial" w:hAnsi="Arial"/>
                <w:sz w:val="18"/>
                <w:szCs w:val="18"/>
                <w:color w:val="auto"/>
              </w:rPr>
              <w:t>/s/ J. Michael Daniel</w:t>
            </w:r>
          </w:p>
        </w:tc>
      </w:tr>
      <w:tr>
        <w:trPr>
          <w:trHeight w:val="230"/>
        </w:trPr>
        <w:tc>
          <w:tcPr>
            <w:tcW w:w="2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180" w:type="dxa"/>
            <w:vAlign w:val="bottom"/>
          </w:tcPr>
          <w:p>
            <w:pPr>
              <w:jc w:val="right"/>
              <w:ind w:right="590"/>
              <w:spacing w:after="0"/>
              <w:rPr>
                <w:sz w:val="20"/>
                <w:szCs w:val="20"/>
                <w:color w:val="auto"/>
              </w:rPr>
            </w:pPr>
            <w:r>
              <w:rPr>
                <w:rFonts w:ascii="Arial" w:cs="Arial" w:eastAsia="Arial" w:hAnsi="Arial"/>
                <w:sz w:val="18"/>
                <w:szCs w:val="18"/>
                <w:color w:val="auto"/>
                <w:w w:val="99"/>
              </w:rPr>
              <w:t>Title: Senior Vice President – Chief Financial &amp; Administrative Officer</w:t>
            </w:r>
          </w:p>
        </w:tc>
      </w:tr>
    </w:tbl>
    <w:p>
      <w:pPr>
        <w:sectPr>
          <w:pgSz w:w="11900" w:h="16838" w:orient="portrait"/>
          <w:cols w:equalWidth="0" w:num="1">
            <w:col w:w="10680"/>
          </w:cols>
          <w:pgMar w:left="320" w:top="584" w:right="8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131570" cy="368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157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vMerge w:val="restart"/>
          </w:tcPr>
          <w:p>
            <w:pPr>
              <w:spacing w:after="0"/>
              <w:rPr>
                <w:sz w:val="20"/>
                <w:szCs w:val="20"/>
                <w:color w:val="auto"/>
              </w:rPr>
            </w:pPr>
            <w:r>
              <w:rPr>
                <w:rFonts w:ascii="Arial" w:cs="Arial" w:eastAsia="Arial" w:hAnsi="Arial"/>
                <w:sz w:val="18"/>
                <w:szCs w:val="18"/>
                <w:color w:val="auto"/>
              </w:rPr>
              <w:t>Bassett Furniture Industries, Inc.</w:t>
            </w:r>
          </w:p>
        </w:tc>
        <w:tc>
          <w:tcPr>
            <w:tcW w:w="5760" w:type="dxa"/>
            <w:vAlign w:val="bottom"/>
          </w:tcPr>
          <w:p>
            <w:pPr>
              <w:ind w:left="1620"/>
              <w:spacing w:after="0"/>
              <w:rPr>
                <w:sz w:val="20"/>
                <w:szCs w:val="20"/>
                <w:color w:val="auto"/>
              </w:rPr>
            </w:pPr>
            <w:r>
              <w:rPr>
                <w:rFonts w:ascii="Arial" w:cs="Arial" w:eastAsia="Arial" w:hAnsi="Arial"/>
                <w:sz w:val="18"/>
                <w:szCs w:val="18"/>
                <w:b w:val="1"/>
                <w:bCs w:val="1"/>
                <w:color w:val="auto"/>
              </w:rPr>
              <w:t>J. Michael Daniel, Senior Vice</w:t>
            </w:r>
          </w:p>
        </w:tc>
        <w:tc>
          <w:tcPr>
            <w:tcW w:w="0" w:type="dxa"/>
            <w:vAlign w:val="bottom"/>
          </w:tcPr>
          <w:p>
            <w:pPr>
              <w:spacing w:after="0"/>
              <w:rPr>
                <w:sz w:val="1"/>
                <w:szCs w:val="1"/>
                <w:color w:val="auto"/>
              </w:rPr>
            </w:pPr>
          </w:p>
        </w:tc>
      </w:tr>
      <w:tr>
        <w:trPr>
          <w:trHeight w:val="112"/>
        </w:trPr>
        <w:tc>
          <w:tcPr>
            <w:tcW w:w="4000" w:type="dxa"/>
            <w:vAlign w:val="bottom"/>
            <w:vMerge w:val="continue"/>
          </w:tcPr>
          <w:p>
            <w:pPr>
              <w:spacing w:after="0"/>
              <w:rPr>
                <w:sz w:val="9"/>
                <w:szCs w:val="9"/>
                <w:color w:val="auto"/>
              </w:rPr>
            </w:pPr>
          </w:p>
        </w:tc>
        <w:tc>
          <w:tcPr>
            <w:tcW w:w="576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President and Chief Financial</w:t>
            </w:r>
          </w:p>
        </w:tc>
        <w:tc>
          <w:tcPr>
            <w:tcW w:w="0" w:type="dxa"/>
            <w:vAlign w:val="bottom"/>
          </w:tcPr>
          <w:p>
            <w:pPr>
              <w:spacing w:after="0"/>
              <w:rPr>
                <w:sz w:val="1"/>
                <w:szCs w:val="1"/>
                <w:color w:val="auto"/>
              </w:rPr>
            </w:pPr>
          </w:p>
        </w:tc>
      </w:tr>
      <w:tr>
        <w:trPr>
          <w:trHeight w:val="104"/>
        </w:trPr>
        <w:tc>
          <w:tcPr>
            <w:tcW w:w="4000" w:type="dxa"/>
            <w:vAlign w:val="bottom"/>
            <w:vMerge w:val="restart"/>
          </w:tcPr>
          <w:p>
            <w:pPr>
              <w:spacing w:after="0"/>
              <w:rPr>
                <w:sz w:val="20"/>
                <w:szCs w:val="20"/>
                <w:color w:val="auto"/>
              </w:rPr>
            </w:pPr>
            <w:r>
              <w:rPr>
                <w:rFonts w:ascii="Arial" w:cs="Arial" w:eastAsia="Arial" w:hAnsi="Arial"/>
                <w:sz w:val="18"/>
                <w:szCs w:val="18"/>
                <w:color w:val="auto"/>
              </w:rPr>
              <w:t>P.O. Box 626</w:t>
            </w:r>
          </w:p>
        </w:tc>
        <w:tc>
          <w:tcPr>
            <w:tcW w:w="5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000" w:type="dxa"/>
            <w:vAlign w:val="bottom"/>
            <w:vMerge w:val="continue"/>
          </w:tcPr>
          <w:p>
            <w:pPr>
              <w:spacing w:after="0"/>
              <w:rPr>
                <w:sz w:val="9"/>
                <w:szCs w:val="9"/>
                <w:color w:val="auto"/>
              </w:rPr>
            </w:pPr>
          </w:p>
        </w:tc>
        <w:tc>
          <w:tcPr>
            <w:tcW w:w="576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Officer</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Arial" w:cs="Arial" w:eastAsia="Arial" w:hAnsi="Arial"/>
                <w:sz w:val="18"/>
                <w:szCs w:val="18"/>
                <w:color w:val="auto"/>
              </w:rPr>
              <w:t>Bassett, VA 24055</w:t>
            </w:r>
          </w:p>
        </w:tc>
        <w:tc>
          <w:tcPr>
            <w:tcW w:w="5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5760" w:type="dxa"/>
            <w:vAlign w:val="bottom"/>
            <w:vMerge w:val="restart"/>
          </w:tcPr>
          <w:p>
            <w:pPr>
              <w:ind w:left="1620"/>
              <w:spacing w:after="0"/>
              <w:rPr>
                <w:sz w:val="20"/>
                <w:szCs w:val="20"/>
                <w:color w:val="auto"/>
              </w:rPr>
            </w:pPr>
            <w:r>
              <w:rPr>
                <w:rFonts w:ascii="Arial" w:cs="Arial" w:eastAsia="Arial" w:hAnsi="Arial"/>
                <w:sz w:val="18"/>
                <w:szCs w:val="18"/>
                <w:color w:val="auto"/>
              </w:rPr>
              <w:t>(276) 629-6614 - Investors</w:t>
            </w: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5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4000" w:type="dxa"/>
            <w:vAlign w:val="bottom"/>
            <w:vMerge w:val="restart"/>
          </w:tcPr>
          <w:p>
            <w:pPr>
              <w:spacing w:after="0"/>
              <w:rPr>
                <w:sz w:val="20"/>
                <w:szCs w:val="20"/>
                <w:color w:val="auto"/>
              </w:rPr>
            </w:pPr>
            <w:r>
              <w:rPr>
                <w:rFonts w:ascii="Arial" w:cs="Arial" w:eastAsia="Arial" w:hAnsi="Arial"/>
                <w:sz w:val="18"/>
                <w:szCs w:val="18"/>
                <w:color w:val="auto"/>
              </w:rPr>
              <w:t>For Immediate Release</w:t>
            </w:r>
          </w:p>
        </w:tc>
        <w:tc>
          <w:tcPr>
            <w:tcW w:w="5760" w:type="dxa"/>
            <w:vAlign w:val="bottom"/>
          </w:tcPr>
          <w:p>
            <w:pPr>
              <w:ind w:left="1620"/>
              <w:spacing w:after="0"/>
              <w:rPr>
                <w:sz w:val="20"/>
                <w:szCs w:val="20"/>
                <w:color w:val="auto"/>
              </w:rPr>
            </w:pPr>
            <w:r>
              <w:rPr>
                <w:rFonts w:ascii="Arial" w:cs="Arial" w:eastAsia="Arial" w:hAnsi="Arial"/>
                <w:sz w:val="18"/>
                <w:szCs w:val="18"/>
                <w:b w:val="1"/>
                <w:bCs w:val="1"/>
                <w:color w:val="auto"/>
                <w:w w:val="90"/>
              </w:rPr>
              <w:t>Peter D. Morrison, Vice President of Communications</w:t>
            </w: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5760" w:type="dxa"/>
            <w:vAlign w:val="bottom"/>
            <w:vMerge w:val="restart"/>
          </w:tcPr>
          <w:p>
            <w:pPr>
              <w:ind w:left="1620"/>
              <w:spacing w:after="0"/>
              <w:rPr>
                <w:sz w:val="20"/>
                <w:szCs w:val="20"/>
                <w:color w:val="auto"/>
              </w:rPr>
            </w:pPr>
            <w:r>
              <w:rPr>
                <w:rFonts w:ascii="Arial" w:cs="Arial" w:eastAsia="Arial" w:hAnsi="Arial"/>
                <w:sz w:val="18"/>
                <w:szCs w:val="18"/>
                <w:color w:val="auto"/>
              </w:rPr>
              <w:t>(276) 629-6387 – Media</w:t>
            </w: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5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Bassett Furniture News Release</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Bassett Increases Quarterly Dividend by 12.5%</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(Bassett, Va.) – July 12, 2023–Bassett Furniture Industries, Inc. (Nasdaq: BSET) announced today that its Board of Directors has increased the quarterly dividend by 12.5%, declaring a regular quarterly dividend of $0.18 per share of common stock, payable on August 25, 2023, to shareholders of record at the close of business on August 11,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Bassett Furniture Industries, Inc.</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Bassett Furniture Industries, Inc. (NASDAQ:BSET), is a leading manufacturer and marketer of high quality home furnishings. With 91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For more information, visit the Company’s website at bassettfurniture.com. (BSET-E)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2023-07-12T16:25:42Z</dcterms:created>
  <dcterms:modified xsi:type="dcterms:W3CDTF">2023-07-12T16:25:42Z</dcterms:modified>
</cp:coreProperties>
</file>