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 (Amendment No. 8)</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Bassett Furniture Industries, Incorporated</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Common Stock</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52" w:lineRule="exact"/>
        <w:rPr>
          <w:sz w:val="24"/>
          <w:szCs w:val="24"/>
          <w:color w:val="auto"/>
        </w:rPr>
      </w:pPr>
    </w:p>
    <w:p>
      <w:pPr>
        <w:ind w:left="3680"/>
        <w:spacing w:after="0"/>
        <w:rPr>
          <w:sz w:val="20"/>
          <w:szCs w:val="20"/>
          <w:color w:val="auto"/>
        </w:rPr>
      </w:pPr>
      <w:r>
        <w:rPr>
          <w:rFonts w:ascii="Arial" w:cs="Arial" w:eastAsia="Arial" w:hAnsi="Arial"/>
          <w:sz w:val="22"/>
          <w:szCs w:val="22"/>
          <w:b w:val="1"/>
          <w:bCs w:val="1"/>
          <w:color w:val="auto"/>
        </w:rPr>
        <w:t>________</w:t>
      </w:r>
      <w:r>
        <w:rPr>
          <w:rFonts w:ascii="Arial" w:cs="Arial" w:eastAsia="Arial" w:hAnsi="Arial"/>
          <w:sz w:val="22"/>
          <w:szCs w:val="22"/>
          <w:u w:val="single" w:color="auto"/>
          <w:color w:val="auto"/>
        </w:rPr>
        <w:t>070203104</w:t>
      </w:r>
      <w:r>
        <w:rPr>
          <w:rFonts w:ascii="Arial" w:cs="Arial" w:eastAsia="Arial" w:hAnsi="Arial"/>
          <w:sz w:val="22"/>
          <w:szCs w:val="22"/>
          <w:color w:val="auto"/>
        </w:rPr>
        <w:t>_________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(CUSIP Number)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David Goldman</w:t>
      </w:r>
    </w:p>
    <w:p>
      <w:pPr>
        <w:jc w:val="center"/>
        <w:ind w:right="-19"/>
        <w:spacing w:after="0" w:line="238" w:lineRule="auto"/>
        <w:rPr>
          <w:sz w:val="20"/>
          <w:szCs w:val="20"/>
          <w:color w:val="auto"/>
        </w:rPr>
      </w:pPr>
      <w:r>
        <w:rPr>
          <w:rFonts w:ascii="Arial" w:cs="Arial" w:eastAsia="Arial" w:hAnsi="Arial"/>
          <w:sz w:val="22"/>
          <w:szCs w:val="22"/>
          <w:color w:val="auto"/>
        </w:rPr>
        <w:t>GAMCO Investors, Inc.</w:t>
      </w:r>
    </w:p>
    <w:p>
      <w:pPr>
        <w:jc w:val="center"/>
        <w:ind w:right="-19"/>
        <w:spacing w:after="0" w:line="230" w:lineRule="auto"/>
        <w:rPr>
          <w:sz w:val="20"/>
          <w:szCs w:val="20"/>
          <w:color w:val="auto"/>
        </w:rPr>
      </w:pPr>
      <w:r>
        <w:rPr>
          <w:rFonts w:ascii="Arial" w:cs="Arial" w:eastAsia="Arial" w:hAnsi="Arial"/>
          <w:sz w:val="22"/>
          <w:szCs w:val="22"/>
          <w:color w:val="auto"/>
        </w:rPr>
        <w:t>One Corporate Center</w:t>
      </w:r>
    </w:p>
    <w:p>
      <w:pPr>
        <w:jc w:val="center"/>
        <w:ind w:right="-19"/>
        <w:spacing w:after="0" w:line="231" w:lineRule="auto"/>
        <w:rPr>
          <w:sz w:val="20"/>
          <w:szCs w:val="20"/>
          <w:color w:val="auto"/>
        </w:rPr>
      </w:pPr>
      <w:r>
        <w:rPr>
          <w:rFonts w:ascii="Arial" w:cs="Arial" w:eastAsia="Arial" w:hAnsi="Arial"/>
          <w:sz w:val="22"/>
          <w:szCs w:val="22"/>
          <w:color w:val="auto"/>
        </w:rPr>
        <w:t>Rye, New York 10580-1435</w:t>
      </w:r>
    </w:p>
    <w:p>
      <w:pPr>
        <w:jc w:val="center"/>
        <w:ind w:right="-19"/>
        <w:spacing w:after="0" w:line="230" w:lineRule="auto"/>
        <w:rPr>
          <w:sz w:val="20"/>
          <w:szCs w:val="20"/>
          <w:color w:val="auto"/>
        </w:rPr>
      </w:pPr>
      <w:r>
        <w:rPr>
          <w:rFonts w:ascii="Arial" w:cs="Arial" w:eastAsia="Arial" w:hAnsi="Arial"/>
          <w:sz w:val="22"/>
          <w:szCs w:val="22"/>
          <w:color w:val="auto"/>
        </w:rPr>
        <w:t>(914) 921-5000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Address and Telephone Number of Person Authorized to Receive Notices and Communications)</w:t>
      </w:r>
    </w:p>
    <w:p>
      <w:pPr>
        <w:spacing w:after="0" w:line="200" w:lineRule="exact"/>
        <w:rPr>
          <w:sz w:val="24"/>
          <w:szCs w:val="24"/>
          <w:color w:val="auto"/>
        </w:rPr>
      </w:pPr>
    </w:p>
    <w:p>
      <w:pPr>
        <w:spacing w:after="0" w:line="258" w:lineRule="exact"/>
        <w:rPr>
          <w:sz w:val="24"/>
          <w:szCs w:val="24"/>
          <w:color w:val="auto"/>
        </w:rPr>
      </w:pPr>
    </w:p>
    <w:p>
      <w:pPr>
        <w:ind w:left="2540"/>
        <w:spacing w:after="0"/>
        <w:rPr>
          <w:sz w:val="20"/>
          <w:szCs w:val="20"/>
          <w:color w:val="auto"/>
        </w:rPr>
      </w:pPr>
      <w:r>
        <w:rPr>
          <w:rFonts w:ascii="Arial" w:cs="Arial" w:eastAsia="Arial" w:hAnsi="Arial"/>
          <w:sz w:val="22"/>
          <w:szCs w:val="22"/>
          <w:color w:val="auto"/>
        </w:rPr>
        <w:t xml:space="preserve">______________________ </w:t>
      </w:r>
      <w:r>
        <w:rPr>
          <w:rFonts w:ascii="Arial" w:cs="Arial" w:eastAsia="Arial" w:hAnsi="Arial"/>
          <w:sz w:val="22"/>
          <w:szCs w:val="22"/>
          <w:u w:val="single" w:color="auto"/>
          <w:color w:val="auto"/>
        </w:rPr>
        <w:t>April 9, 2020</w:t>
      </w:r>
      <w:r>
        <w:rPr>
          <w:rFonts w:ascii="Arial" w:cs="Arial" w:eastAsia="Arial" w:hAnsi="Arial"/>
          <w:sz w:val="22"/>
          <w:szCs w:val="22"/>
          <w:color w:val="auto"/>
        </w:rPr>
        <w:t>________________________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CUSIP No. 070203104</w:t>
      </w:r>
    </w:p>
    <w:p>
      <w:pPr>
        <w:spacing w:after="0" w:line="20" w:lineRule="exact"/>
        <w:rPr>
          <w:sz w:val="20"/>
          <w:szCs w:val="20"/>
          <w:color w:val="auto"/>
        </w:rPr>
      </w:pPr>
    </w:p>
    <w:p>
      <w:pPr>
        <w:ind w:left="840" w:hanging="458"/>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Gabelli Funds, LLC</w:t>
            </w:r>
          </w:p>
        </w:tc>
        <w:tc>
          <w:tcPr>
            <w:tcW w:w="696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I.D. No. 13-4044523</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105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Check the appropriate box if a member of a group (SEE INSTRUCTIONS)  (a)</w:t>
            </w:r>
          </w:p>
        </w:tc>
      </w:tr>
    </w:tbl>
    <w:p>
      <w:pPr>
        <w:spacing w:after="0" w:line="39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right"/>
        <w:ind w:left="980" w:right="7220" w:hanging="598"/>
        <w:spacing w:after="0" w:line="386" w:lineRule="auto"/>
        <w:tabs>
          <w:tab w:leader="none" w:pos="845"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0" w:lineRule="exact"/>
        <w:rPr>
          <w:sz w:val="20"/>
          <w:szCs w:val="20"/>
          <w:color w:val="auto"/>
        </w:rPr>
      </w:pPr>
    </w:p>
    <w:p>
      <w:pPr>
        <w:ind w:left="840" w:hanging="458"/>
        <w:spacing w:after="0"/>
        <w:tabs>
          <w:tab w:leader="none" w:pos="8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660" w:hanging="598"/>
        <w:spacing w:after="0" w:line="282" w:lineRule="auto"/>
        <w:tabs>
          <w:tab w:leader="none" w:pos="84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New York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460" w:type="dxa"/>
            <w:vAlign w:val="bottom"/>
            <w:tcBorders>
              <w:top w:val="single" w:sz="8" w:color="auto"/>
            </w:tcBorders>
          </w:tcPr>
          <w:p>
            <w:pPr>
              <w:ind w:left="1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212,000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212,000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14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460" w:type="dxa"/>
            <w:vAlign w:val="bottom"/>
            <w:vMerge w:val="restart"/>
          </w:tcPr>
          <w:p>
            <w:pPr>
              <w:ind w:left="116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With</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right="5540" w:hanging="832"/>
        <w:spacing w:after="0" w:line="516" w:lineRule="auto"/>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212,000 (Item 5)</w:t>
      </w:r>
    </w:p>
    <w:p>
      <w:pPr>
        <w:ind w:left="840" w:hanging="832"/>
        <w:spacing w:after="0"/>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520" w:hanging="832"/>
        <w:spacing w:after="0" w:line="516" w:lineRule="auto"/>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2.12%</w:t>
      </w:r>
    </w:p>
    <w:p>
      <w:pPr>
        <w:ind w:left="840" w:hanging="832"/>
        <w:spacing w:after="0"/>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CUSIP No. 070203104</w:t>
      </w:r>
    </w:p>
    <w:p>
      <w:pPr>
        <w:spacing w:after="0" w:line="19" w:lineRule="exact"/>
        <w:rPr>
          <w:sz w:val="20"/>
          <w:szCs w:val="20"/>
          <w:color w:val="auto"/>
        </w:rPr>
      </w:pPr>
    </w:p>
    <w:p>
      <w:pPr>
        <w:ind w:left="840" w:hanging="458"/>
        <w:spacing w:after="0"/>
        <w:tabs>
          <w:tab w:leader="none" w:pos="8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GAMCO Asset Management Inc.</w:t>
            </w:r>
          </w:p>
        </w:tc>
        <w:tc>
          <w:tcPr>
            <w:tcW w:w="45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I.D. No. 13-4044521</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6080" w:type="dxa"/>
            <w:vAlign w:val="bottom"/>
          </w:tcPr>
          <w:p>
            <w:pPr>
              <w:ind w:left="180"/>
              <w:spacing w:after="0"/>
              <w:rPr>
                <w:sz w:val="20"/>
                <w:szCs w:val="20"/>
                <w:color w:val="auto"/>
              </w:rPr>
            </w:pPr>
            <w:r>
              <w:rPr>
                <w:rFonts w:ascii="Arial" w:cs="Arial" w:eastAsia="Arial" w:hAnsi="Arial"/>
                <w:sz w:val="18"/>
                <w:szCs w:val="18"/>
                <w:b w:val="1"/>
                <w:bCs w:val="1"/>
                <w:color w:val="auto"/>
                <w:w w:val="94"/>
              </w:rPr>
              <w:t>Check the appropriate box if a member of a group (SEE INSTRUCTIONS)</w:t>
            </w:r>
          </w:p>
        </w:tc>
        <w:tc>
          <w:tcPr>
            <w:tcW w:w="4500" w:type="dxa"/>
            <w:vAlign w:val="bottom"/>
          </w:tcPr>
          <w:p>
            <w:pPr>
              <w:ind w:left="100"/>
              <w:spacing w:after="0"/>
              <w:rPr>
                <w:sz w:val="20"/>
                <w:szCs w:val="20"/>
                <w:color w:val="auto"/>
              </w:rPr>
            </w:pPr>
            <w:r>
              <w:rPr>
                <w:rFonts w:ascii="Arial" w:cs="Arial" w:eastAsia="Arial" w:hAnsi="Arial"/>
                <w:sz w:val="18"/>
                <w:szCs w:val="18"/>
                <w:b w:val="1"/>
                <w:bCs w:val="1"/>
                <w:color w:val="auto"/>
              </w:rPr>
              <w:t>(a)</w:t>
            </w:r>
          </w:p>
        </w:tc>
      </w:tr>
    </w:tbl>
    <w:p>
      <w:pPr>
        <w:spacing w:after="0" w:line="39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both"/>
        <w:ind w:left="900" w:right="7280" w:hanging="518"/>
        <w:spacing w:after="0" w:line="347" w:lineRule="auto"/>
        <w:tabs>
          <w:tab w:leader="none" w:pos="85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3" w:lineRule="exact"/>
        <w:rPr>
          <w:sz w:val="20"/>
          <w:szCs w:val="20"/>
          <w:color w:val="auto"/>
        </w:rPr>
      </w:pPr>
    </w:p>
    <w:p>
      <w:pPr>
        <w:ind w:left="840" w:hanging="458"/>
        <w:spacing w:after="0"/>
        <w:tabs>
          <w:tab w:leader="none" w:pos="8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660" w:hanging="598"/>
        <w:spacing w:after="0" w:line="282" w:lineRule="auto"/>
        <w:tabs>
          <w:tab w:leader="none" w:pos="84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New York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460" w:type="dxa"/>
            <w:vAlign w:val="bottom"/>
            <w:tcBorders>
              <w:top w:val="single" w:sz="8" w:color="auto"/>
            </w:tcBorders>
          </w:tcPr>
          <w:p>
            <w:pPr>
              <w:ind w:left="1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735,852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879,852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14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460" w:type="dxa"/>
            <w:vAlign w:val="bottom"/>
            <w:vMerge w:val="restart"/>
          </w:tcPr>
          <w:p>
            <w:pPr>
              <w:ind w:left="116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With</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right="5540" w:hanging="832"/>
        <w:spacing w:after="0" w:line="516" w:lineRule="auto"/>
        <w:tabs>
          <w:tab w:leader="none" w:pos="8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879,852 (Item 5)</w:t>
      </w:r>
    </w:p>
    <w:p>
      <w:pPr>
        <w:ind w:left="840" w:hanging="832"/>
        <w:spacing w:after="0"/>
        <w:tabs>
          <w:tab w:leader="none" w:pos="8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520" w:hanging="832"/>
        <w:spacing w:after="0" w:line="516" w:lineRule="auto"/>
        <w:tabs>
          <w:tab w:leader="none" w:pos="8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8.81%</w:t>
      </w:r>
    </w:p>
    <w:p>
      <w:pPr>
        <w:ind w:left="840" w:hanging="832"/>
        <w:spacing w:after="0"/>
        <w:tabs>
          <w:tab w:leader="none" w:pos="8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CUSIP No. 070203104</w:t>
      </w:r>
    </w:p>
    <w:p>
      <w:pPr>
        <w:spacing w:after="0" w:line="19" w:lineRule="exact"/>
        <w:rPr>
          <w:sz w:val="20"/>
          <w:szCs w:val="20"/>
          <w:color w:val="auto"/>
        </w:rPr>
      </w:pPr>
    </w:p>
    <w:p>
      <w:pPr>
        <w:ind w:left="840" w:hanging="458"/>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Teton Advisors, Inc.</w:t>
            </w:r>
          </w:p>
        </w:tc>
        <w:tc>
          <w:tcPr>
            <w:tcW w:w="726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I.D. No. 13-4008049</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105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Check the appropriate box if a member of a group (SEE INSTRUCTIONS)  (a)</w:t>
            </w:r>
          </w:p>
        </w:tc>
      </w:tr>
    </w:tbl>
    <w:p>
      <w:pPr>
        <w:spacing w:after="0" w:line="39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both"/>
        <w:ind w:left="840" w:right="7240" w:hanging="458"/>
        <w:spacing w:after="0" w:line="347" w:lineRule="auto"/>
        <w:tabs>
          <w:tab w:leader="none" w:pos="84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 00 – 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3" w:lineRule="exact"/>
        <w:rPr>
          <w:sz w:val="20"/>
          <w:szCs w:val="20"/>
          <w:color w:val="auto"/>
        </w:rPr>
      </w:pPr>
    </w:p>
    <w:p>
      <w:pPr>
        <w:ind w:left="840" w:hanging="458"/>
        <w:spacing w:after="0"/>
        <w:tabs>
          <w:tab w:leader="none" w:pos="8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660" w:hanging="598"/>
        <w:spacing w:after="0" w:line="282" w:lineRule="auto"/>
        <w:tabs>
          <w:tab w:leader="none" w:pos="84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460" w:type="dxa"/>
            <w:vAlign w:val="bottom"/>
            <w:tcBorders>
              <w:top w:val="single" w:sz="8" w:color="auto"/>
            </w:tcBorders>
          </w:tcPr>
          <w:p>
            <w:pPr>
              <w:ind w:left="1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190,000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190,000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14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460" w:type="dxa"/>
            <w:vAlign w:val="bottom"/>
            <w:vMerge w:val="restart"/>
          </w:tcPr>
          <w:p>
            <w:pPr>
              <w:ind w:left="116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With</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right="5540" w:hanging="832"/>
        <w:spacing w:after="0" w:line="516" w:lineRule="auto"/>
        <w:tabs>
          <w:tab w:leader="none" w:pos="8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190,000 (Item 5)</w:t>
      </w:r>
    </w:p>
    <w:p>
      <w:pPr>
        <w:ind w:left="840" w:hanging="832"/>
        <w:spacing w:after="0"/>
        <w:tabs>
          <w:tab w:leader="none" w:pos="8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520" w:hanging="832"/>
        <w:spacing w:after="0" w:line="516" w:lineRule="auto"/>
        <w:tabs>
          <w:tab w:leader="none" w:pos="8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1.90%</w:t>
      </w:r>
    </w:p>
    <w:p>
      <w:pPr>
        <w:ind w:left="840" w:hanging="832"/>
        <w:spacing w:after="0"/>
        <w:tabs>
          <w:tab w:leader="none" w:pos="8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CUSIP No. 070203104</w:t>
      </w:r>
    </w:p>
    <w:p>
      <w:pPr>
        <w:spacing w:after="0" w:line="20" w:lineRule="exact"/>
        <w:rPr>
          <w:sz w:val="20"/>
          <w:szCs w:val="20"/>
          <w:color w:val="auto"/>
        </w:rPr>
      </w:pPr>
    </w:p>
    <w:p>
      <w:pPr>
        <w:ind w:left="840" w:hanging="458"/>
        <w:spacing w:after="0"/>
        <w:tabs>
          <w:tab w:leader="none" w:pos="8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GGCP, Inc.</w:t>
            </w:r>
          </w:p>
        </w:tc>
        <w:tc>
          <w:tcPr>
            <w:tcW w:w="450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I.D. No. 13-3056041</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6080" w:type="dxa"/>
            <w:vAlign w:val="bottom"/>
          </w:tcPr>
          <w:p>
            <w:pPr>
              <w:ind w:left="180"/>
              <w:spacing w:after="0"/>
              <w:rPr>
                <w:sz w:val="20"/>
                <w:szCs w:val="20"/>
                <w:color w:val="auto"/>
              </w:rPr>
            </w:pPr>
            <w:r>
              <w:rPr>
                <w:rFonts w:ascii="Arial" w:cs="Arial" w:eastAsia="Arial" w:hAnsi="Arial"/>
                <w:sz w:val="18"/>
                <w:szCs w:val="18"/>
                <w:b w:val="1"/>
                <w:bCs w:val="1"/>
                <w:color w:val="auto"/>
                <w:w w:val="94"/>
              </w:rPr>
              <w:t>Check the appropriate box if a member of a group (SEE INSTRUCTIONS)</w:t>
            </w:r>
          </w:p>
        </w:tc>
        <w:tc>
          <w:tcPr>
            <w:tcW w:w="4500" w:type="dxa"/>
            <w:vAlign w:val="bottom"/>
          </w:tcPr>
          <w:p>
            <w:pPr>
              <w:ind w:left="100"/>
              <w:spacing w:after="0"/>
              <w:rPr>
                <w:sz w:val="20"/>
                <w:szCs w:val="20"/>
                <w:color w:val="auto"/>
              </w:rPr>
            </w:pPr>
            <w:r>
              <w:rPr>
                <w:rFonts w:ascii="Arial" w:cs="Arial" w:eastAsia="Arial" w:hAnsi="Arial"/>
                <w:sz w:val="18"/>
                <w:szCs w:val="18"/>
                <w:b w:val="1"/>
                <w:bCs w:val="1"/>
                <w:color w:val="auto"/>
              </w:rPr>
              <w:t>(a)</w:t>
            </w:r>
          </w:p>
        </w:tc>
      </w:tr>
    </w:tbl>
    <w:p>
      <w:pPr>
        <w:spacing w:after="0" w:line="395"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right="7280" w:hanging="458"/>
        <w:spacing w:after="0" w:line="282" w:lineRule="auto"/>
        <w:tabs>
          <w:tab w:leader="none" w:pos="8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660" w:hanging="598"/>
        <w:spacing w:after="0" w:line="282" w:lineRule="auto"/>
        <w:tabs>
          <w:tab w:leader="none" w:pos="848"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Wyoming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4"/>
              </w:rPr>
              <w:t>Number Of</w:t>
            </w:r>
          </w:p>
        </w:tc>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54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60" w:type="dxa"/>
            <w:vAlign w:val="bottom"/>
          </w:tcPr>
          <w:p>
            <w:pPr>
              <w:jc w:val="center"/>
              <w:ind w:right="410"/>
              <w:spacing w:after="0"/>
              <w:rPr>
                <w:sz w:val="20"/>
                <w:szCs w:val="20"/>
                <w:color w:val="auto"/>
              </w:rPr>
            </w:pPr>
            <w:r>
              <w:rPr>
                <w:rFonts w:ascii="Arial" w:cs="Arial" w:eastAsia="Arial" w:hAnsi="Arial"/>
                <w:sz w:val="18"/>
                <w:szCs w:val="18"/>
                <w:b w:val="1"/>
                <w:bCs w:val="1"/>
                <w:color w:val="auto"/>
                <w:w w:val="86"/>
              </w:rPr>
              <w:t>Shares</w:t>
            </w:r>
          </w:p>
        </w:tc>
        <w:tc>
          <w:tcPr>
            <w:tcW w:w="24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120"/>
              <w:spacing w:after="0"/>
              <w:rPr>
                <w:sz w:val="20"/>
                <w:szCs w:val="20"/>
                <w:color w:val="auto"/>
              </w:rPr>
            </w:pPr>
            <w:r>
              <w:rPr>
                <w:rFonts w:ascii="Arial" w:cs="Arial" w:eastAsia="Arial" w:hAnsi="Arial"/>
                <w:sz w:val="18"/>
                <w:szCs w:val="18"/>
                <w:b w:val="1"/>
                <w:bCs w:val="1"/>
                <w:color w:val="auto"/>
              </w:rPr>
              <w:t>None</w:t>
            </w:r>
          </w:p>
        </w:tc>
        <w:tc>
          <w:tcPr>
            <w:tcW w:w="4800" w:type="dxa"/>
            <w:vAlign w:val="bottom"/>
          </w:tcPr>
          <w:p>
            <w:pPr>
              <w:ind w:left="120"/>
              <w:spacing w:after="0"/>
              <w:rPr>
                <w:sz w:val="20"/>
                <w:szCs w:val="20"/>
                <w:color w:val="auto"/>
              </w:rPr>
            </w:pPr>
            <w:r>
              <w:rPr>
                <w:rFonts w:ascii="Arial" w:cs="Arial" w:eastAsia="Arial" w:hAnsi="Arial"/>
                <w:sz w:val="18"/>
                <w:szCs w:val="18"/>
                <w:b w:val="1"/>
                <w:bCs w:val="1"/>
                <w:color w:val="auto"/>
              </w:rPr>
              <w:t>(Item 5)</w:t>
            </w: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2860" w:type="dxa"/>
            <w:vAlign w:val="bottom"/>
            <w:vMerge w:val="restart"/>
          </w:tcPr>
          <w:p>
            <w:pPr>
              <w:jc w:val="center"/>
              <w:ind w:right="430"/>
              <w:spacing w:after="0"/>
              <w:rPr>
                <w:sz w:val="20"/>
                <w:szCs w:val="20"/>
                <w:color w:val="auto"/>
              </w:rPr>
            </w:pPr>
            <w:r>
              <w:rPr>
                <w:rFonts w:ascii="Arial" w:cs="Arial" w:eastAsia="Arial" w:hAnsi="Arial"/>
                <w:sz w:val="18"/>
                <w:szCs w:val="18"/>
                <w:b w:val="1"/>
                <w:bCs w:val="1"/>
                <w:color w:val="auto"/>
                <w:w w:val="89"/>
              </w:rPr>
              <w:t>Beneficially</w:t>
            </w: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0" w:type="dxa"/>
            <w:vAlign w:val="bottom"/>
          </w:tcPr>
          <w:p>
            <w:pPr>
              <w:spacing w:after="0"/>
              <w:rPr>
                <w:sz w:val="17"/>
                <w:szCs w:val="17"/>
                <w:color w:val="auto"/>
              </w:rPr>
            </w:pPr>
          </w:p>
        </w:tc>
        <w:tc>
          <w:tcPr>
            <w:tcW w:w="2860" w:type="dxa"/>
            <w:vAlign w:val="bottom"/>
            <w:vMerge w:val="continue"/>
          </w:tcPr>
          <w:p>
            <w:pPr>
              <w:spacing w:after="0"/>
              <w:rPr>
                <w:sz w:val="17"/>
                <w:szCs w:val="17"/>
                <w:color w:val="auto"/>
              </w:rPr>
            </w:pPr>
          </w:p>
        </w:tc>
        <w:tc>
          <w:tcPr>
            <w:tcW w:w="244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5420" w:type="dxa"/>
            <w:vAlign w:val="bottom"/>
            <w:gridSpan w:val="2"/>
          </w:tcPr>
          <w:p>
            <w:pPr>
              <w:ind w:left="12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60" w:type="dxa"/>
            <w:vAlign w:val="bottom"/>
            <w:vMerge w:val="restart"/>
          </w:tcPr>
          <w:p>
            <w:pPr>
              <w:jc w:val="center"/>
              <w:ind w:right="410"/>
              <w:spacing w:after="0"/>
              <w:rPr>
                <w:sz w:val="20"/>
                <w:szCs w:val="20"/>
                <w:color w:val="auto"/>
              </w:rPr>
            </w:pPr>
            <w:r>
              <w:rPr>
                <w:rFonts w:ascii="Arial" w:cs="Arial" w:eastAsia="Arial" w:hAnsi="Arial"/>
                <w:sz w:val="18"/>
                <w:szCs w:val="18"/>
                <w:b w:val="1"/>
                <w:bCs w:val="1"/>
                <w:color w:val="auto"/>
                <w:w w:val="93"/>
              </w:rPr>
              <w:t>Owned</w:t>
            </w:r>
          </w:p>
        </w:tc>
        <w:tc>
          <w:tcPr>
            <w:tcW w:w="24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120"/>
              <w:spacing w:after="0"/>
              <w:rPr>
                <w:sz w:val="20"/>
                <w:szCs w:val="20"/>
                <w:color w:val="auto"/>
              </w:rPr>
            </w:pPr>
            <w:r>
              <w:rPr>
                <w:rFonts w:ascii="Arial" w:cs="Arial" w:eastAsia="Arial" w:hAnsi="Arial"/>
                <w:sz w:val="18"/>
                <w:szCs w:val="18"/>
                <w:b w:val="1"/>
                <w:bCs w:val="1"/>
                <w:color w:val="auto"/>
              </w:rPr>
              <w:t>None</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2860" w:type="dxa"/>
            <w:vAlign w:val="bottom"/>
            <w:vMerge w:val="restart"/>
          </w:tcPr>
          <w:p>
            <w:pPr>
              <w:jc w:val="center"/>
              <w:ind w:right="410"/>
              <w:spacing w:after="0"/>
              <w:rPr>
                <w:sz w:val="20"/>
                <w:szCs w:val="20"/>
                <w:color w:val="auto"/>
              </w:rPr>
            </w:pPr>
            <w:r>
              <w:rPr>
                <w:rFonts w:ascii="Arial" w:cs="Arial" w:eastAsia="Arial" w:hAnsi="Arial"/>
                <w:sz w:val="18"/>
                <w:szCs w:val="18"/>
                <w:b w:val="1"/>
                <w:bCs w:val="1"/>
                <w:color w:val="auto"/>
                <w:w w:val="90"/>
              </w:rPr>
              <w:t>By Each</w:t>
            </w: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0" w:type="dxa"/>
            <w:vAlign w:val="bottom"/>
          </w:tcPr>
          <w:p>
            <w:pPr>
              <w:spacing w:after="0"/>
              <w:rPr>
                <w:sz w:val="17"/>
                <w:szCs w:val="17"/>
                <w:color w:val="auto"/>
              </w:rPr>
            </w:pPr>
          </w:p>
        </w:tc>
        <w:tc>
          <w:tcPr>
            <w:tcW w:w="2860" w:type="dxa"/>
            <w:vAlign w:val="bottom"/>
            <w:vMerge w:val="continue"/>
          </w:tcPr>
          <w:p>
            <w:pPr>
              <w:spacing w:after="0"/>
              <w:rPr>
                <w:sz w:val="17"/>
                <w:szCs w:val="17"/>
                <w:color w:val="auto"/>
              </w:rPr>
            </w:pPr>
          </w:p>
        </w:tc>
        <w:tc>
          <w:tcPr>
            <w:tcW w:w="244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5420" w:type="dxa"/>
            <w:vAlign w:val="bottom"/>
            <w:gridSpan w:val="2"/>
          </w:tcPr>
          <w:p>
            <w:pPr>
              <w:ind w:left="12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60" w:type="dxa"/>
            <w:vAlign w:val="bottom"/>
            <w:vMerge w:val="restart"/>
          </w:tcPr>
          <w:p>
            <w:pPr>
              <w:jc w:val="center"/>
              <w:ind w:right="430"/>
              <w:spacing w:after="0"/>
              <w:rPr>
                <w:sz w:val="20"/>
                <w:szCs w:val="20"/>
                <w:color w:val="auto"/>
              </w:rPr>
            </w:pPr>
            <w:r>
              <w:rPr>
                <w:rFonts w:ascii="Arial" w:cs="Arial" w:eastAsia="Arial" w:hAnsi="Arial"/>
                <w:sz w:val="18"/>
                <w:szCs w:val="18"/>
                <w:b w:val="1"/>
                <w:bCs w:val="1"/>
                <w:color w:val="auto"/>
                <w:w w:val="91"/>
              </w:rPr>
              <w:t>Reporting</w:t>
            </w:r>
          </w:p>
        </w:tc>
        <w:tc>
          <w:tcPr>
            <w:tcW w:w="24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120"/>
              <w:spacing w:after="0"/>
              <w:rPr>
                <w:sz w:val="20"/>
                <w:szCs w:val="20"/>
                <w:color w:val="auto"/>
              </w:rPr>
            </w:pPr>
            <w:r>
              <w:rPr>
                <w:rFonts w:ascii="Arial" w:cs="Arial" w:eastAsia="Arial" w:hAnsi="Arial"/>
                <w:sz w:val="18"/>
                <w:szCs w:val="18"/>
                <w:b w:val="1"/>
                <w:bCs w:val="1"/>
                <w:color w:val="auto"/>
              </w:rPr>
              <w:t>None</w:t>
            </w:r>
          </w:p>
        </w:tc>
        <w:tc>
          <w:tcPr>
            <w:tcW w:w="4800" w:type="dxa"/>
            <w:vAlign w:val="bottom"/>
          </w:tcPr>
          <w:p>
            <w:pPr>
              <w:ind w:left="120"/>
              <w:spacing w:after="0"/>
              <w:rPr>
                <w:sz w:val="20"/>
                <w:szCs w:val="20"/>
                <w:color w:val="auto"/>
              </w:rPr>
            </w:pPr>
            <w:r>
              <w:rPr>
                <w:rFonts w:ascii="Arial" w:cs="Arial" w:eastAsia="Arial" w:hAnsi="Arial"/>
                <w:sz w:val="18"/>
                <w:szCs w:val="18"/>
                <w:b w:val="1"/>
                <w:bCs w:val="1"/>
                <w:color w:val="auto"/>
              </w:rPr>
              <w:t>(Item 5)</w:t>
            </w:r>
          </w:p>
        </w:tc>
        <w:tc>
          <w:tcPr>
            <w:tcW w:w="0" w:type="dxa"/>
            <w:vAlign w:val="bottom"/>
          </w:tcPr>
          <w:p>
            <w:pPr>
              <w:spacing w:after="0"/>
              <w:rPr>
                <w:sz w:val="1"/>
                <w:szCs w:val="1"/>
                <w:color w:val="auto"/>
              </w:rPr>
            </w:pPr>
          </w:p>
        </w:tc>
      </w:tr>
      <w:tr>
        <w:trPr>
          <w:trHeight w:val="241"/>
        </w:trPr>
        <w:tc>
          <w:tcPr>
            <w:tcW w:w="520" w:type="dxa"/>
            <w:vAlign w:val="bottom"/>
          </w:tcPr>
          <w:p>
            <w:pPr>
              <w:spacing w:after="0"/>
              <w:rPr>
                <w:sz w:val="20"/>
                <w:szCs w:val="20"/>
                <w:color w:val="auto"/>
              </w:rPr>
            </w:pPr>
          </w:p>
        </w:tc>
        <w:tc>
          <w:tcPr>
            <w:tcW w:w="2860" w:type="dxa"/>
            <w:vAlign w:val="bottom"/>
            <w:vMerge w:val="restart"/>
          </w:tcPr>
          <w:p>
            <w:pPr>
              <w:jc w:val="center"/>
              <w:ind w:right="410"/>
              <w:spacing w:after="0"/>
              <w:rPr>
                <w:sz w:val="20"/>
                <w:szCs w:val="20"/>
                <w:color w:val="auto"/>
              </w:rPr>
            </w:pPr>
            <w:r>
              <w:rPr>
                <w:rFonts w:ascii="Arial" w:cs="Arial" w:eastAsia="Arial" w:hAnsi="Arial"/>
                <w:sz w:val="18"/>
                <w:szCs w:val="18"/>
                <w:b w:val="1"/>
                <w:bCs w:val="1"/>
                <w:color w:val="auto"/>
                <w:w w:val="85"/>
              </w:rPr>
              <w:t>Person</w:t>
            </w: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244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5420" w:type="dxa"/>
            <w:vAlign w:val="bottom"/>
            <w:gridSpan w:val="2"/>
            <w:vMerge w:val="restart"/>
          </w:tcPr>
          <w:p>
            <w:pPr>
              <w:ind w:left="12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5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5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60" w:type="dxa"/>
            <w:vAlign w:val="bottom"/>
            <w:vMerge w:val="restart"/>
          </w:tcPr>
          <w:p>
            <w:pPr>
              <w:jc w:val="center"/>
              <w:ind w:right="430"/>
              <w:spacing w:after="0"/>
              <w:rPr>
                <w:sz w:val="20"/>
                <w:szCs w:val="20"/>
                <w:color w:val="auto"/>
              </w:rPr>
            </w:pPr>
            <w:r>
              <w:rPr>
                <w:rFonts w:ascii="Arial" w:cs="Arial" w:eastAsia="Arial" w:hAnsi="Arial"/>
                <w:sz w:val="18"/>
                <w:szCs w:val="18"/>
                <w:b w:val="1"/>
                <w:bCs w:val="1"/>
                <w:color w:val="auto"/>
                <w:w w:val="97"/>
              </w:rPr>
              <w:t>With</w:t>
            </w:r>
          </w:p>
        </w:tc>
        <w:tc>
          <w:tcPr>
            <w:tcW w:w="24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2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24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None</w:t>
            </w: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5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5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11</w:t>
            </w:r>
          </w:p>
        </w:tc>
        <w:tc>
          <w:tcPr>
            <w:tcW w:w="5300" w:type="dxa"/>
            <w:vAlign w:val="bottom"/>
            <w:gridSpan w:val="2"/>
          </w:tcPr>
          <w:p>
            <w:pPr>
              <w:ind w:left="320"/>
              <w:spacing w:after="0"/>
              <w:rPr>
                <w:sz w:val="20"/>
                <w:szCs w:val="20"/>
                <w:color w:val="auto"/>
              </w:rPr>
            </w:pPr>
            <w:r>
              <w:rPr>
                <w:rFonts w:ascii="Arial" w:cs="Arial" w:eastAsia="Arial" w:hAnsi="Arial"/>
                <w:sz w:val="18"/>
                <w:szCs w:val="18"/>
                <w:b w:val="1"/>
                <w:bCs w:val="1"/>
                <w:color w:val="auto"/>
                <w:w w:val="90"/>
              </w:rPr>
              <w:t>Aggregate amount beneficially owned by each reporting person</w:t>
            </w:r>
          </w:p>
        </w:tc>
        <w:tc>
          <w:tcPr>
            <w:tcW w:w="6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8"/>
          <w:szCs w:val="18"/>
          <w:b w:val="1"/>
          <w:bCs w:val="1"/>
          <w:color w:val="auto"/>
        </w:rPr>
        <w:t>None</w:t>
        <w:tab/>
        <w:t>(Item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Check box if the aggregate amount in row (11) excludes certain shares</w:t>
      </w:r>
    </w:p>
    <w:p>
      <w:pPr>
        <w:ind w:left="840" w:hanging="832"/>
        <w:spacing w:after="0" w:line="181" w:lineRule="auto"/>
        <w:tabs>
          <w:tab w:leader="none" w:pos="840" w:val="left"/>
        </w:tabs>
        <w:numPr>
          <w:ilvl w:val="0"/>
          <w:numId w:val="24"/>
        </w:numPr>
        <w:rPr>
          <w:rFonts w:ascii="Arial" w:cs="Arial" w:eastAsia="Arial" w:hAnsi="Arial"/>
          <w:sz w:val="28"/>
          <w:szCs w:val="28"/>
          <w:b w:val="1"/>
          <w:bCs w:val="1"/>
          <w:color w:val="auto"/>
          <w:vertAlign w:val="subscript"/>
        </w:rPr>
      </w:pPr>
      <w:r>
        <w:rPr>
          <w:rFonts w:ascii="Arial" w:cs="Arial" w:eastAsia="Arial" w:hAnsi="Arial"/>
          <w:sz w:val="15"/>
          <w:szCs w:val="15"/>
          <w:b w:val="1"/>
          <w:bCs w:val="1"/>
          <w:color w:val="auto"/>
        </w:rPr>
        <w:t>(SEE INSTRUCTIONS) X</w:t>
      </w:r>
    </w:p>
    <w:p>
      <w:pPr>
        <w:spacing w:after="0" w:line="200" w:lineRule="exact"/>
        <w:rPr>
          <w:rFonts w:ascii="Arial" w:cs="Arial" w:eastAsia="Arial" w:hAnsi="Arial"/>
          <w:sz w:val="28"/>
          <w:szCs w:val="28"/>
          <w:b w:val="1"/>
          <w:bCs w:val="1"/>
          <w:color w:val="auto"/>
          <w:vertAlign w:val="subscript"/>
        </w:rPr>
      </w:pPr>
    </w:p>
    <w:p>
      <w:pPr>
        <w:spacing w:after="0" w:line="200" w:lineRule="exact"/>
        <w:rPr>
          <w:rFonts w:ascii="Arial" w:cs="Arial" w:eastAsia="Arial" w:hAnsi="Arial"/>
          <w:sz w:val="28"/>
          <w:szCs w:val="28"/>
          <w:b w:val="1"/>
          <w:bCs w:val="1"/>
          <w:color w:val="auto"/>
          <w:vertAlign w:val="subscript"/>
        </w:rPr>
      </w:pPr>
    </w:p>
    <w:p>
      <w:pPr>
        <w:spacing w:after="0" w:line="338" w:lineRule="exact"/>
        <w:rPr>
          <w:rFonts w:ascii="Arial" w:cs="Arial" w:eastAsia="Arial" w:hAnsi="Arial"/>
          <w:sz w:val="28"/>
          <w:szCs w:val="28"/>
          <w:b w:val="1"/>
          <w:bCs w:val="1"/>
          <w:color w:val="auto"/>
          <w:vertAlign w:val="subscript"/>
        </w:rPr>
      </w:pPr>
    </w:p>
    <w:p>
      <w:pPr>
        <w:ind w:left="840" w:right="6520" w:hanging="832"/>
        <w:spacing w:after="0" w:line="516" w:lineRule="auto"/>
        <w:tabs>
          <w:tab w:leader="none" w:pos="8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0.00%</w:t>
      </w:r>
    </w:p>
    <w:p>
      <w:pPr>
        <w:ind w:left="1020" w:right="6560" w:hanging="1012"/>
        <w:spacing w:after="0" w:line="282" w:lineRule="auto"/>
        <w:tabs>
          <w:tab w:leader="none" w:pos="8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 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CUSIP No. 070203104</w:t>
      </w:r>
    </w:p>
    <w:p>
      <w:pPr>
        <w:spacing w:after="0" w:line="20" w:lineRule="exact"/>
        <w:rPr>
          <w:sz w:val="20"/>
          <w:szCs w:val="20"/>
          <w:color w:val="auto"/>
        </w:rPr>
      </w:pPr>
    </w:p>
    <w:p>
      <w:pPr>
        <w:ind w:left="840" w:hanging="458"/>
        <w:spacing w:after="0"/>
        <w:tabs>
          <w:tab w:leader="none" w:pos="8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GAMCO Investors, Inc.</w:t>
            </w: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I.D. No. 13-4007862</w:t>
            </w:r>
          </w:p>
        </w:tc>
      </w:tr>
      <w:tr>
        <w:trPr>
          <w:trHeight w:val="234"/>
        </w:trPr>
        <w:tc>
          <w:tcPr>
            <w:tcW w:w="660" w:type="dxa"/>
            <w:vAlign w:val="bottom"/>
          </w:tcPr>
          <w:p>
            <w:pPr>
              <w:spacing w:after="0"/>
              <w:rPr>
                <w:sz w:val="20"/>
                <w:szCs w:val="20"/>
                <w:color w:val="auto"/>
              </w:rPr>
            </w:pPr>
          </w:p>
        </w:tc>
        <w:tc>
          <w:tcPr>
            <w:tcW w:w="6040" w:type="dxa"/>
            <w:vAlign w:val="bottom"/>
          </w:tcPr>
          <w:p>
            <w:pPr>
              <w:ind w:left="180"/>
              <w:spacing w:after="0"/>
              <w:rPr>
                <w:sz w:val="20"/>
                <w:szCs w:val="20"/>
                <w:color w:val="auto"/>
              </w:rPr>
            </w:pPr>
            <w:r>
              <w:rPr>
                <w:rFonts w:ascii="Arial" w:cs="Arial" w:eastAsia="Arial" w:hAnsi="Arial"/>
                <w:sz w:val="18"/>
                <w:szCs w:val="18"/>
                <w:b w:val="1"/>
                <w:bCs w:val="1"/>
                <w:color w:val="auto"/>
                <w:w w:val="94"/>
              </w:rPr>
              <w:t>Check the appropriate box if a member of a group (SEE INSTRUCTIONS)</w:t>
            </w:r>
          </w:p>
        </w:tc>
        <w:tc>
          <w:tcPr>
            <w:tcW w:w="4540" w:type="dxa"/>
            <w:vAlign w:val="bottom"/>
          </w:tcPr>
          <w:p>
            <w:pPr>
              <w:ind w:left="140"/>
              <w:spacing w:after="0"/>
              <w:rPr>
                <w:sz w:val="20"/>
                <w:szCs w:val="20"/>
                <w:color w:val="auto"/>
              </w:rPr>
            </w:pPr>
            <w:r>
              <w:rPr>
                <w:rFonts w:ascii="Arial" w:cs="Arial" w:eastAsia="Arial" w:hAnsi="Arial"/>
                <w:sz w:val="18"/>
                <w:szCs w:val="18"/>
                <w:b w:val="1"/>
                <w:bCs w:val="1"/>
                <w:color w:val="auto"/>
              </w:rPr>
              <w:t>(a)</w:t>
            </w:r>
          </w:p>
        </w:tc>
      </w:tr>
      <w:tr>
        <w:trPr>
          <w:trHeight w:val="630"/>
        </w:trPr>
        <w:tc>
          <w:tcPr>
            <w:tcW w:w="6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540" w:type="dxa"/>
            <w:vAlign w:val="bottom"/>
          </w:tcPr>
          <w:p>
            <w:pPr>
              <w:ind w:left="620"/>
              <w:spacing w:after="0"/>
              <w:rPr>
                <w:sz w:val="20"/>
                <w:szCs w:val="20"/>
                <w:color w:val="auto"/>
              </w:rPr>
            </w:pPr>
            <w:r>
              <w:rPr>
                <w:rFonts w:ascii="Arial" w:cs="Arial" w:eastAsia="Arial" w:hAnsi="Arial"/>
                <w:sz w:val="18"/>
                <w:szCs w:val="18"/>
                <w:b w:val="1"/>
                <w:bCs w:val="1"/>
                <w:color w:val="auto"/>
              </w:rPr>
              <w:t>(b)</w:t>
            </w:r>
          </w:p>
        </w:tc>
      </w:tr>
      <w:tr>
        <w:trPr>
          <w:trHeight w:val="223"/>
        </w:trPr>
        <w:tc>
          <w:tcPr>
            <w:tcW w:w="66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tcPr>
          <w:p>
            <w:pPr>
              <w:spacing w:after="0"/>
              <w:rPr>
                <w:sz w:val="19"/>
                <w:szCs w:val="19"/>
                <w:color w:val="auto"/>
              </w:rPr>
            </w:pP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3</w:t>
            </w:r>
          </w:p>
        </w:tc>
        <w:tc>
          <w:tcPr>
            <w:tcW w:w="6040" w:type="dxa"/>
            <w:vAlign w:val="bottom"/>
          </w:tcPr>
          <w:p>
            <w:pPr>
              <w:ind w:left="180"/>
              <w:spacing w:after="0"/>
              <w:rPr>
                <w:sz w:val="20"/>
                <w:szCs w:val="20"/>
                <w:color w:val="auto"/>
              </w:rPr>
            </w:pPr>
            <w:r>
              <w:rPr>
                <w:rFonts w:ascii="Arial" w:cs="Arial" w:eastAsia="Arial" w:hAnsi="Arial"/>
                <w:sz w:val="18"/>
                <w:szCs w:val="18"/>
                <w:b w:val="1"/>
                <w:bCs w:val="1"/>
                <w:color w:val="auto"/>
              </w:rPr>
              <w:t>Sec use only</w:t>
            </w:r>
          </w:p>
        </w:tc>
        <w:tc>
          <w:tcPr>
            <w:tcW w:w="4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6" w:lineRule="exact"/>
        <w:rPr>
          <w:sz w:val="20"/>
          <w:szCs w:val="20"/>
          <w:color w:val="auto"/>
        </w:rPr>
      </w:pPr>
    </w:p>
    <w:p>
      <w:pPr>
        <w:ind w:left="840" w:right="7280" w:hanging="458"/>
        <w:spacing w:after="0" w:line="282" w:lineRule="auto"/>
        <w:tabs>
          <w:tab w:leader="none" w:pos="8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40" w:right="7660" w:hanging="558"/>
        <w:spacing w:after="0" w:line="282" w:lineRule="auto"/>
        <w:tabs>
          <w:tab w:leader="none" w:pos="85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460" w:type="dxa"/>
            <w:vAlign w:val="bottom"/>
            <w:tcBorders>
              <w:top w:val="single" w:sz="8" w:color="auto"/>
            </w:tcBorders>
          </w:tcPr>
          <w:p>
            <w:pPr>
              <w:ind w:left="1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460" w:type="dxa"/>
            <w:vAlign w:val="bottom"/>
          </w:tcPr>
          <w:p>
            <w:pPr>
              <w:ind w:left="116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ind w:left="116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14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460" w:type="dxa"/>
            <w:vAlign w:val="bottom"/>
            <w:vMerge w:val="restart"/>
          </w:tcPr>
          <w:p>
            <w:pPr>
              <w:ind w:left="116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With</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3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right="5540" w:hanging="832"/>
        <w:spacing w:after="0" w:line="516" w:lineRule="auto"/>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 (Item 5)</w:t>
      </w: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hanging="832"/>
        <w:spacing w:after="0"/>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(SEE INSTRUCTIONS) X</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2" w:lineRule="exact"/>
        <w:rPr>
          <w:rFonts w:ascii="Arial" w:cs="Arial" w:eastAsia="Arial" w:hAnsi="Arial"/>
          <w:sz w:val="18"/>
          <w:szCs w:val="18"/>
          <w:b w:val="1"/>
          <w:bCs w:val="1"/>
          <w:color w:val="auto"/>
        </w:rPr>
      </w:pPr>
    </w:p>
    <w:p>
      <w:pPr>
        <w:ind w:left="840" w:right="6520" w:hanging="832"/>
        <w:spacing w:after="0" w:line="516" w:lineRule="auto"/>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0.00%</w:t>
      </w:r>
    </w:p>
    <w:p>
      <w:pPr>
        <w:ind w:left="840" w:hanging="832"/>
        <w:spacing w:after="0"/>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CUSIP No. 070203104</w:t>
      </w:r>
    </w:p>
    <w:p>
      <w:pPr>
        <w:spacing w:after="0" w:line="20" w:lineRule="exact"/>
        <w:rPr>
          <w:sz w:val="20"/>
          <w:szCs w:val="20"/>
          <w:color w:val="auto"/>
        </w:rPr>
      </w:pPr>
    </w:p>
    <w:p>
      <w:pPr>
        <w:ind w:left="840" w:hanging="458"/>
        <w:spacing w:after="0"/>
        <w:tabs>
          <w:tab w:leader="none" w:pos="8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p>
      <w:pPr>
        <w:ind w:left="840"/>
        <w:spacing w:after="0"/>
        <w:tabs>
          <w:tab w:leader="none" w:pos="6880" w:val="left"/>
        </w:tabs>
        <w:rPr>
          <w:sz w:val="20"/>
          <w:szCs w:val="20"/>
          <w:color w:val="auto"/>
        </w:rPr>
      </w:pPr>
      <w:r>
        <w:rPr>
          <w:rFonts w:ascii="Arial" w:cs="Arial" w:eastAsia="Arial" w:hAnsi="Arial"/>
          <w:sz w:val="18"/>
          <w:szCs w:val="18"/>
          <w:b w:val="1"/>
          <w:bCs w:val="1"/>
          <w:color w:val="auto"/>
        </w:rPr>
        <w:t>Associated Capital Group, Inc.</w:t>
      </w:r>
      <w:r>
        <w:rPr>
          <w:sz w:val="20"/>
          <w:szCs w:val="20"/>
          <w:color w:val="auto"/>
        </w:rPr>
        <w:tab/>
      </w:r>
      <w:r>
        <w:rPr>
          <w:rFonts w:ascii="Arial" w:cs="Arial" w:eastAsia="Arial" w:hAnsi="Arial"/>
          <w:sz w:val="16"/>
          <w:szCs w:val="16"/>
          <w:b w:val="1"/>
          <w:bCs w:val="1"/>
          <w:color w:val="auto"/>
        </w:rPr>
        <w:t>I.D. No. 47-3965991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(a)</w:t>
      </w:r>
    </w:p>
    <w:p>
      <w:pPr>
        <w:spacing w:after="0" w:line="200" w:lineRule="exact"/>
        <w:rPr>
          <w:sz w:val="20"/>
          <w:szCs w:val="20"/>
          <w:color w:val="auto"/>
        </w:rPr>
      </w:pPr>
    </w:p>
    <w:p>
      <w:pPr>
        <w:spacing w:after="0" w:line="22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right="7280" w:hanging="458"/>
        <w:spacing w:after="0" w:line="282" w:lineRule="auto"/>
        <w:tabs>
          <w:tab w:leader="none" w:pos="8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40" w:right="7660" w:hanging="558"/>
        <w:spacing w:after="0" w:line="282" w:lineRule="auto"/>
        <w:tabs>
          <w:tab w:leader="none" w:pos="85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00" w:type="dxa"/>
            <w:vAlign w:val="bottom"/>
            <w:tcBorders>
              <w:top w:val="single" w:sz="8" w:color="auto"/>
            </w:tcBorders>
          </w:tcPr>
          <w:p>
            <w:pPr>
              <w:ind w:left="1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ind w:left="114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60" w:type="dxa"/>
            <w:vAlign w:val="bottom"/>
            <w:vMerge w:val="continue"/>
          </w:tcPr>
          <w:p>
            <w:pPr>
              <w:spacing w:after="0"/>
              <w:rPr>
                <w:sz w:val="17"/>
                <w:szCs w:val="17"/>
                <w:color w:val="auto"/>
              </w:rPr>
            </w:pPr>
          </w:p>
        </w:tc>
        <w:tc>
          <w:tcPr>
            <w:tcW w:w="138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00" w:type="dxa"/>
            <w:vAlign w:val="bottom"/>
          </w:tcPr>
          <w:p>
            <w:pPr>
              <w:ind w:left="114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ind w:left="114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60" w:type="dxa"/>
            <w:vAlign w:val="bottom"/>
            <w:vMerge w:val="continue"/>
          </w:tcPr>
          <w:p>
            <w:pPr>
              <w:spacing w:after="0"/>
              <w:rPr>
                <w:sz w:val="17"/>
                <w:szCs w:val="17"/>
                <w:color w:val="auto"/>
              </w:rPr>
            </w:pPr>
          </w:p>
        </w:tc>
        <w:tc>
          <w:tcPr>
            <w:tcW w:w="138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00" w:type="dxa"/>
            <w:vAlign w:val="bottom"/>
          </w:tcPr>
          <w:p>
            <w:pPr>
              <w:ind w:left="114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ind w:left="114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60" w:type="dxa"/>
            <w:vAlign w:val="bottom"/>
            <w:vMerge w:val="continue"/>
          </w:tcPr>
          <w:p>
            <w:pPr>
              <w:spacing w:after="0"/>
              <w:rPr>
                <w:sz w:val="11"/>
                <w:szCs w:val="11"/>
                <w:color w:val="auto"/>
              </w:rPr>
            </w:pPr>
          </w:p>
        </w:tc>
        <w:tc>
          <w:tcPr>
            <w:tcW w:w="138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00" w:type="dxa"/>
            <w:vAlign w:val="bottom"/>
            <w:vMerge w:val="restart"/>
          </w:tcPr>
          <w:p>
            <w:pPr>
              <w:ind w:left="114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3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6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360" w:type="dxa"/>
            <w:vAlign w:val="bottom"/>
            <w:vMerge w:val="continue"/>
          </w:tcPr>
          <w:p>
            <w:pPr>
              <w:spacing w:after="0"/>
              <w:rPr>
                <w:sz w:val="13"/>
                <w:szCs w:val="13"/>
                <w:color w:val="auto"/>
              </w:rPr>
            </w:pPr>
          </w:p>
        </w:tc>
        <w:tc>
          <w:tcPr>
            <w:tcW w:w="138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3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6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right="5540" w:hanging="832"/>
        <w:spacing w:after="0" w:line="516" w:lineRule="auto"/>
        <w:tabs>
          <w:tab w:leader="none" w:pos="8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 (Item 5)</w:t>
      </w: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hanging="832"/>
        <w:spacing w:after="0"/>
        <w:tabs>
          <w:tab w:leader="none" w:pos="8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(SEE INSTRUCTIONS) X</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2" w:lineRule="exact"/>
        <w:rPr>
          <w:rFonts w:ascii="Arial" w:cs="Arial" w:eastAsia="Arial" w:hAnsi="Arial"/>
          <w:sz w:val="18"/>
          <w:szCs w:val="18"/>
          <w:b w:val="1"/>
          <w:bCs w:val="1"/>
          <w:color w:val="auto"/>
        </w:rPr>
      </w:pPr>
    </w:p>
    <w:p>
      <w:pPr>
        <w:ind w:left="840" w:right="6520" w:hanging="832"/>
        <w:spacing w:after="0" w:line="516" w:lineRule="auto"/>
        <w:tabs>
          <w:tab w:leader="none" w:pos="8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0.00%</w:t>
      </w:r>
    </w:p>
    <w:p>
      <w:pPr>
        <w:ind w:left="840" w:hanging="832"/>
        <w:spacing w:after="0"/>
        <w:tabs>
          <w:tab w:leader="none" w:pos="8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CUSIP No. 070203104</w:t>
      </w:r>
    </w:p>
    <w:p>
      <w:pPr>
        <w:spacing w:after="0" w:line="19" w:lineRule="exact"/>
        <w:rPr>
          <w:sz w:val="20"/>
          <w:szCs w:val="20"/>
          <w:color w:val="auto"/>
        </w:rPr>
      </w:pPr>
    </w:p>
    <w:p>
      <w:pPr>
        <w:ind w:left="840" w:hanging="458"/>
        <w:spacing w:after="0"/>
        <w:tabs>
          <w:tab w:leader="none" w:pos="8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(a)</w:t>
      </w:r>
    </w:p>
    <w:p>
      <w:pPr>
        <w:spacing w:after="0" w:line="200" w:lineRule="exact"/>
        <w:rPr>
          <w:sz w:val="20"/>
          <w:szCs w:val="20"/>
          <w:color w:val="auto"/>
        </w:rPr>
      </w:pPr>
    </w:p>
    <w:p>
      <w:pPr>
        <w:spacing w:after="0" w:line="22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40" w:right="7280" w:hanging="458"/>
        <w:spacing w:after="0" w:line="282" w:lineRule="auto"/>
        <w:tabs>
          <w:tab w:leader="none" w:pos="8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40" w:hanging="458"/>
        <w:spacing w:after="0"/>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00" w:type="dxa"/>
            <w:vAlign w:val="bottom"/>
            <w:tcBorders>
              <w:top w:val="single" w:sz="8" w:color="auto"/>
            </w:tcBorders>
          </w:tcPr>
          <w:p>
            <w:pPr>
              <w:ind w:left="1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ind w:left="114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60" w:type="dxa"/>
            <w:vAlign w:val="bottom"/>
            <w:vMerge w:val="continue"/>
          </w:tcPr>
          <w:p>
            <w:pPr>
              <w:spacing w:after="0"/>
              <w:rPr>
                <w:sz w:val="17"/>
                <w:szCs w:val="17"/>
                <w:color w:val="auto"/>
              </w:rPr>
            </w:pPr>
          </w:p>
        </w:tc>
        <w:tc>
          <w:tcPr>
            <w:tcW w:w="138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00" w:type="dxa"/>
            <w:vAlign w:val="bottom"/>
          </w:tcPr>
          <w:p>
            <w:pPr>
              <w:ind w:left="114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ind w:left="114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60" w:type="dxa"/>
            <w:vAlign w:val="bottom"/>
            <w:vMerge w:val="continue"/>
          </w:tcPr>
          <w:p>
            <w:pPr>
              <w:spacing w:after="0"/>
              <w:rPr>
                <w:sz w:val="17"/>
                <w:szCs w:val="17"/>
                <w:color w:val="auto"/>
              </w:rPr>
            </w:pPr>
          </w:p>
        </w:tc>
        <w:tc>
          <w:tcPr>
            <w:tcW w:w="138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00" w:type="dxa"/>
            <w:vAlign w:val="bottom"/>
          </w:tcPr>
          <w:p>
            <w:pPr>
              <w:ind w:left="114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ind w:left="114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60" w:type="dxa"/>
            <w:vAlign w:val="bottom"/>
            <w:vMerge w:val="continue"/>
          </w:tcPr>
          <w:p>
            <w:pPr>
              <w:spacing w:after="0"/>
              <w:rPr>
                <w:sz w:val="11"/>
                <w:szCs w:val="11"/>
                <w:color w:val="auto"/>
              </w:rPr>
            </w:pPr>
          </w:p>
        </w:tc>
        <w:tc>
          <w:tcPr>
            <w:tcW w:w="138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00" w:type="dxa"/>
            <w:vAlign w:val="bottom"/>
            <w:vMerge w:val="restart"/>
          </w:tcPr>
          <w:p>
            <w:pPr>
              <w:ind w:left="114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3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6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360" w:type="dxa"/>
            <w:vAlign w:val="bottom"/>
            <w:vMerge w:val="continue"/>
          </w:tcPr>
          <w:p>
            <w:pPr>
              <w:spacing w:after="0"/>
              <w:rPr>
                <w:sz w:val="13"/>
                <w:szCs w:val="13"/>
                <w:color w:val="auto"/>
              </w:rPr>
            </w:pPr>
          </w:p>
        </w:tc>
        <w:tc>
          <w:tcPr>
            <w:tcW w:w="138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3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6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40" w:right="5540" w:hanging="832"/>
        <w:spacing w:after="0" w:line="516" w:lineRule="auto"/>
        <w:tabs>
          <w:tab w:leader="none" w:pos="8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 (Item 5)</w:t>
      </w: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hanging="832"/>
        <w:spacing w:after="0" w:line="180" w:lineRule="auto"/>
        <w:tabs>
          <w:tab w:leader="none" w:pos="840" w:val="left"/>
        </w:tabs>
        <w:numPr>
          <w:ilvl w:val="0"/>
          <w:numId w:val="42"/>
        </w:numPr>
        <w:rPr>
          <w:rFonts w:ascii="Arial" w:cs="Arial" w:eastAsia="Arial" w:hAnsi="Arial"/>
          <w:sz w:val="25"/>
          <w:szCs w:val="25"/>
          <w:b w:val="1"/>
          <w:bCs w:val="1"/>
          <w:color w:val="auto"/>
          <w:vertAlign w:val="subscript"/>
        </w:rPr>
      </w:pPr>
      <w:r>
        <w:rPr>
          <w:rFonts w:ascii="Arial" w:cs="Arial" w:eastAsia="Arial" w:hAnsi="Arial"/>
          <w:sz w:val="14"/>
          <w:szCs w:val="14"/>
          <w:b w:val="1"/>
          <w:bCs w:val="1"/>
          <w:color w:val="auto"/>
        </w:rPr>
        <w:t>(SEE INSTRUCTIONS) X</w:t>
      </w:r>
    </w:p>
    <w:p>
      <w:pPr>
        <w:spacing w:after="0" w:line="200" w:lineRule="exact"/>
        <w:rPr>
          <w:rFonts w:ascii="Arial" w:cs="Arial" w:eastAsia="Arial" w:hAnsi="Arial"/>
          <w:sz w:val="25"/>
          <w:szCs w:val="25"/>
          <w:b w:val="1"/>
          <w:bCs w:val="1"/>
          <w:color w:val="auto"/>
          <w:vertAlign w:val="subscript"/>
        </w:rPr>
      </w:pPr>
    </w:p>
    <w:p>
      <w:pPr>
        <w:spacing w:after="0" w:line="200" w:lineRule="exact"/>
        <w:rPr>
          <w:rFonts w:ascii="Arial" w:cs="Arial" w:eastAsia="Arial" w:hAnsi="Arial"/>
          <w:sz w:val="25"/>
          <w:szCs w:val="25"/>
          <w:b w:val="1"/>
          <w:bCs w:val="1"/>
          <w:color w:val="auto"/>
          <w:vertAlign w:val="subscript"/>
        </w:rPr>
      </w:pPr>
    </w:p>
    <w:p>
      <w:pPr>
        <w:spacing w:after="0" w:line="338" w:lineRule="exact"/>
        <w:rPr>
          <w:rFonts w:ascii="Arial" w:cs="Arial" w:eastAsia="Arial" w:hAnsi="Arial"/>
          <w:sz w:val="25"/>
          <w:szCs w:val="25"/>
          <w:b w:val="1"/>
          <w:bCs w:val="1"/>
          <w:color w:val="auto"/>
          <w:vertAlign w:val="subscript"/>
        </w:rPr>
      </w:pPr>
    </w:p>
    <w:p>
      <w:pPr>
        <w:ind w:left="840" w:right="6520" w:hanging="832"/>
        <w:spacing w:after="0" w:line="516" w:lineRule="auto"/>
        <w:tabs>
          <w:tab w:leader="none" w:pos="8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0.00%</w:t>
      </w:r>
    </w:p>
    <w:p>
      <w:pPr>
        <w:ind w:left="840" w:hanging="832"/>
        <w:spacing w:after="0"/>
        <w:tabs>
          <w:tab w:leader="none" w:pos="8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Item 1.</w:t>
            </w:r>
          </w:p>
        </w:tc>
        <w:tc>
          <w:tcPr>
            <w:tcW w:w="1600" w:type="dxa"/>
            <w:vAlign w:val="bottom"/>
          </w:tcPr>
          <w:p>
            <w:pPr>
              <w:spacing w:after="0"/>
              <w:rPr>
                <w:sz w:val="21"/>
                <w:szCs w:val="21"/>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Security and Issuer</w:t>
            </w:r>
          </w:p>
        </w:tc>
        <w:tc>
          <w:tcPr>
            <w:tcW w:w="6940" w:type="dxa"/>
            <w:vAlign w:val="bottom"/>
          </w:tcPr>
          <w:p>
            <w:pPr>
              <w:spacing w:after="0"/>
              <w:rPr>
                <w:sz w:val="21"/>
                <w:szCs w:val="21"/>
                <w:color w:val="auto"/>
              </w:rPr>
            </w:pPr>
          </w:p>
        </w:tc>
      </w:tr>
      <w:tr>
        <w:trPr>
          <w:trHeight w:val="260"/>
        </w:trPr>
        <w:tc>
          <w:tcPr>
            <w:tcW w:w="960" w:type="dxa"/>
            <w:vAlign w:val="bottom"/>
          </w:tcPr>
          <w:p>
            <w:pPr>
              <w:spacing w:after="0"/>
              <w:rPr>
                <w:sz w:val="22"/>
                <w:szCs w:val="22"/>
                <w:color w:val="auto"/>
              </w:rPr>
            </w:pPr>
          </w:p>
        </w:tc>
        <w:tc>
          <w:tcPr>
            <w:tcW w:w="10200" w:type="dxa"/>
            <w:vAlign w:val="bottom"/>
            <w:gridSpan w:val="3"/>
          </w:tcPr>
          <w:p>
            <w:pPr>
              <w:ind w:left="340"/>
              <w:spacing w:after="0"/>
              <w:rPr>
                <w:sz w:val="20"/>
                <w:szCs w:val="20"/>
                <w:color w:val="auto"/>
              </w:rPr>
            </w:pPr>
            <w:r>
              <w:rPr>
                <w:rFonts w:ascii="Arial" w:cs="Arial" w:eastAsia="Arial" w:hAnsi="Arial"/>
                <w:sz w:val="22"/>
                <w:szCs w:val="22"/>
                <w:color w:val="auto"/>
                <w:w w:val="89"/>
              </w:rPr>
              <w:t>This Amendment No. 8 to Schedule 13D on the Common Stock of Bassett Furniture Industries, Incorporated, (the</w:t>
            </w:r>
          </w:p>
        </w:tc>
      </w:tr>
    </w:tbl>
    <w:p>
      <w:pPr>
        <w:ind w:right="80"/>
        <w:spacing w:after="0" w:line="234" w:lineRule="auto"/>
        <w:rPr>
          <w:sz w:val="20"/>
          <w:szCs w:val="20"/>
          <w:color w:val="auto"/>
        </w:rPr>
      </w:pPr>
      <w:r>
        <w:rPr>
          <w:rFonts w:ascii="Arial" w:cs="Arial" w:eastAsia="Arial" w:hAnsi="Arial"/>
          <w:sz w:val="22"/>
          <w:szCs w:val="22"/>
          <w:color w:val="auto"/>
        </w:rPr>
        <w:t>“Issuer”) is being filed on behalf of the undersigned to amend the Schedule 13D, as amended (the “Schedule 13D”) which was originally filed on March 6, 2014. Unless otherwise indicated, all capitalized terms used herein but not defined herein shall have the same meanings as set forth in the Schedule 13D.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Item 2.</w:t>
            </w:r>
          </w:p>
        </w:tc>
        <w:tc>
          <w:tcPr>
            <w:tcW w:w="1600" w:type="dxa"/>
            <w:vAlign w:val="bottom"/>
          </w:tcPr>
          <w:p>
            <w:pPr>
              <w:spacing w:after="0"/>
              <w:rPr>
                <w:sz w:val="21"/>
                <w:szCs w:val="21"/>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Identity and Background</w:t>
            </w:r>
          </w:p>
        </w:tc>
        <w:tc>
          <w:tcPr>
            <w:tcW w:w="4940" w:type="dxa"/>
            <w:vAlign w:val="bottom"/>
          </w:tcPr>
          <w:p>
            <w:pPr>
              <w:spacing w:after="0"/>
              <w:rPr>
                <w:sz w:val="21"/>
                <w:szCs w:val="21"/>
                <w:color w:val="auto"/>
              </w:rPr>
            </w:pPr>
          </w:p>
        </w:tc>
      </w:tr>
      <w:tr>
        <w:trPr>
          <w:trHeight w:val="242"/>
        </w:trPr>
        <w:tc>
          <w:tcPr>
            <w:tcW w:w="960" w:type="dxa"/>
            <w:vAlign w:val="bottom"/>
          </w:tcPr>
          <w:p>
            <w:pPr>
              <w:spacing w:after="0"/>
              <w:rPr>
                <w:sz w:val="21"/>
                <w:szCs w:val="21"/>
                <w:color w:val="auto"/>
              </w:rPr>
            </w:pPr>
          </w:p>
        </w:tc>
        <w:tc>
          <w:tcPr>
            <w:tcW w:w="8700" w:type="dxa"/>
            <w:vAlign w:val="bottom"/>
            <w:gridSpan w:val="3"/>
          </w:tcPr>
          <w:p>
            <w:pPr>
              <w:ind w:left="340"/>
              <w:spacing w:after="0" w:line="242" w:lineRule="exact"/>
              <w:rPr>
                <w:sz w:val="20"/>
                <w:szCs w:val="20"/>
                <w:color w:val="auto"/>
              </w:rPr>
            </w:pPr>
            <w:r>
              <w:rPr>
                <w:rFonts w:ascii="Arial" w:cs="Arial" w:eastAsia="Arial" w:hAnsi="Arial"/>
                <w:sz w:val="22"/>
                <w:szCs w:val="22"/>
                <w:color w:val="auto"/>
              </w:rPr>
              <w:t>Item 2 to Schedule 13D is amended, in pertinent part, as follows:</w:t>
            </w:r>
          </w:p>
        </w:tc>
      </w:tr>
      <w:tr>
        <w:trPr>
          <w:trHeight w:val="261"/>
        </w:trPr>
        <w:tc>
          <w:tcPr>
            <w:tcW w:w="960" w:type="dxa"/>
            <w:vAlign w:val="bottom"/>
          </w:tcPr>
          <w:p>
            <w:pPr>
              <w:spacing w:after="0"/>
              <w:rPr>
                <w:sz w:val="22"/>
                <w:szCs w:val="22"/>
                <w:color w:val="auto"/>
              </w:rPr>
            </w:pPr>
          </w:p>
        </w:tc>
        <w:tc>
          <w:tcPr>
            <w:tcW w:w="8700" w:type="dxa"/>
            <w:vAlign w:val="bottom"/>
            <w:gridSpan w:val="3"/>
          </w:tcPr>
          <w:p>
            <w:pPr>
              <w:ind w:left="340"/>
              <w:spacing w:after="0"/>
              <w:rPr>
                <w:sz w:val="20"/>
                <w:szCs w:val="20"/>
                <w:color w:val="auto"/>
              </w:rPr>
            </w:pPr>
            <w:r>
              <w:rPr>
                <w:rFonts w:ascii="Arial" w:cs="Arial" w:eastAsia="Arial" w:hAnsi="Arial"/>
                <w:sz w:val="22"/>
                <w:szCs w:val="22"/>
                <w:color w:val="auto"/>
                <w:w w:val="91"/>
              </w:rPr>
              <w:t>This statement is being filed by Mario J. Gabelli (“Mario Gabelli”) and various entities which he</w:t>
            </w:r>
          </w:p>
        </w:tc>
      </w:tr>
    </w:tbl>
    <w:p>
      <w:pPr>
        <w:spacing w:after="0" w:line="230" w:lineRule="auto"/>
        <w:rPr>
          <w:sz w:val="20"/>
          <w:szCs w:val="20"/>
          <w:color w:val="auto"/>
        </w:rPr>
      </w:pPr>
      <w:r>
        <w:rPr>
          <w:rFonts w:ascii="Arial" w:cs="Arial" w:eastAsia="Arial" w:hAnsi="Arial"/>
          <w:sz w:val="22"/>
          <w:szCs w:val="22"/>
          <w:color w:val="auto"/>
        </w:rPr>
        <w:t>directly or indirectly controls or for which he acts as chief investment officer. These entities, except for LICT Corporation (“LICT) and CIBL, Inc. (“CIBL”), engage in various aspects of the securities business, primarily as investment adviser to various institutional and individual clients, including registered investment companies and pension plans, and as general partner or the equivalent of various private investment partnerships or private funds and as a registered broker-dealer. Certain of these entities may also make investments for their own accounts.</w:t>
      </w:r>
    </w:p>
    <w:p>
      <w:pPr>
        <w:spacing w:after="0" w:line="3" w:lineRule="exact"/>
        <w:rPr>
          <w:sz w:val="20"/>
          <w:szCs w:val="20"/>
          <w:color w:val="auto"/>
        </w:rPr>
      </w:pPr>
    </w:p>
    <w:p>
      <w:pPr>
        <w:ind w:right="160" w:firstLine="1296"/>
        <w:spacing w:after="0" w:line="266" w:lineRule="auto"/>
        <w:rPr>
          <w:sz w:val="20"/>
          <w:szCs w:val="20"/>
          <w:color w:val="auto"/>
        </w:rPr>
      </w:pPr>
      <w:r>
        <w:rPr>
          <w:rFonts w:ascii="Arial" w:cs="Arial" w:eastAsia="Arial" w:hAnsi="Arial"/>
          <w:sz w:val="19"/>
          <w:szCs w:val="19"/>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7" w:lineRule="exact"/>
        <w:rPr>
          <w:sz w:val="20"/>
          <w:szCs w:val="20"/>
          <w:color w:val="auto"/>
        </w:rPr>
      </w:pPr>
    </w:p>
    <w:p>
      <w:pPr>
        <w:ind w:right="40" w:firstLine="1296"/>
        <w:spacing w:after="0" w:line="266" w:lineRule="auto"/>
        <w:rPr>
          <w:sz w:val="20"/>
          <w:szCs w:val="20"/>
          <w:color w:val="auto"/>
        </w:rPr>
      </w:pPr>
      <w:r>
        <w:rPr>
          <w:rFonts w:ascii="Arial" w:cs="Arial" w:eastAsia="Arial" w:hAnsi="Arial"/>
          <w:sz w:val="19"/>
          <w:szCs w:val="19"/>
          <w:color w:val="auto"/>
        </w:rPr>
        <w:t>(a), (b) and (c) - This statement is being filed by one or more of the following persons: GGCP, Inc. (“GGCP”), GGCP Holdings LLC (“GGCP Holdings”), GAMCO Investors, Inc. (“GBL”), Associated Capital Group, Inc. (“AC”), Gabelli Funds, LLC (“Gabelli Funds”), GAMCO Asset Management Inc. (“GAMCO”), Teton Advisors, Inc. (“Teton Advisors”), Gabelli</w:t>
      </w:r>
    </w:p>
    <w:p>
      <w:pPr>
        <w:spacing w:after="0" w:line="3" w:lineRule="exact"/>
        <w:rPr>
          <w:sz w:val="20"/>
          <w:szCs w:val="20"/>
          <w:color w:val="auto"/>
        </w:rPr>
      </w:pPr>
    </w:p>
    <w:p>
      <w:pPr>
        <w:ind w:right="80" w:firstLine="8"/>
        <w:spacing w:after="0" w:line="241" w:lineRule="auto"/>
        <w:tabs>
          <w:tab w:leader="none" w:pos="222" w:val="left"/>
        </w:tabs>
        <w:numPr>
          <w:ilvl w:val="0"/>
          <w:numId w:val="43"/>
        </w:numPr>
        <w:rPr>
          <w:rFonts w:ascii="Arial" w:cs="Arial" w:eastAsia="Arial" w:hAnsi="Arial"/>
          <w:sz w:val="21"/>
          <w:szCs w:val="21"/>
          <w:color w:val="auto"/>
        </w:rPr>
      </w:pPr>
      <w:r>
        <w:rPr>
          <w:rFonts w:ascii="Arial" w:cs="Arial" w:eastAsia="Arial" w:hAnsi="Arial"/>
          <w:sz w:val="21"/>
          <w:szCs w:val="21"/>
          <w:color w:val="auto"/>
        </w:rPr>
        <w:t>Company Investment Advisers, Inc. (“GCIA”), Morgan Group Holding Co., (“MGH”), G.research, LLC (“G.research”), MJG Associates, Inc. (“MJG Associates”), Gabelli Foundation, Inc. (“Foundation”), Mario Gabelli, LICT and CIBL. Those of the foregoing persons signing this Schedule 13D are hereinafter referred to as the “Reporting Persons”.</w:t>
      </w:r>
    </w:p>
    <w:p>
      <w:pPr>
        <w:spacing w:after="0" w:line="1" w:lineRule="exact"/>
        <w:rPr>
          <w:rFonts w:ascii="Arial" w:cs="Arial" w:eastAsia="Arial" w:hAnsi="Arial"/>
          <w:sz w:val="21"/>
          <w:szCs w:val="21"/>
          <w:color w:val="auto"/>
        </w:rPr>
      </w:pPr>
    </w:p>
    <w:p>
      <w:pPr>
        <w:ind w:right="20" w:firstLine="1296"/>
        <w:spacing w:after="0" w:line="230" w:lineRule="auto"/>
        <w:rPr>
          <w:rFonts w:ascii="Arial" w:cs="Arial" w:eastAsia="Arial" w:hAnsi="Arial"/>
          <w:sz w:val="21"/>
          <w:szCs w:val="21"/>
          <w:color w:val="auto"/>
        </w:rPr>
      </w:pPr>
      <w:r>
        <w:rPr>
          <w:rFonts w:ascii="Arial" w:cs="Arial" w:eastAsia="Arial" w:hAnsi="Arial"/>
          <w:sz w:val="22"/>
          <w:szCs w:val="22"/>
          <w:color w:val="auto"/>
        </w:rPr>
        <w:t>GGCP makes investments for its own account and is the manager and a member of GGCP Holdings which is the controlling shareholder of GBL and AC. GBL, a public company listed on the New York Stock Exchange,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w:t>
      </w:r>
    </w:p>
    <w:p>
      <w:pPr>
        <w:spacing w:after="0" w:line="2" w:lineRule="exact"/>
        <w:rPr>
          <w:rFonts w:ascii="Arial" w:cs="Arial" w:eastAsia="Arial" w:hAnsi="Arial"/>
          <w:sz w:val="21"/>
          <w:szCs w:val="21"/>
          <w:color w:val="auto"/>
        </w:rPr>
      </w:pPr>
    </w:p>
    <w:p>
      <w:pPr>
        <w:ind w:right="140" w:firstLine="1296"/>
        <w:spacing w:after="0" w:line="241" w:lineRule="auto"/>
        <w:rPr>
          <w:rFonts w:ascii="Arial" w:cs="Arial" w:eastAsia="Arial" w:hAnsi="Arial"/>
          <w:sz w:val="21"/>
          <w:szCs w:val="21"/>
          <w:color w:val="auto"/>
        </w:rPr>
      </w:pPr>
      <w:r>
        <w:rPr>
          <w:rFonts w:ascii="Arial" w:cs="Arial" w:eastAsia="Arial" w:hAnsi="Arial"/>
          <w:sz w:val="21"/>
          <w:szCs w:val="21"/>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1" w:lineRule="exact"/>
        <w:rPr>
          <w:rFonts w:ascii="Arial" w:cs="Arial" w:eastAsia="Arial" w:hAnsi="Arial"/>
          <w:sz w:val="21"/>
          <w:szCs w:val="21"/>
          <w:color w:val="auto"/>
        </w:rPr>
      </w:pPr>
    </w:p>
    <w:p>
      <w:pPr>
        <w:ind w:firstLine="1296"/>
        <w:spacing w:after="0" w:line="241" w:lineRule="auto"/>
        <w:rPr>
          <w:rFonts w:ascii="Arial" w:cs="Arial" w:eastAsia="Arial" w:hAnsi="Arial"/>
          <w:sz w:val="21"/>
          <w:szCs w:val="21"/>
          <w:color w:val="auto"/>
        </w:rPr>
      </w:pPr>
      <w:r>
        <w:rPr>
          <w:rFonts w:ascii="Arial" w:cs="Arial" w:eastAsia="Arial" w:hAnsi="Arial"/>
          <w:sz w:val="21"/>
          <w:szCs w:val="21"/>
          <w:color w:val="auto"/>
        </w:rPr>
        <w:t>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is a general partner or investment manager of a number of funds or partnerships, including Gabelli Associates Fund, L.P., Gabelli Associates Fund II, L.P., Gabelli Associates Limited, Gabelli Associates Limited II E, ALCE Partners, L.P., Gabelli Capital Structure Arbitrage Fund LP, Gabelli Capital Structure Arbitrage Fund Limited, Gabelli Intermediate Credit Fund L.P., GAMA Select Energy + L.P., GAMCO Medical Opportunities L.P., and Gabelli Multimedia Partners, L.P.</w:t>
      </w:r>
    </w:p>
    <w:p>
      <w:pPr>
        <w:spacing w:after="0" w:line="3" w:lineRule="exact"/>
        <w:rPr>
          <w:rFonts w:ascii="Arial" w:cs="Arial" w:eastAsia="Arial" w:hAnsi="Arial"/>
          <w:sz w:val="21"/>
          <w:szCs w:val="21"/>
          <w:color w:val="auto"/>
        </w:rPr>
      </w:pPr>
    </w:p>
    <w:p>
      <w:pPr>
        <w:ind w:right="20" w:firstLine="1296"/>
        <w:spacing w:after="0" w:line="230" w:lineRule="auto"/>
        <w:rPr>
          <w:rFonts w:ascii="Arial" w:cs="Arial" w:eastAsia="Arial" w:hAnsi="Arial"/>
          <w:sz w:val="21"/>
          <w:szCs w:val="21"/>
          <w:color w:val="auto"/>
        </w:rPr>
      </w:pPr>
      <w:r>
        <w:rPr>
          <w:rFonts w:ascii="Arial" w:cs="Arial" w:eastAsia="Arial" w:hAnsi="Arial"/>
          <w:sz w:val="22"/>
          <w:szCs w:val="22"/>
          <w:color w:val="auto"/>
        </w:rPr>
        <w:t>G.research is a wholly owned subsidiary of MGH. MGH in turn is controlled by AC through an 83% ownership interest. G.research, is a broker-dealer registered under the Securities Exchange Act of 1934, as amended (“1934 Act”), which as a part of its business regularly purchases and sells securities for its own account.</w:t>
      </w:r>
    </w:p>
    <w:p>
      <w:pPr>
        <w:spacing w:after="0" w:line="1" w:lineRule="exact"/>
        <w:rPr>
          <w:rFonts w:ascii="Arial" w:cs="Arial" w:eastAsia="Arial" w:hAnsi="Arial"/>
          <w:sz w:val="21"/>
          <w:szCs w:val="21"/>
          <w:color w:val="auto"/>
        </w:rPr>
      </w:pPr>
    </w:p>
    <w:p>
      <w:pPr>
        <w:ind w:firstLine="1296"/>
        <w:spacing w:after="0" w:line="244" w:lineRule="auto"/>
        <w:rPr>
          <w:rFonts w:ascii="Arial" w:cs="Arial" w:eastAsia="Arial" w:hAnsi="Arial"/>
          <w:sz w:val="21"/>
          <w:szCs w:val="21"/>
          <w:color w:val="auto"/>
        </w:rPr>
      </w:pPr>
      <w:r>
        <w:rPr>
          <w:rFonts w:ascii="Arial" w:cs="Arial" w:eastAsia="Arial" w:hAnsi="Arial"/>
          <w:sz w:val="20"/>
          <w:szCs w:val="20"/>
          <w:color w:val="auto"/>
        </w:rPr>
        <w:t xml:space="preserve">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 Five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International Small Cap Fund, The Gabelli Healthcare &amp; Wellness </w:t>
      </w:r>
      <w:r>
        <w:rPr>
          <w:rFonts w:ascii="Arial" w:cs="Arial" w:eastAsia="Arial" w:hAnsi="Arial"/>
          <w:sz w:val="32"/>
          <w:szCs w:val="32"/>
          <w:color w:val="auto"/>
          <w:vertAlign w:val="superscript"/>
        </w:rPr>
        <w:t>Rx</w:t>
      </w:r>
      <w:r>
        <w:rPr>
          <w:rFonts w:ascii="Arial" w:cs="Arial" w:eastAsia="Arial" w:hAnsi="Arial"/>
          <w:sz w:val="20"/>
          <w:szCs w:val="20"/>
          <w:color w:val="auto"/>
        </w:rPr>
        <w:t xml:space="preserve"> Trust, The Gabelli Global Small and Mid Cap Value Trust, Gabelli Value Plus+ Trust, Gabelli Merger Plus+ Trust Plc, The Gabelli Global Financial Services Fund, The Gabelli Global Mini Mites Fund, The Gabelli Go Anywhere Trust, The Gabelli Media Mogul Fund, The Gabelli Pet Parents’ Fund, The Gabelli U.S. Treasury Money Market Fund, Bancroft Fund Ltd. and Ellsworth Growth &amp; Income Fund Ltd. (collectively, the “Funds”), which are registered investment companies. Gabelli Funds is also the investment adviser to The GAMCO International SICAV (sub-funds GAMCO Merger Arbitrage and GAMCO All Cap Value), a UCITS III vehicle.</w:t>
      </w:r>
    </w:p>
    <w:p>
      <w:pPr>
        <w:spacing w:after="0" w:line="6" w:lineRule="exact"/>
        <w:rPr>
          <w:rFonts w:ascii="Arial" w:cs="Arial" w:eastAsia="Arial" w:hAnsi="Arial"/>
          <w:sz w:val="21"/>
          <w:szCs w:val="21"/>
          <w:color w:val="auto"/>
        </w:rPr>
      </w:pPr>
    </w:p>
    <w:p>
      <w:pPr>
        <w:ind w:right="60" w:firstLine="1296"/>
        <w:spacing w:after="0" w:line="202" w:lineRule="auto"/>
        <w:rPr>
          <w:rFonts w:ascii="Arial" w:cs="Arial" w:eastAsia="Arial" w:hAnsi="Arial"/>
          <w:sz w:val="21"/>
          <w:szCs w:val="21"/>
          <w:color w:val="auto"/>
        </w:rPr>
      </w:pPr>
      <w:r>
        <w:rPr>
          <w:rFonts w:ascii="Arial" w:cs="Arial" w:eastAsia="Arial" w:hAnsi="Arial"/>
          <w:sz w:val="21"/>
          <w:szCs w:val="21"/>
          <w:color w:val="auto"/>
        </w:rPr>
        <w:t>Teton Advisors, an investment adviser registered under the Advisers Act, provides discretionary advisory services to The TETON Westwood Mighty Mites</w:t>
      </w:r>
      <w:r>
        <w:rPr>
          <w:rFonts w:ascii="Arial" w:cs="Arial" w:eastAsia="Arial" w:hAnsi="Arial"/>
          <w:sz w:val="33"/>
          <w:szCs w:val="33"/>
          <w:color w:val="auto"/>
          <w:vertAlign w:val="superscript"/>
        </w:rPr>
        <w:t>sm</w:t>
      </w:r>
      <w:r>
        <w:rPr>
          <w:rFonts w:ascii="Arial" w:cs="Arial" w:eastAsia="Arial" w:hAnsi="Arial"/>
          <w:sz w:val="21"/>
          <w:szCs w:val="21"/>
          <w:color w:val="auto"/>
        </w:rPr>
        <w:t xml:space="preserve"> Fund, The TETON Westwood Income Fund, The TETON Westwood SmallCap Equity Fund, TETON Westwood Intermediate Bond Fund, and The TETON Westwood Mid-Cap Equity Fund.</w:t>
      </w:r>
    </w:p>
    <w:p>
      <w:pPr>
        <w:spacing w:after="0" w:line="3" w:lineRule="exact"/>
        <w:rPr>
          <w:rFonts w:ascii="Arial" w:cs="Arial" w:eastAsia="Arial" w:hAnsi="Arial"/>
          <w:sz w:val="21"/>
          <w:szCs w:val="21"/>
          <w:color w:val="auto"/>
        </w:rPr>
      </w:pPr>
    </w:p>
    <w:p>
      <w:pPr>
        <w:ind w:right="120" w:firstLine="1296"/>
        <w:spacing w:after="0" w:line="287" w:lineRule="auto"/>
        <w:rPr>
          <w:rFonts w:ascii="Arial" w:cs="Arial" w:eastAsia="Arial" w:hAnsi="Arial"/>
          <w:sz w:val="21"/>
          <w:szCs w:val="21"/>
          <w:color w:val="auto"/>
        </w:rPr>
      </w:pPr>
      <w:r>
        <w:rPr>
          <w:rFonts w:ascii="Arial" w:cs="Arial" w:eastAsia="Arial" w:hAnsi="Arial"/>
          <w:sz w:val="19"/>
          <w:szCs w:val="19"/>
          <w:color w:val="auto"/>
        </w:rPr>
        <w:t>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w:t>
      </w:r>
    </w:p>
    <w:p>
      <w:pPr>
        <w:sectPr>
          <w:pgSz w:w="11900" w:h="16915" w:orient="portrait"/>
          <w:cols w:equalWidth="0" w:num="1">
            <w:col w:w="11220"/>
          </w:cols>
          <w:pgMar w:left="320" w:top="89" w:right="359" w:bottom="0" w:gutter="0" w:footer="0" w:header="0"/>
        </w:sectPr>
      </w:pPr>
    </w:p>
    <w:bookmarkStart w:id="9" w:name="page10"/>
    <w:bookmarkEnd w:id="9"/>
    <w:p>
      <w:pPr>
        <w:ind w:right="120" w:firstLine="1296"/>
        <w:spacing w:after="0" w:line="239" w:lineRule="auto"/>
        <w:rPr>
          <w:sz w:val="20"/>
          <w:szCs w:val="20"/>
          <w:color w:val="auto"/>
        </w:rPr>
      </w:pPr>
      <w:r>
        <w:rPr>
          <w:rFonts w:ascii="Arial" w:cs="Arial" w:eastAsia="Arial" w:hAnsi="Arial"/>
          <w:sz w:val="22"/>
          <w:szCs w:val="22"/>
          <w:color w:val="auto"/>
        </w:rPr>
        <w:t>The Foundation is a private foundation. Mario Gabelli is the Chairman, a Trustee and the Investment Manager of the Foundation. Elisa M. Wilson is the President of the Foundation.</w:t>
      </w:r>
    </w:p>
    <w:p>
      <w:pPr>
        <w:spacing w:after="0" w:line="1" w:lineRule="exact"/>
        <w:rPr>
          <w:sz w:val="20"/>
          <w:szCs w:val="20"/>
          <w:color w:val="auto"/>
        </w:rPr>
      </w:pPr>
    </w:p>
    <w:p>
      <w:pPr>
        <w:ind w:firstLine="1296"/>
        <w:spacing w:after="0" w:line="266" w:lineRule="auto"/>
        <w:rPr>
          <w:sz w:val="20"/>
          <w:szCs w:val="20"/>
          <w:color w:val="auto"/>
        </w:rPr>
      </w:pPr>
      <w:r>
        <w:rPr>
          <w:rFonts w:ascii="Arial" w:cs="Arial" w:eastAsia="Arial" w:hAnsi="Arial"/>
          <w:sz w:val="19"/>
          <w:szCs w:val="19"/>
          <w:color w:val="auto"/>
        </w:rPr>
        <w:t>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w:t>
      </w:r>
    </w:p>
    <w:p>
      <w:pPr>
        <w:spacing w:after="0" w:line="3" w:lineRule="exact"/>
        <w:rPr>
          <w:sz w:val="20"/>
          <w:szCs w:val="20"/>
          <w:color w:val="auto"/>
        </w:rPr>
      </w:pPr>
    </w:p>
    <w:p>
      <w:pPr>
        <w:ind w:right="100" w:firstLine="1296"/>
        <w:spacing w:after="0" w:line="266" w:lineRule="auto"/>
        <w:rPr>
          <w:sz w:val="20"/>
          <w:szCs w:val="20"/>
          <w:color w:val="auto"/>
        </w:rPr>
      </w:pPr>
      <w:r>
        <w:rPr>
          <w:rFonts w:ascii="Arial" w:cs="Arial" w:eastAsia="Arial" w:hAnsi="Arial"/>
          <w:sz w:val="19"/>
          <w:szCs w:val="19"/>
          <w:color w:val="auto"/>
        </w:rPr>
        <w:t>CIBL is a holding company with interests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w:t>
      </w:r>
    </w:p>
    <w:p>
      <w:pPr>
        <w:spacing w:after="0" w:line="3" w:lineRule="exact"/>
        <w:rPr>
          <w:sz w:val="20"/>
          <w:szCs w:val="20"/>
          <w:color w:val="auto"/>
        </w:rPr>
      </w:pPr>
    </w:p>
    <w:p>
      <w:pPr>
        <w:ind w:right="220" w:firstLine="1296"/>
        <w:spacing w:after="0" w:line="230" w:lineRule="auto"/>
        <w:rPr>
          <w:sz w:val="20"/>
          <w:szCs w:val="20"/>
          <w:color w:val="auto"/>
        </w:rPr>
      </w:pPr>
      <w:r>
        <w:rPr>
          <w:rFonts w:ascii="Arial" w:cs="Arial" w:eastAsia="Arial" w:hAnsi="Arial"/>
          <w:sz w:val="22"/>
          <w:szCs w:val="22"/>
          <w:color w:val="auto"/>
        </w:rPr>
        <w:t>Mario Gabelli is the controlling stockholder, Chief Executive Officer and a director of GGCP and Chairman and Chief Executive Officer of GBL. He is the Executive Chairman of AC. Mario Gabelli is also a member of GGCP Holdings. Mario Gabelli is the controlling shareholder of Teton.</w:t>
      </w:r>
    </w:p>
    <w:p>
      <w:pPr>
        <w:ind w:left="1300"/>
        <w:spacing w:after="0" w:line="232" w:lineRule="auto"/>
        <w:rPr>
          <w:sz w:val="20"/>
          <w:szCs w:val="20"/>
          <w:color w:val="auto"/>
        </w:rPr>
      </w:pPr>
      <w:r>
        <w:rPr>
          <w:rFonts w:ascii="Arial" w:cs="Arial" w:eastAsia="Arial" w:hAnsi="Arial"/>
          <w:sz w:val="22"/>
          <w:szCs w:val="22"/>
          <w:color w:val="auto"/>
        </w:rPr>
        <w:t>The Reporting Persons do not admit that they constitute a group.</w:t>
      </w:r>
    </w:p>
    <w:p>
      <w:pPr>
        <w:ind w:right="20" w:firstLine="1296"/>
        <w:spacing w:after="0" w:line="241" w:lineRule="auto"/>
        <w:rPr>
          <w:sz w:val="20"/>
          <w:szCs w:val="20"/>
          <w:color w:val="auto"/>
        </w:rPr>
      </w:pPr>
      <w:r>
        <w:rPr>
          <w:rFonts w:ascii="Arial" w:cs="Arial" w:eastAsia="Arial" w:hAnsi="Arial"/>
          <w:sz w:val="21"/>
          <w:szCs w:val="21"/>
          <w:color w:val="auto"/>
        </w:rPr>
        <w:t>GAMCO is a New York corporation and GBL, MGH and Teton Advisors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 business office at One Corporate Center, Rye, New York 10580.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w:t>
      </w:r>
    </w:p>
    <w:p>
      <w:pPr>
        <w:spacing w:after="0" w:line="6" w:lineRule="exact"/>
        <w:rPr>
          <w:sz w:val="20"/>
          <w:szCs w:val="20"/>
          <w:color w:val="auto"/>
        </w:rPr>
      </w:pPr>
    </w:p>
    <w:p>
      <w:pPr>
        <w:ind w:right="40" w:firstLine="1296"/>
        <w:spacing w:after="0" w:line="230" w:lineRule="auto"/>
        <w:rPr>
          <w:sz w:val="20"/>
          <w:szCs w:val="20"/>
          <w:color w:val="auto"/>
        </w:rPr>
      </w:pPr>
      <w:r>
        <w:rPr>
          <w:rFonts w:ascii="Arial" w:cs="Arial" w:eastAsia="Arial" w:hAnsi="Arial"/>
          <w:sz w:val="22"/>
          <w:szCs w:val="22"/>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1600" w:hanging="296"/>
        <w:spacing w:after="0" w:line="232" w:lineRule="auto"/>
        <w:tabs>
          <w:tab w:leader="none" w:pos="16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 Not applicable.</w:t>
      </w:r>
    </w:p>
    <w:p>
      <w:pPr>
        <w:ind w:left="1600" w:hanging="296"/>
        <w:spacing w:after="0" w:line="230" w:lineRule="auto"/>
        <w:tabs>
          <w:tab w:leader="none" w:pos="16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 Not applicable.</w:t>
      </w:r>
    </w:p>
    <w:p>
      <w:pPr>
        <w:ind w:left="1580" w:hanging="276"/>
        <w:spacing w:after="0"/>
        <w:tabs>
          <w:tab w:leader="none" w:pos="1580" w:val="left"/>
        </w:tabs>
        <w:numPr>
          <w:ilvl w:val="0"/>
          <w:numId w:val="44"/>
        </w:numPr>
        <w:rPr>
          <w:rFonts w:ascii="Arial" w:cs="Arial" w:eastAsia="Arial" w:hAnsi="Arial"/>
          <w:sz w:val="22"/>
          <w:szCs w:val="22"/>
          <w:color w:val="auto"/>
        </w:rPr>
      </w:pPr>
      <w:r>
        <w:rPr>
          <w:rFonts w:ascii="Arial" w:cs="Arial" w:eastAsia="Arial" w:hAnsi="Arial"/>
          <w:sz w:val="22"/>
          <w:szCs w:val="22"/>
          <w:color w:val="auto"/>
        </w:rPr>
        <w:t>– Reference is made to Schedule I hereto.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Item 5.</w:t>
            </w:r>
          </w:p>
        </w:tc>
        <w:tc>
          <w:tcPr>
            <w:tcW w:w="1600" w:type="dxa"/>
            <w:vAlign w:val="bottom"/>
          </w:tcPr>
          <w:p>
            <w:pPr>
              <w:spacing w:after="0"/>
              <w:rPr>
                <w:sz w:val="21"/>
                <w:szCs w:val="21"/>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Interest In Securities Of The Issuer</w:t>
            </w:r>
          </w:p>
        </w:tc>
        <w:tc>
          <w:tcPr>
            <w:tcW w:w="1320" w:type="dxa"/>
            <w:vAlign w:val="bottom"/>
          </w:tcPr>
          <w:p>
            <w:pPr>
              <w:spacing w:after="0"/>
              <w:rPr>
                <w:sz w:val="21"/>
                <w:szCs w:val="21"/>
                <w:color w:val="auto"/>
              </w:rPr>
            </w:pPr>
          </w:p>
        </w:tc>
      </w:tr>
      <w:tr>
        <w:trPr>
          <w:trHeight w:val="260"/>
        </w:trPr>
        <w:tc>
          <w:tcPr>
            <w:tcW w:w="960" w:type="dxa"/>
            <w:vAlign w:val="bottom"/>
          </w:tcPr>
          <w:p>
            <w:pPr>
              <w:spacing w:after="0"/>
              <w:rPr>
                <w:sz w:val="22"/>
                <w:szCs w:val="22"/>
                <w:color w:val="auto"/>
              </w:rPr>
            </w:pPr>
          </w:p>
        </w:tc>
        <w:tc>
          <w:tcPr>
            <w:tcW w:w="5960" w:type="dxa"/>
            <w:vAlign w:val="bottom"/>
            <w:gridSpan w:val="3"/>
          </w:tcPr>
          <w:p>
            <w:pPr>
              <w:ind w:left="340"/>
              <w:spacing w:after="0"/>
              <w:rPr>
                <w:sz w:val="20"/>
                <w:szCs w:val="20"/>
                <w:color w:val="auto"/>
              </w:rPr>
            </w:pPr>
            <w:r>
              <w:rPr>
                <w:rFonts w:ascii="Arial" w:cs="Arial" w:eastAsia="Arial" w:hAnsi="Arial"/>
                <w:sz w:val="22"/>
                <w:szCs w:val="22"/>
                <w:color w:val="auto"/>
                <w:w w:val="88"/>
              </w:rPr>
              <w:t>Item 5 to Schedule 13D is amended, in pertinent part, as follows:</w:t>
            </w:r>
          </w:p>
        </w:tc>
      </w:tr>
    </w:tbl>
    <w:p>
      <w:pPr>
        <w:ind w:right="420" w:firstLine="1304"/>
        <w:spacing w:after="0" w:line="268" w:lineRule="auto"/>
        <w:tabs>
          <w:tab w:leader="none" w:pos="159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aggregate number of Securities to which this Schedule 13D relates is 1,281,852 shares, representing 12.84% of the 9,982,591 shares outstanding as reported in the Issuer’s most recently filed Form 10-Q for the quarterly period ended February 29, 2020. The Reporting Persons beneficially own those Securities as follows:</w:t>
      </w:r>
    </w:p>
    <w:tbl>
      <w:tblPr>
        <w:tblLayout w:type="fixed"/>
        <w:tblInd w:w="0" w:type="dxa"/>
        <w:tblCellMar>
          <w:top w:w="0" w:type="dxa"/>
          <w:left w:w="0" w:type="dxa"/>
          <w:bottom w:w="0" w:type="dxa"/>
          <w:right w:w="0" w:type="dxa"/>
        </w:tblCellMar>
      </w:tblPr>
      <w:tr>
        <w:trPr>
          <w:trHeight w:val="202"/>
        </w:trPr>
        <w:tc>
          <w:tcPr>
            <w:tcW w:w="292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340" w:type="dxa"/>
            <w:vAlign w:val="bottom"/>
          </w:tcPr>
          <w:p>
            <w:pPr>
              <w:jc w:val="center"/>
              <w:ind w:left="290"/>
              <w:spacing w:after="0" w:line="202" w:lineRule="exact"/>
              <w:rPr>
                <w:sz w:val="20"/>
                <w:szCs w:val="20"/>
                <w:color w:val="auto"/>
              </w:rPr>
            </w:pPr>
            <w:r>
              <w:rPr>
                <w:rFonts w:ascii="Arial" w:cs="Arial" w:eastAsia="Arial" w:hAnsi="Arial"/>
                <w:sz w:val="18"/>
                <w:szCs w:val="18"/>
                <w:color w:val="auto"/>
                <w:w w:val="88"/>
              </w:rPr>
              <w:t>Shares of</w:t>
            </w:r>
          </w:p>
        </w:tc>
        <w:tc>
          <w:tcPr>
            <w:tcW w:w="39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2"/>
              </w:rPr>
              <w:t>% of Class of</w:t>
            </w:r>
          </w:p>
        </w:tc>
      </w:tr>
      <w:tr>
        <w:trPr>
          <w:trHeight w:val="237"/>
        </w:trPr>
        <w:tc>
          <w:tcPr>
            <w:tcW w:w="292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0"/>
              </w:rPr>
              <w:t>Common Stock</w:t>
            </w:r>
          </w:p>
        </w:tc>
        <w:tc>
          <w:tcPr>
            <w:tcW w:w="3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Common</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GAMCO</w:t>
            </w:r>
          </w:p>
        </w:tc>
        <w:tc>
          <w:tcPr>
            <w:tcW w:w="4340" w:type="dxa"/>
            <w:vAlign w:val="bottom"/>
          </w:tcPr>
          <w:p>
            <w:pPr>
              <w:jc w:val="center"/>
              <w:ind w:left="270"/>
              <w:spacing w:after="0"/>
              <w:rPr>
                <w:sz w:val="20"/>
                <w:szCs w:val="20"/>
                <w:color w:val="auto"/>
              </w:rPr>
            </w:pPr>
            <w:r>
              <w:rPr>
                <w:rFonts w:ascii="Arial" w:cs="Arial" w:eastAsia="Arial" w:hAnsi="Arial"/>
                <w:sz w:val="18"/>
                <w:szCs w:val="18"/>
                <w:color w:val="auto"/>
                <w:w w:val="89"/>
              </w:rPr>
              <w:t>879,852</w:t>
            </w: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90"/>
              </w:rPr>
              <w:t>8.81%</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Gabelli Funds</w:t>
            </w:r>
          </w:p>
        </w:tc>
        <w:tc>
          <w:tcPr>
            <w:tcW w:w="4340" w:type="dxa"/>
            <w:vAlign w:val="bottom"/>
          </w:tcPr>
          <w:p>
            <w:pPr>
              <w:jc w:val="center"/>
              <w:ind w:left="270"/>
              <w:spacing w:after="0"/>
              <w:rPr>
                <w:sz w:val="20"/>
                <w:szCs w:val="20"/>
                <w:color w:val="auto"/>
              </w:rPr>
            </w:pPr>
            <w:r>
              <w:rPr>
                <w:rFonts w:ascii="Arial" w:cs="Arial" w:eastAsia="Arial" w:hAnsi="Arial"/>
                <w:sz w:val="18"/>
                <w:szCs w:val="18"/>
                <w:color w:val="auto"/>
                <w:w w:val="89"/>
              </w:rPr>
              <w:t>212,000</w:t>
            </w: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90"/>
              </w:rPr>
              <w:t>2.12%</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Teton Advisors</w:t>
            </w:r>
          </w:p>
        </w:tc>
        <w:tc>
          <w:tcPr>
            <w:tcW w:w="4340" w:type="dxa"/>
            <w:vAlign w:val="bottom"/>
          </w:tcPr>
          <w:p>
            <w:pPr>
              <w:jc w:val="center"/>
              <w:ind w:left="270"/>
              <w:spacing w:after="0"/>
              <w:rPr>
                <w:sz w:val="20"/>
                <w:szCs w:val="20"/>
                <w:color w:val="auto"/>
              </w:rPr>
            </w:pPr>
            <w:r>
              <w:rPr>
                <w:rFonts w:ascii="Arial" w:cs="Arial" w:eastAsia="Arial" w:hAnsi="Arial"/>
                <w:sz w:val="18"/>
                <w:szCs w:val="18"/>
                <w:color w:val="auto"/>
                <w:w w:val="89"/>
              </w:rPr>
              <w:t>190,000</w:t>
            </w:r>
          </w:p>
        </w:tc>
        <w:tc>
          <w:tcPr>
            <w:tcW w:w="3980" w:type="dxa"/>
            <w:vAlign w:val="bottom"/>
          </w:tcPr>
          <w:p>
            <w:pPr>
              <w:jc w:val="center"/>
              <w:ind w:right="70"/>
              <w:spacing w:after="0"/>
              <w:rPr>
                <w:sz w:val="20"/>
                <w:szCs w:val="20"/>
                <w:color w:val="auto"/>
              </w:rPr>
            </w:pPr>
            <w:r>
              <w:rPr>
                <w:rFonts w:ascii="Arial" w:cs="Arial" w:eastAsia="Arial" w:hAnsi="Arial"/>
                <w:sz w:val="18"/>
                <w:szCs w:val="18"/>
                <w:color w:val="auto"/>
                <w:w w:val="90"/>
              </w:rPr>
              <w:t>1.90%</w:t>
            </w:r>
          </w:p>
        </w:tc>
      </w:tr>
    </w:tbl>
    <w:p>
      <w:pPr>
        <w:spacing w:after="0" w:line="200" w:lineRule="exact"/>
        <w:rPr>
          <w:sz w:val="20"/>
          <w:szCs w:val="20"/>
          <w:color w:val="auto"/>
        </w:rPr>
      </w:pPr>
    </w:p>
    <w:p>
      <w:pPr>
        <w:spacing w:after="0" w:line="238" w:lineRule="exact"/>
        <w:rPr>
          <w:sz w:val="20"/>
          <w:szCs w:val="20"/>
          <w:color w:val="auto"/>
        </w:rPr>
      </w:pPr>
    </w:p>
    <w:p>
      <w:pPr>
        <w:ind w:right="100" w:firstLine="1296"/>
        <w:spacing w:after="0" w:line="234" w:lineRule="auto"/>
        <w:rPr>
          <w:sz w:val="20"/>
          <w:szCs w:val="20"/>
          <w:color w:val="auto"/>
        </w:rPr>
      </w:pPr>
      <w:r>
        <w:rPr>
          <w:rFonts w:ascii="Arial" w:cs="Arial" w:eastAsia="Arial" w:hAnsi="Arial"/>
          <w:sz w:val="22"/>
          <w:szCs w:val="22"/>
          <w:color w:val="auto"/>
        </w:rPr>
        <w:t>Mario Gabelli is deemed to have beneficial ownership of the Securities owned beneficially by each of the foregoing persons. GCIA is deemed to have beneficial ownership of the Securities owned beneficially by G.research. AC, GBL and GGCP are deemed to have beneficial ownership of the Securities owned beneficially by each of the foregoing persons other than Mario Gabelli and the Foundation.</w:t>
      </w:r>
    </w:p>
    <w:p>
      <w:pPr>
        <w:spacing w:after="0" w:line="3" w:lineRule="exact"/>
        <w:rPr>
          <w:sz w:val="20"/>
          <w:szCs w:val="20"/>
          <w:color w:val="auto"/>
        </w:rPr>
      </w:pPr>
    </w:p>
    <w:p>
      <w:pPr>
        <w:ind w:firstLine="1304"/>
        <w:spacing w:after="0" w:line="266" w:lineRule="auto"/>
        <w:tabs>
          <w:tab w:leader="none" w:pos="1602" w:val="left"/>
        </w:tabs>
        <w:numPr>
          <w:ilvl w:val="0"/>
          <w:numId w:val="46"/>
        </w:numPr>
        <w:rPr>
          <w:rFonts w:ascii="Arial" w:cs="Arial" w:eastAsia="Arial" w:hAnsi="Arial"/>
          <w:sz w:val="19"/>
          <w:szCs w:val="19"/>
          <w:color w:val="auto"/>
        </w:rPr>
      </w:pPr>
      <w:r>
        <w:rPr>
          <w:rFonts w:ascii="Arial" w:cs="Arial" w:eastAsia="Arial" w:hAnsi="Arial"/>
          <w:sz w:val="19"/>
          <w:szCs w:val="19"/>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GAMCO does not have the authority to vote 144,000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p>
      <w:pPr>
        <w:spacing w:after="0" w:line="7" w:lineRule="exact"/>
        <w:rPr>
          <w:rFonts w:ascii="Arial" w:cs="Arial" w:eastAsia="Arial" w:hAnsi="Arial"/>
          <w:sz w:val="19"/>
          <w:szCs w:val="19"/>
          <w:color w:val="auto"/>
        </w:rPr>
      </w:pPr>
    </w:p>
    <w:p>
      <w:pPr>
        <w:ind w:right="180" w:firstLine="1304"/>
        <w:spacing w:after="0" w:line="230" w:lineRule="auto"/>
        <w:tabs>
          <w:tab w:leader="none" w:pos="159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pacing w:after="0" w:line="1" w:lineRule="exact"/>
        <w:rPr>
          <w:rFonts w:ascii="Arial" w:cs="Arial" w:eastAsia="Arial" w:hAnsi="Arial"/>
          <w:sz w:val="22"/>
          <w:szCs w:val="22"/>
          <w:color w:val="auto"/>
        </w:rPr>
      </w:pPr>
    </w:p>
    <w:p>
      <w:pPr>
        <w:ind w:left="1600" w:hanging="296"/>
        <w:spacing w:after="0"/>
        <w:tabs>
          <w:tab w:leader="none" w:pos="16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791" w:gutter="0" w:footer="0" w:header="0"/>
        </w:sectPr>
      </w:pPr>
    </w:p>
    <w:bookmarkStart w:id="10" w:name="page11"/>
    <w:bookmarkEnd w:id="10"/>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 w:name="page12"/>
    <w:bookmarkEnd w:id="11"/>
    <w:p>
      <w:pPr>
        <w:spacing w:after="0"/>
        <w:rPr>
          <w:sz w:val="20"/>
          <w:szCs w:val="20"/>
          <w:color w:val="auto"/>
        </w:rPr>
      </w:pPr>
      <w:r>
        <w:rPr>
          <w:rFonts w:ascii="Arial" w:cs="Arial" w:eastAsia="Arial" w:hAnsi="Arial"/>
          <w:sz w:val="22"/>
          <w:szCs w:val="22"/>
          <w:u w:val="single" w:color="auto"/>
          <w:color w:val="auto"/>
        </w:rPr>
        <w:t>Signature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w:t>
      </w:r>
    </w:p>
    <w:p>
      <w:pPr>
        <w:spacing w:after="0" w:line="231" w:lineRule="auto"/>
        <w:rPr>
          <w:sz w:val="20"/>
          <w:szCs w:val="20"/>
          <w:color w:val="auto"/>
        </w:rPr>
      </w:pPr>
      <w:r>
        <w:rPr>
          <w:rFonts w:ascii="Arial" w:cs="Arial" w:eastAsia="Arial" w:hAnsi="Arial"/>
          <w:sz w:val="22"/>
          <w:szCs w:val="22"/>
          <w:color w:val="auto"/>
        </w:rPr>
        <w:t>statement is true, complete and correct.</w:t>
      </w:r>
    </w:p>
    <w:p>
      <w:pPr>
        <w:spacing w:after="0" w:line="1"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April 13, 2020</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GGCP,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MARIO J. GABELLI</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David Goldman</w:t>
      </w:r>
    </w:p>
    <w:p>
      <w:pPr>
        <w:ind w:left="4160"/>
        <w:spacing w:after="0" w:line="238" w:lineRule="auto"/>
        <w:rPr>
          <w:sz w:val="20"/>
          <w:szCs w:val="20"/>
          <w:color w:val="auto"/>
        </w:rPr>
      </w:pPr>
      <w:r>
        <w:rPr>
          <w:rFonts w:ascii="Arial" w:cs="Arial" w:eastAsia="Arial" w:hAnsi="Arial"/>
          <w:sz w:val="22"/>
          <w:szCs w:val="22"/>
          <w:color w:val="auto"/>
        </w:rPr>
        <w:t>David Goldman</w:t>
      </w:r>
    </w:p>
    <w:p>
      <w:pPr>
        <w:ind w:left="4160"/>
        <w:spacing w:after="0"/>
        <w:rPr>
          <w:sz w:val="20"/>
          <w:szCs w:val="20"/>
          <w:color w:val="auto"/>
        </w:rPr>
      </w:pPr>
      <w:r>
        <w:rPr>
          <w:rFonts w:ascii="Arial" w:cs="Arial" w:eastAsia="Arial" w:hAnsi="Arial"/>
          <w:sz w:val="22"/>
          <w:szCs w:val="22"/>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TETON ADVISORS,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GABELLI FUNDS, LLC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David Goldman</w:t>
      </w:r>
    </w:p>
    <w:p>
      <w:pPr>
        <w:ind w:left="4160"/>
        <w:spacing w:after="0" w:line="238" w:lineRule="auto"/>
        <w:rPr>
          <w:sz w:val="20"/>
          <w:szCs w:val="20"/>
          <w:color w:val="auto"/>
        </w:rPr>
      </w:pPr>
      <w:r>
        <w:rPr>
          <w:rFonts w:ascii="Arial" w:cs="Arial" w:eastAsia="Arial" w:hAnsi="Arial"/>
          <w:sz w:val="22"/>
          <w:szCs w:val="22"/>
          <w:color w:val="auto"/>
        </w:rPr>
        <w:t>David Goldman</w:t>
      </w:r>
    </w:p>
    <w:p>
      <w:pPr>
        <w:ind w:left="4160"/>
        <w:spacing w:after="0" w:line="230" w:lineRule="auto"/>
        <w:rPr>
          <w:sz w:val="20"/>
          <w:szCs w:val="20"/>
          <w:color w:val="auto"/>
        </w:rPr>
      </w:pPr>
      <w:r>
        <w:rPr>
          <w:rFonts w:ascii="Arial" w:cs="Arial" w:eastAsia="Arial" w:hAnsi="Arial"/>
          <w:sz w:val="22"/>
          <w:szCs w:val="22"/>
          <w:color w:val="auto"/>
        </w:rPr>
        <w:t>General Counsel – Gabelli Funds, LLC</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Counsel-Teton Advisors, Inc.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GAMCO INVESTORS,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Kevin Handwerker</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Kevin Handwerker</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General Counsel &amp; Secretary – GAMCO Investors,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ASSOCIATED CAPITAL GROUP,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GAMCO ASSET MANAGEMENT INC.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Douglas R. Jamieson</w:t>
      </w:r>
    </w:p>
    <w:p>
      <w:pPr>
        <w:ind w:left="4160"/>
        <w:spacing w:after="0" w:line="238" w:lineRule="auto"/>
        <w:rPr>
          <w:sz w:val="20"/>
          <w:szCs w:val="20"/>
          <w:color w:val="auto"/>
        </w:rPr>
      </w:pPr>
      <w:r>
        <w:rPr>
          <w:rFonts w:ascii="Arial" w:cs="Arial" w:eastAsia="Arial" w:hAnsi="Arial"/>
          <w:sz w:val="22"/>
          <w:szCs w:val="22"/>
          <w:color w:val="auto"/>
        </w:rPr>
        <w:t>Douglas R. Jamieson</w:t>
      </w:r>
    </w:p>
    <w:p>
      <w:pPr>
        <w:jc w:val="right"/>
        <w:ind w:right="1920"/>
        <w:spacing w:after="0" w:line="230" w:lineRule="auto"/>
        <w:rPr>
          <w:sz w:val="20"/>
          <w:szCs w:val="20"/>
          <w:color w:val="auto"/>
        </w:rPr>
      </w:pPr>
      <w:r>
        <w:rPr>
          <w:rFonts w:ascii="Arial" w:cs="Arial" w:eastAsia="Arial" w:hAnsi="Arial"/>
          <w:sz w:val="22"/>
          <w:szCs w:val="22"/>
          <w:color w:val="auto"/>
        </w:rPr>
        <w:t>President &amp; Chief Executive Officer – Associated Capital</w:t>
      </w:r>
    </w:p>
    <w:p>
      <w:pPr>
        <w:ind w:left="4540"/>
        <w:spacing w:after="0" w:line="231" w:lineRule="auto"/>
        <w:rPr>
          <w:sz w:val="20"/>
          <w:szCs w:val="20"/>
          <w:color w:val="auto"/>
        </w:rPr>
      </w:pPr>
      <w:r>
        <w:rPr>
          <w:rFonts w:ascii="Arial" w:cs="Arial" w:eastAsia="Arial" w:hAnsi="Arial"/>
          <w:sz w:val="22"/>
          <w:szCs w:val="22"/>
          <w:color w:val="auto"/>
        </w:rPr>
        <w:t>Group, Inc.</w:t>
      </w:r>
    </w:p>
    <w:p>
      <w:pPr>
        <w:ind w:left="4220"/>
        <w:spacing w:after="0"/>
        <w:rPr>
          <w:sz w:val="20"/>
          <w:szCs w:val="20"/>
          <w:color w:val="auto"/>
        </w:rPr>
      </w:pPr>
      <w:r>
        <w:rPr>
          <w:rFonts w:ascii="Arial" w:cs="Arial" w:eastAsia="Arial" w:hAnsi="Arial"/>
          <w:sz w:val="22"/>
          <w:szCs w:val="22"/>
          <w:color w:val="auto"/>
        </w:rPr>
        <w:t>President – GAMCO Asset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 w:name="page13"/>
    <w:bookmarkEnd w:id="12"/>
    <w:p>
      <w:pPr>
        <w:ind w:left="3580"/>
        <w:spacing w:after="0"/>
        <w:rPr>
          <w:sz w:val="20"/>
          <w:szCs w:val="20"/>
          <w:color w:val="auto"/>
        </w:rPr>
      </w:pPr>
      <w:r>
        <w:rPr>
          <w:rFonts w:ascii="Arial" w:cs="Arial" w:eastAsia="Arial" w:hAnsi="Arial"/>
          <w:sz w:val="22"/>
          <w:szCs w:val="22"/>
          <w:color w:val="auto"/>
        </w:rPr>
        <w:t>Schedule I</w:t>
      </w:r>
    </w:p>
    <w:p>
      <w:pPr>
        <w:ind w:left="2880"/>
        <w:spacing w:after="0" w:line="238" w:lineRule="auto"/>
        <w:rPr>
          <w:sz w:val="20"/>
          <w:szCs w:val="20"/>
          <w:color w:val="auto"/>
        </w:rPr>
      </w:pPr>
      <w:r>
        <w:rPr>
          <w:rFonts w:ascii="Arial" w:cs="Arial" w:eastAsia="Arial" w:hAnsi="Arial"/>
          <w:sz w:val="22"/>
          <w:szCs w:val="22"/>
          <w:color w:val="auto"/>
        </w:rPr>
        <w:t>Information with Respect to Executive</w:t>
      </w:r>
    </w:p>
    <w:p>
      <w:pPr>
        <w:ind w:left="3800"/>
        <w:spacing w:after="0" w:line="230" w:lineRule="auto"/>
        <w:rPr>
          <w:sz w:val="20"/>
          <w:szCs w:val="20"/>
          <w:color w:val="auto"/>
        </w:rPr>
      </w:pPr>
      <w:r>
        <w:rPr>
          <w:rFonts w:ascii="Arial" w:cs="Arial" w:eastAsia="Arial" w:hAnsi="Arial"/>
          <w:sz w:val="22"/>
          <w:szCs w:val="22"/>
          <w:u w:val="single" w:color="auto"/>
          <w:color w:val="auto"/>
        </w:rPr>
        <w:t>Officers and Directors of the Undersigned</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Schedule I to Schedule 13D is amended, in pertinent part, as follows:</w:t>
      </w:r>
    </w:p>
    <w:p>
      <w:pPr>
        <w:spacing w:after="0" w:line="2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&amp; Company Investment Advisers, Inc., G.research, LLC, Teton Advisors, Inc., Associated Capital Group,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GAMCO Investors,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7713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ind w:left="680"/>
              <w:spacing w:after="0"/>
              <w:rPr>
                <w:sz w:val="20"/>
                <w:szCs w:val="20"/>
                <w:color w:val="auto"/>
              </w:rPr>
            </w:pPr>
            <w:r>
              <w:rPr>
                <w:rFonts w:ascii="Arial" w:cs="Arial" w:eastAsia="Arial" w:hAnsi="Arial"/>
                <w:sz w:val="18"/>
                <w:szCs w:val="18"/>
                <w:color w:val="auto"/>
              </w:rPr>
              <w:t>Edwin L. Artzt</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Former Chairman and Chief Executive Officer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Procter &amp; Gamble Company</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900 Adams Crossing</w:t>
            </w:r>
          </w:p>
        </w:tc>
      </w:tr>
      <w:tr>
        <w:trPr>
          <w:trHeight w:val="230"/>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Cincinnati, OH 45202</w:t>
            </w:r>
          </w:p>
        </w:tc>
      </w:tr>
      <w:tr>
        <w:trPr>
          <w:trHeight w:val="418"/>
        </w:trPr>
        <w:tc>
          <w:tcPr>
            <w:tcW w:w="3160" w:type="dxa"/>
            <w:vAlign w:val="bottom"/>
          </w:tcPr>
          <w:p>
            <w:pPr>
              <w:ind w:left="660"/>
              <w:spacing w:after="0"/>
              <w:rPr>
                <w:sz w:val="20"/>
                <w:szCs w:val="20"/>
                <w:color w:val="auto"/>
              </w:rPr>
            </w:pPr>
            <w:r>
              <w:rPr>
                <w:rFonts w:ascii="Arial" w:cs="Arial" w:eastAsia="Arial" w:hAnsi="Arial"/>
                <w:sz w:val="18"/>
                <w:szCs w:val="18"/>
                <w:color w:val="auto"/>
              </w:rPr>
              <w:t>Raymond C. Avansino</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Chairman &amp; Chief Executive Officer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E.L. Wiegand Foundation</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165 West Liberty Street</w:t>
            </w:r>
          </w:p>
        </w:tc>
      </w:tr>
      <w:tr>
        <w:trPr>
          <w:trHeight w:val="230"/>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Reno, NV 89501</w:t>
            </w:r>
          </w:p>
        </w:tc>
      </w:tr>
      <w:tr>
        <w:trPr>
          <w:trHeight w:val="418"/>
        </w:trPr>
        <w:tc>
          <w:tcPr>
            <w:tcW w:w="3160" w:type="dxa"/>
            <w:vAlign w:val="bottom"/>
          </w:tcPr>
          <w:p>
            <w:pPr>
              <w:ind w:left="640"/>
              <w:spacing w:after="0"/>
              <w:rPr>
                <w:sz w:val="20"/>
                <w:szCs w:val="20"/>
                <w:color w:val="auto"/>
              </w:rPr>
            </w:pPr>
            <w:r>
              <w:rPr>
                <w:rFonts w:ascii="Arial" w:cs="Arial" w:eastAsia="Arial" w:hAnsi="Arial"/>
                <w:sz w:val="18"/>
                <w:szCs w:val="18"/>
                <w:color w:val="auto"/>
              </w:rPr>
              <w:t>Leslie B. Daniels</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Operating Partner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AE Industrial Partners, LP</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2500 N. Military Trail, Suite 470</w:t>
            </w:r>
          </w:p>
        </w:tc>
      </w:tr>
      <w:tr>
        <w:trPr>
          <w:trHeight w:val="230"/>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Boca Raton, FL 33431</w:t>
            </w:r>
          </w:p>
        </w:tc>
      </w:tr>
      <w:tr>
        <w:trPr>
          <w:trHeight w:val="418"/>
        </w:trPr>
        <w:tc>
          <w:tcPr>
            <w:tcW w:w="316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w w:val="91"/>
              </w:rPr>
              <w:t>Director/Trustee of all registered investment companies advised by Gabelli Funds, LLC.</w:t>
            </w:r>
          </w:p>
        </w:tc>
      </w:tr>
      <w:tr>
        <w:trPr>
          <w:trHeight w:val="418"/>
        </w:trPr>
        <w:tc>
          <w:tcPr>
            <w:tcW w:w="3160" w:type="dxa"/>
            <w:vAlign w:val="bottom"/>
          </w:tcPr>
          <w:p>
            <w:pPr>
              <w:spacing w:after="0"/>
              <w:rPr>
                <w:sz w:val="24"/>
                <w:szCs w:val="24"/>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c/o GAMCO Investors, Inc.</w:t>
            </w:r>
          </w:p>
        </w:tc>
      </w:tr>
      <w:tr>
        <w:trPr>
          <w:trHeight w:val="216"/>
        </w:trPr>
        <w:tc>
          <w:tcPr>
            <w:tcW w:w="3160" w:type="dxa"/>
            <w:vAlign w:val="bottom"/>
          </w:tcPr>
          <w:p>
            <w:pPr>
              <w:ind w:left="640"/>
              <w:spacing w:after="0"/>
              <w:rPr>
                <w:sz w:val="20"/>
                <w:szCs w:val="20"/>
                <w:color w:val="auto"/>
              </w:rPr>
            </w:pPr>
            <w:r>
              <w:rPr>
                <w:rFonts w:ascii="Arial" w:cs="Arial" w:eastAsia="Arial" w:hAnsi="Arial"/>
                <w:sz w:val="18"/>
                <w:szCs w:val="18"/>
                <w:color w:val="auto"/>
              </w:rPr>
              <w:t>Elisa M. Wilson</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One Corporate Center</w:t>
            </w:r>
          </w:p>
        </w:tc>
      </w:tr>
      <w:tr>
        <w:trPr>
          <w:trHeight w:val="230"/>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Rye, NY 10580</w:t>
            </w:r>
          </w:p>
        </w:tc>
      </w:tr>
      <w:tr>
        <w:trPr>
          <w:trHeight w:val="418"/>
        </w:trPr>
        <w:tc>
          <w:tcPr>
            <w:tcW w:w="3160" w:type="dxa"/>
            <w:vAlign w:val="bottom"/>
          </w:tcPr>
          <w:p>
            <w:pPr>
              <w:ind w:left="680"/>
              <w:spacing w:after="0"/>
              <w:rPr>
                <w:sz w:val="20"/>
                <w:szCs w:val="20"/>
                <w:color w:val="auto"/>
              </w:rPr>
            </w:pPr>
            <w:r>
              <w:rPr>
                <w:rFonts w:ascii="Arial" w:cs="Arial" w:eastAsia="Arial" w:hAnsi="Arial"/>
                <w:sz w:val="18"/>
                <w:szCs w:val="18"/>
                <w:color w:val="auto"/>
              </w:rPr>
              <w:t>Eugene R. McGrath</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Former Chairman and Chief Executive Officer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Consolidated Edison, Inc.</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4 Irving Place</w:t>
            </w:r>
          </w:p>
        </w:tc>
      </w:tr>
      <w:tr>
        <w:trPr>
          <w:trHeight w:val="230"/>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New York, NY 10003</w:t>
            </w:r>
          </w:p>
        </w:tc>
      </w:tr>
      <w:tr>
        <w:trPr>
          <w:trHeight w:val="418"/>
        </w:trPr>
        <w:tc>
          <w:tcPr>
            <w:tcW w:w="3160" w:type="dxa"/>
            <w:vAlign w:val="bottom"/>
          </w:tcPr>
          <w:p>
            <w:pPr>
              <w:ind w:left="680"/>
              <w:spacing w:after="0"/>
              <w:rPr>
                <w:sz w:val="20"/>
                <w:szCs w:val="20"/>
                <w:color w:val="auto"/>
              </w:rPr>
            </w:pPr>
            <w:r>
              <w:rPr>
                <w:rFonts w:ascii="Arial" w:cs="Arial" w:eastAsia="Arial" w:hAnsi="Arial"/>
                <w:sz w:val="18"/>
                <w:szCs w:val="18"/>
                <w:color w:val="auto"/>
              </w:rPr>
              <w:t>Robert S. Prather</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President &amp; Chief Executive Officer</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Heartland Media, LLC</w:t>
            </w:r>
          </w:p>
        </w:tc>
      </w:tr>
      <w:tr>
        <w:trPr>
          <w:trHeight w:val="216"/>
        </w:trPr>
        <w:tc>
          <w:tcPr>
            <w:tcW w:w="3160" w:type="dxa"/>
            <w:vAlign w:val="bottom"/>
          </w:tcPr>
          <w:p>
            <w:pPr>
              <w:spacing w:after="0"/>
              <w:rPr>
                <w:sz w:val="18"/>
                <w:szCs w:val="18"/>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1843 West Wesley Road</w:t>
            </w:r>
          </w:p>
        </w:tc>
      </w:tr>
      <w:tr>
        <w:trPr>
          <w:trHeight w:val="230"/>
        </w:trPr>
        <w:tc>
          <w:tcPr>
            <w:tcW w:w="3160" w:type="dxa"/>
            <w:vAlign w:val="bottom"/>
          </w:tcPr>
          <w:p>
            <w:pPr>
              <w:spacing w:after="0"/>
              <w:rPr>
                <w:sz w:val="20"/>
                <w:szCs w:val="20"/>
                <w:color w:val="auto"/>
              </w:rPr>
            </w:pP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Atlanta, GA 30327</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Officers:</w:t>
            </w:r>
          </w:p>
        </w:tc>
        <w:tc>
          <w:tcPr>
            <w:tcW w:w="74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16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Chairman and Chief Executive Officer</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Henry G. Van der Eb</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Senior Vice President</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Senior Vice President</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Agnes Mullady</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Senior Vice President</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Kevin Handwerker</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Kieran Caterina</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Chief Accounting Officer</w:t>
            </w:r>
          </w:p>
        </w:tc>
      </w:tr>
      <w:tr>
        <w:trPr>
          <w:trHeight w:val="850"/>
        </w:trPr>
        <w:tc>
          <w:tcPr>
            <w:tcW w:w="3160" w:type="dxa"/>
            <w:vAlign w:val="bottom"/>
          </w:tcPr>
          <w:p>
            <w:pPr>
              <w:spacing w:after="0"/>
              <w:rPr>
                <w:sz w:val="20"/>
                <w:szCs w:val="20"/>
                <w:color w:val="auto"/>
              </w:rPr>
            </w:pPr>
            <w:r>
              <w:rPr>
                <w:rFonts w:ascii="Arial" w:cs="Arial" w:eastAsia="Arial" w:hAnsi="Arial"/>
                <w:sz w:val="18"/>
                <w:szCs w:val="18"/>
                <w:color w:val="auto"/>
              </w:rPr>
              <w:t>GAMCO Asset Management Inc.</w:t>
            </w:r>
          </w:p>
        </w:tc>
        <w:tc>
          <w:tcPr>
            <w:tcW w:w="74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Directors:</w:t>
            </w:r>
          </w:p>
        </w:tc>
        <w:tc>
          <w:tcPr>
            <w:tcW w:w="74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223"/>
        </w:trPr>
        <w:tc>
          <w:tcPr>
            <w:tcW w:w="3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360" w:type="dxa"/>
            <w:vAlign w:val="bottom"/>
          </w:tcPr>
          <w:p>
            <w:pPr>
              <w:spacing w:after="0"/>
              <w:rPr>
                <w:sz w:val="19"/>
                <w:szCs w:val="19"/>
                <w:color w:val="auto"/>
              </w:rPr>
            </w:pPr>
          </w:p>
        </w:tc>
      </w:tr>
      <w:tr>
        <w:trPr>
          <w:trHeight w:val="202"/>
        </w:trPr>
        <w:tc>
          <w:tcPr>
            <w:tcW w:w="3160" w:type="dxa"/>
            <w:vAlign w:val="bottom"/>
          </w:tcPr>
          <w:p>
            <w:pPr>
              <w:ind w:left="660"/>
              <w:spacing w:after="0" w:line="201" w:lineRule="exact"/>
              <w:rPr>
                <w:sz w:val="20"/>
                <w:szCs w:val="20"/>
                <w:color w:val="auto"/>
              </w:rPr>
            </w:pPr>
            <w:r>
              <w:rPr>
                <w:rFonts w:ascii="Arial" w:cs="Arial" w:eastAsia="Arial" w:hAnsi="Arial"/>
                <w:sz w:val="18"/>
                <w:szCs w:val="18"/>
                <w:color w:val="auto"/>
              </w:rPr>
              <w:t>Douglas R. Jamieson</w:t>
            </w:r>
          </w:p>
        </w:tc>
        <w:tc>
          <w:tcPr>
            <w:tcW w:w="740" w:type="dxa"/>
            <w:vAlign w:val="bottom"/>
          </w:tcPr>
          <w:p>
            <w:pPr>
              <w:spacing w:after="0"/>
              <w:rPr>
                <w:sz w:val="17"/>
                <w:szCs w:val="17"/>
                <w:color w:val="auto"/>
              </w:rPr>
            </w:pPr>
          </w:p>
        </w:tc>
        <w:tc>
          <w:tcPr>
            <w:tcW w:w="6360" w:type="dxa"/>
            <w:vAlign w:val="bottom"/>
          </w:tcPr>
          <w:p>
            <w:pPr>
              <w:spacing w:after="0"/>
              <w:rPr>
                <w:sz w:val="17"/>
                <w:szCs w:val="17"/>
                <w:color w:val="auto"/>
              </w:rPr>
            </w:pPr>
          </w:p>
        </w:tc>
      </w:tr>
      <w:tr>
        <w:trPr>
          <w:trHeight w:val="216"/>
        </w:trPr>
        <w:tc>
          <w:tcPr>
            <w:tcW w:w="3160" w:type="dxa"/>
            <w:vAlign w:val="bottom"/>
          </w:tcPr>
          <w:p>
            <w:pPr>
              <w:ind w:left="660"/>
              <w:spacing w:after="0"/>
              <w:rPr>
                <w:sz w:val="20"/>
                <w:szCs w:val="20"/>
                <w:color w:val="auto"/>
              </w:rPr>
            </w:pPr>
            <w:r>
              <w:rPr>
                <w:rFonts w:ascii="Arial" w:cs="Arial" w:eastAsia="Arial" w:hAnsi="Arial"/>
                <w:sz w:val="18"/>
                <w:szCs w:val="18"/>
                <w:color w:val="auto"/>
              </w:rPr>
              <w:t>Regina M. Pitaro</w:t>
            </w:r>
          </w:p>
        </w:tc>
        <w:tc>
          <w:tcPr>
            <w:tcW w:w="740" w:type="dxa"/>
            <w:vAlign w:val="bottom"/>
          </w:tcPr>
          <w:p>
            <w:pPr>
              <w:spacing w:after="0"/>
              <w:rPr>
                <w:sz w:val="18"/>
                <w:szCs w:val="18"/>
                <w:color w:val="auto"/>
              </w:rPr>
            </w:pPr>
          </w:p>
        </w:tc>
        <w:tc>
          <w:tcPr>
            <w:tcW w:w="6360" w:type="dxa"/>
            <w:vAlign w:val="bottom"/>
          </w:tcPr>
          <w:p>
            <w:pPr>
              <w:spacing w:after="0"/>
              <w:rPr>
                <w:sz w:val="18"/>
                <w:szCs w:val="18"/>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Officers:</w:t>
            </w:r>
          </w:p>
        </w:tc>
        <w:tc>
          <w:tcPr>
            <w:tcW w:w="74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Chief Executive Officer and Chief Investment Officer – Value Portfolios</w:t>
            </w:r>
          </w:p>
        </w:tc>
      </w:tr>
      <w:tr>
        <w:trPr>
          <w:trHeight w:val="432"/>
        </w:trPr>
        <w:tc>
          <w:tcPr>
            <w:tcW w:w="3160" w:type="dxa"/>
            <w:vAlign w:val="bottom"/>
          </w:tcPr>
          <w:p>
            <w:pPr>
              <w:ind w:left="660"/>
              <w:spacing w:after="0"/>
              <w:rPr>
                <w:sz w:val="20"/>
                <w:szCs w:val="20"/>
                <w:color w:val="auto"/>
              </w:rPr>
            </w:pPr>
            <w:r>
              <w:rPr>
                <w:rFonts w:ascii="Arial" w:cs="Arial" w:eastAsia="Arial" w:hAnsi="Arial"/>
                <w:sz w:val="18"/>
                <w:szCs w:val="18"/>
                <w:color w:val="auto"/>
              </w:rPr>
              <w:t>Douglas R. Jamieson</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President, Chief Operating Officer and Managing Director</w:t>
            </w:r>
          </w:p>
        </w:tc>
      </w:tr>
      <w:tr>
        <w:trPr>
          <w:trHeight w:val="432"/>
        </w:trPr>
        <w:tc>
          <w:tcPr>
            <w:tcW w:w="316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7100" w:type="dxa"/>
            <w:vAlign w:val="bottom"/>
            <w:gridSpan w:val="2"/>
          </w:tcPr>
          <w:p>
            <w:pPr>
              <w:ind w:left="740"/>
              <w:spacing w:after="0"/>
              <w:rPr>
                <w:sz w:val="20"/>
                <w:szCs w:val="20"/>
                <w:color w:val="auto"/>
              </w:rPr>
            </w:pPr>
            <w:r>
              <w:rPr>
                <w:rFonts w:ascii="Arial" w:cs="Arial" w:eastAsia="Arial" w:hAnsi="Arial"/>
                <w:sz w:val="18"/>
                <w:szCs w:val="18"/>
                <w:color w:val="auto"/>
              </w:rPr>
              <w:t>General Counsel, Secretary &amp; Chief Compliance Officer</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Gabelli Funds, LLC</w:t>
            </w:r>
          </w:p>
        </w:tc>
        <w:tc>
          <w:tcPr>
            <w:tcW w:w="74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Officers:</w:t>
            </w:r>
          </w:p>
        </w:tc>
        <w:tc>
          <w:tcPr>
            <w:tcW w:w="74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223"/>
        </w:trPr>
        <w:tc>
          <w:tcPr>
            <w:tcW w:w="3160" w:type="dxa"/>
            <w:vAlign w:val="bottom"/>
          </w:tcPr>
          <w:p>
            <w:pPr>
              <w:spacing w:after="0"/>
              <w:rPr>
                <w:sz w:val="19"/>
                <w:szCs w:val="19"/>
                <w:color w:val="auto"/>
              </w:rPr>
            </w:pPr>
          </w:p>
        </w:tc>
        <w:tc>
          <w:tcPr>
            <w:tcW w:w="7100" w:type="dxa"/>
            <w:vAlign w:val="bottom"/>
            <w:gridSpan w:val="2"/>
          </w:tcPr>
          <w:p>
            <w:pPr>
              <w:spacing w:after="0"/>
              <w:rPr>
                <w:sz w:val="19"/>
                <w:szCs w:val="19"/>
                <w:color w:val="auto"/>
              </w:rPr>
            </w:pPr>
          </w:p>
        </w:tc>
      </w:tr>
      <w:tr>
        <w:trPr>
          <w:trHeight w:val="230"/>
        </w:trPr>
        <w:tc>
          <w:tcPr>
            <w:tcW w:w="31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Mario J. Gabelli</w:t>
            </w:r>
          </w:p>
        </w:tc>
        <w:tc>
          <w:tcPr>
            <w:tcW w:w="740" w:type="dxa"/>
            <w:vAlign w:val="bottom"/>
            <w:tcBorders>
              <w:top w:val="single" w:sz="8" w:color="auto"/>
            </w:tcBorders>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Investment Officer – Value Portfolios</w:t>
            </w:r>
          </w:p>
        </w:tc>
      </w:tr>
    </w:tbl>
    <w:p>
      <w:pPr>
        <w:sectPr>
          <w:pgSz w:w="11900" w:h="16838" w:orient="portrait"/>
          <w:cols w:equalWidth="0" w:num="1">
            <w:col w:w="10260"/>
          </w:cols>
          <w:pgMar w:left="320" w:top="1340" w:right="131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86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432"/>
        </w:trPr>
        <w:tc>
          <w:tcPr>
            <w:tcW w:w="3020" w:type="dxa"/>
            <w:vAlign w:val="bottom"/>
          </w:tcPr>
          <w:p>
            <w:pPr>
              <w:ind w:left="680"/>
              <w:spacing w:after="0"/>
              <w:rPr>
                <w:sz w:val="20"/>
                <w:szCs w:val="20"/>
                <w:color w:val="auto"/>
              </w:rPr>
            </w:pPr>
            <w:r>
              <w:rPr>
                <w:rFonts w:ascii="Arial" w:cs="Arial" w:eastAsia="Arial" w:hAnsi="Arial"/>
                <w:sz w:val="18"/>
                <w:szCs w:val="18"/>
                <w:color w:val="auto"/>
              </w:rPr>
              <w:t>Agnes Mullady</w:t>
            </w:r>
          </w:p>
        </w:tc>
        <w:tc>
          <w:tcPr>
            <w:tcW w:w="8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w w:val="91"/>
              </w:rPr>
              <w:t>President and Chief Operating Officer – Open End Fund Division</w:t>
            </w:r>
          </w:p>
        </w:tc>
      </w:tr>
      <w:tr>
        <w:trPr>
          <w:trHeight w:val="432"/>
        </w:trPr>
        <w:tc>
          <w:tcPr>
            <w:tcW w:w="302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8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General Counsel</w:t>
            </w:r>
          </w:p>
        </w:tc>
      </w:tr>
      <w:tr>
        <w:trPr>
          <w:trHeight w:val="634"/>
        </w:trPr>
        <w:tc>
          <w:tcPr>
            <w:tcW w:w="3020" w:type="dxa"/>
            <w:vAlign w:val="bottom"/>
          </w:tcPr>
          <w:p>
            <w:pPr>
              <w:spacing w:after="0"/>
              <w:rPr>
                <w:sz w:val="20"/>
                <w:szCs w:val="20"/>
                <w:color w:val="auto"/>
              </w:rPr>
            </w:pPr>
            <w:r>
              <w:rPr>
                <w:rFonts w:ascii="Arial" w:cs="Arial" w:eastAsia="Arial" w:hAnsi="Arial"/>
                <w:sz w:val="18"/>
                <w:szCs w:val="18"/>
                <w:color w:val="auto"/>
              </w:rPr>
              <w:t>Gabelli Foundation, Inc.</w:t>
            </w:r>
          </w:p>
        </w:tc>
        <w:tc>
          <w:tcPr>
            <w:tcW w:w="86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37"/>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Officers:</w:t>
            </w:r>
          </w:p>
        </w:tc>
        <w:tc>
          <w:tcPr>
            <w:tcW w:w="860" w:type="dxa"/>
            <w:vAlign w:val="bottom"/>
            <w:tcBorders>
              <w:bottom w:val="single" w:sz="8" w:color="auto"/>
            </w:tcBorders>
          </w:tcPr>
          <w:p>
            <w:pPr>
              <w:spacing w:after="0"/>
              <w:rPr>
                <w:sz w:val="20"/>
                <w:szCs w:val="20"/>
                <w:color w:val="auto"/>
              </w:rPr>
            </w:pPr>
          </w:p>
        </w:tc>
        <w:tc>
          <w:tcPr>
            <w:tcW w:w="4760" w:type="dxa"/>
            <w:vAlign w:val="bottom"/>
          </w:tcPr>
          <w:p>
            <w:pPr>
              <w:spacing w:after="0"/>
              <w:rPr>
                <w:sz w:val="20"/>
                <w:szCs w:val="20"/>
                <w:color w:val="auto"/>
              </w:rPr>
            </w:pPr>
          </w:p>
        </w:tc>
      </w:tr>
      <w:tr>
        <w:trPr>
          <w:trHeight w:val="230"/>
        </w:trPr>
        <w:tc>
          <w:tcPr>
            <w:tcW w:w="3020" w:type="dxa"/>
            <w:vAlign w:val="bottom"/>
          </w:tcPr>
          <w:p>
            <w:pPr>
              <w:ind w:left="720"/>
              <w:spacing w:after="0"/>
              <w:rPr>
                <w:sz w:val="20"/>
                <w:szCs w:val="20"/>
                <w:color w:val="auto"/>
              </w:rPr>
            </w:pPr>
            <w:r>
              <w:rPr>
                <w:rFonts w:ascii="Arial" w:cs="Arial" w:eastAsia="Arial" w:hAnsi="Arial"/>
                <w:sz w:val="18"/>
                <w:szCs w:val="18"/>
                <w:color w:val="auto"/>
              </w:rPr>
              <w:t>Mario J. Gabelli</w:t>
            </w:r>
          </w:p>
        </w:tc>
        <w:tc>
          <w:tcPr>
            <w:tcW w:w="8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Chairman, Trustee &amp; Chief Investment Officer</w:t>
            </w:r>
          </w:p>
        </w:tc>
      </w:tr>
      <w:tr>
        <w:trPr>
          <w:trHeight w:val="418"/>
        </w:trPr>
        <w:tc>
          <w:tcPr>
            <w:tcW w:w="3020" w:type="dxa"/>
            <w:vAlign w:val="bottom"/>
          </w:tcPr>
          <w:p>
            <w:pPr>
              <w:ind w:left="720"/>
              <w:spacing w:after="0"/>
              <w:rPr>
                <w:sz w:val="20"/>
                <w:szCs w:val="20"/>
                <w:color w:val="auto"/>
              </w:rPr>
            </w:pPr>
            <w:r>
              <w:rPr>
                <w:rFonts w:ascii="Arial" w:cs="Arial" w:eastAsia="Arial" w:hAnsi="Arial"/>
                <w:sz w:val="18"/>
                <w:szCs w:val="18"/>
                <w:color w:val="auto"/>
              </w:rPr>
              <w:t>Elisa M. Wilson</w:t>
            </w:r>
          </w:p>
        </w:tc>
        <w:tc>
          <w:tcPr>
            <w:tcW w:w="5620" w:type="dxa"/>
            <w:vAlign w:val="bottom"/>
            <w:gridSpan w:val="2"/>
          </w:tcPr>
          <w:p>
            <w:pPr>
              <w:ind w:left="860"/>
              <w:spacing w:after="0"/>
              <w:rPr>
                <w:sz w:val="20"/>
                <w:szCs w:val="20"/>
                <w:color w:val="auto"/>
              </w:rPr>
            </w:pPr>
            <w:r>
              <w:rPr>
                <w:rFonts w:ascii="Arial" w:cs="Arial" w:eastAsia="Arial" w:hAnsi="Arial"/>
                <w:sz w:val="18"/>
                <w:szCs w:val="18"/>
                <w:color w:val="auto"/>
              </w:rPr>
              <w:t>President</w:t>
            </w:r>
          </w:p>
        </w:tc>
      </w:tr>
      <w:tr>
        <w:trPr>
          <w:trHeight w:val="432"/>
        </w:trPr>
        <w:tc>
          <w:tcPr>
            <w:tcW w:w="3020" w:type="dxa"/>
            <w:vAlign w:val="bottom"/>
          </w:tcPr>
          <w:p>
            <w:pPr>
              <w:ind w:left="720"/>
              <w:spacing w:after="0"/>
              <w:rPr>
                <w:sz w:val="20"/>
                <w:szCs w:val="20"/>
                <w:color w:val="auto"/>
              </w:rPr>
            </w:pPr>
            <w:r>
              <w:rPr>
                <w:rFonts w:ascii="Arial" w:cs="Arial" w:eastAsia="Arial" w:hAnsi="Arial"/>
                <w:sz w:val="18"/>
                <w:szCs w:val="18"/>
                <w:color w:val="auto"/>
              </w:rPr>
              <w:t>Marc Gabelli</w:t>
            </w:r>
          </w:p>
        </w:tc>
        <w:tc>
          <w:tcPr>
            <w:tcW w:w="5620" w:type="dxa"/>
            <w:vAlign w:val="bottom"/>
            <w:gridSpan w:val="2"/>
          </w:tcPr>
          <w:p>
            <w:pPr>
              <w:ind w:left="860"/>
              <w:spacing w:after="0"/>
              <w:rPr>
                <w:sz w:val="20"/>
                <w:szCs w:val="20"/>
                <w:color w:val="auto"/>
              </w:rPr>
            </w:pPr>
            <w:r>
              <w:rPr>
                <w:rFonts w:ascii="Arial" w:cs="Arial" w:eastAsia="Arial" w:hAnsi="Arial"/>
                <w:sz w:val="18"/>
                <w:szCs w:val="18"/>
                <w:color w:val="auto"/>
              </w:rPr>
              <w:t>Trustee</w:t>
            </w:r>
          </w:p>
        </w:tc>
      </w:tr>
      <w:tr>
        <w:trPr>
          <w:trHeight w:val="432"/>
        </w:trPr>
        <w:tc>
          <w:tcPr>
            <w:tcW w:w="3020" w:type="dxa"/>
            <w:vAlign w:val="bottom"/>
          </w:tcPr>
          <w:p>
            <w:pPr>
              <w:ind w:left="720"/>
              <w:spacing w:after="0"/>
              <w:rPr>
                <w:sz w:val="20"/>
                <w:szCs w:val="20"/>
                <w:color w:val="auto"/>
              </w:rPr>
            </w:pPr>
            <w:r>
              <w:rPr>
                <w:rFonts w:ascii="Arial" w:cs="Arial" w:eastAsia="Arial" w:hAnsi="Arial"/>
                <w:sz w:val="18"/>
                <w:szCs w:val="18"/>
                <w:color w:val="auto"/>
              </w:rPr>
              <w:t>Matthew R. Gabelli</w:t>
            </w:r>
          </w:p>
        </w:tc>
        <w:tc>
          <w:tcPr>
            <w:tcW w:w="5620" w:type="dxa"/>
            <w:vAlign w:val="bottom"/>
            <w:gridSpan w:val="2"/>
          </w:tcPr>
          <w:p>
            <w:pPr>
              <w:ind w:left="860"/>
              <w:spacing w:after="0"/>
              <w:rPr>
                <w:sz w:val="20"/>
                <w:szCs w:val="20"/>
                <w:color w:val="auto"/>
              </w:rPr>
            </w:pPr>
            <w:r>
              <w:rPr>
                <w:rFonts w:ascii="Arial" w:cs="Arial" w:eastAsia="Arial" w:hAnsi="Arial"/>
                <w:sz w:val="18"/>
                <w:szCs w:val="18"/>
                <w:color w:val="auto"/>
              </w:rPr>
              <w:t>Trustee</w:t>
            </w:r>
          </w:p>
        </w:tc>
      </w:tr>
      <w:tr>
        <w:trPr>
          <w:trHeight w:val="432"/>
        </w:trPr>
        <w:tc>
          <w:tcPr>
            <w:tcW w:w="3020" w:type="dxa"/>
            <w:vAlign w:val="bottom"/>
          </w:tcPr>
          <w:p>
            <w:pPr>
              <w:ind w:left="720"/>
              <w:spacing w:after="0"/>
              <w:rPr>
                <w:sz w:val="20"/>
                <w:szCs w:val="20"/>
                <w:color w:val="auto"/>
              </w:rPr>
            </w:pPr>
            <w:r>
              <w:rPr>
                <w:rFonts w:ascii="Arial" w:cs="Arial" w:eastAsia="Arial" w:hAnsi="Arial"/>
                <w:sz w:val="18"/>
                <w:szCs w:val="18"/>
                <w:color w:val="auto"/>
              </w:rPr>
              <w:t>Michael Gabelli</w:t>
            </w:r>
          </w:p>
        </w:tc>
        <w:tc>
          <w:tcPr>
            <w:tcW w:w="5620" w:type="dxa"/>
            <w:vAlign w:val="bottom"/>
            <w:gridSpan w:val="2"/>
          </w:tcPr>
          <w:p>
            <w:pPr>
              <w:ind w:left="860"/>
              <w:spacing w:after="0"/>
              <w:rPr>
                <w:sz w:val="20"/>
                <w:szCs w:val="20"/>
                <w:color w:val="auto"/>
              </w:rPr>
            </w:pPr>
            <w:r>
              <w:rPr>
                <w:rFonts w:ascii="Arial" w:cs="Arial" w:eastAsia="Arial" w:hAnsi="Arial"/>
                <w:sz w:val="18"/>
                <w:szCs w:val="18"/>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GGCP,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0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189"/>
        </w:trPr>
        <w:tc>
          <w:tcPr>
            <w:tcW w:w="4040" w:type="dxa"/>
            <w:vAlign w:val="bottom"/>
          </w:tcPr>
          <w:p>
            <w:pPr>
              <w:ind w:left="460"/>
              <w:spacing w:after="0" w:line="189" w:lineRule="exact"/>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line="189" w:lineRule="exact"/>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40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40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404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w w:val="98"/>
              </w:rPr>
              <w:t>Director/Trustee of all registered investment companies advised by Gabelli Funds, LLC.</w:t>
            </w:r>
          </w:p>
        </w:tc>
      </w:tr>
      <w:tr>
        <w:trPr>
          <w:trHeight w:val="432"/>
        </w:trPr>
        <w:tc>
          <w:tcPr>
            <w:tcW w:w="4040" w:type="dxa"/>
            <w:vAlign w:val="bottom"/>
          </w:tcPr>
          <w:p>
            <w:pPr>
              <w:ind w:left="460"/>
              <w:spacing w:after="0"/>
              <w:rPr>
                <w:sz w:val="20"/>
                <w:szCs w:val="20"/>
                <w:color w:val="auto"/>
              </w:rPr>
            </w:pPr>
            <w:r>
              <w:rPr>
                <w:rFonts w:ascii="Arial" w:cs="Arial" w:eastAsia="Arial" w:hAnsi="Arial"/>
                <w:sz w:val="18"/>
                <w:szCs w:val="18"/>
                <w:color w:val="auto"/>
              </w:rPr>
              <w:t>Marc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 – GGCP, Inc.</w:t>
            </w:r>
          </w:p>
        </w:tc>
      </w:tr>
      <w:tr>
        <w:trPr>
          <w:trHeight w:val="418"/>
        </w:trPr>
        <w:tc>
          <w:tcPr>
            <w:tcW w:w="4040" w:type="dxa"/>
            <w:vAlign w:val="bottom"/>
          </w:tcPr>
          <w:p>
            <w:pPr>
              <w:ind w:left="460"/>
              <w:spacing w:after="0"/>
              <w:rPr>
                <w:sz w:val="20"/>
                <w:szCs w:val="20"/>
                <w:color w:val="auto"/>
              </w:rPr>
            </w:pPr>
            <w:r>
              <w:rPr>
                <w:rFonts w:ascii="Arial" w:cs="Arial" w:eastAsia="Arial" w:hAnsi="Arial"/>
                <w:sz w:val="18"/>
                <w:szCs w:val="18"/>
                <w:color w:val="auto"/>
              </w:rPr>
              <w:t>Matthew R.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Vice President – Trading</w:t>
            </w:r>
          </w:p>
        </w:tc>
      </w:tr>
      <w:tr>
        <w:trPr>
          <w:trHeight w:val="216"/>
        </w:trPr>
        <w:tc>
          <w:tcPr>
            <w:tcW w:w="40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G.research, LLC</w:t>
            </w:r>
          </w:p>
        </w:tc>
      </w:tr>
      <w:tr>
        <w:trPr>
          <w:trHeight w:val="216"/>
        </w:trPr>
        <w:tc>
          <w:tcPr>
            <w:tcW w:w="40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04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418"/>
        </w:trPr>
        <w:tc>
          <w:tcPr>
            <w:tcW w:w="4040" w:type="dxa"/>
            <w:vAlign w:val="bottom"/>
          </w:tcPr>
          <w:p>
            <w:pPr>
              <w:ind w:left="460"/>
              <w:spacing w:after="0"/>
              <w:rPr>
                <w:sz w:val="20"/>
                <w:szCs w:val="20"/>
                <w:color w:val="auto"/>
              </w:rPr>
            </w:pPr>
            <w:r>
              <w:rPr>
                <w:rFonts w:ascii="Arial" w:cs="Arial" w:eastAsia="Arial" w:hAnsi="Arial"/>
                <w:sz w:val="18"/>
                <w:szCs w:val="18"/>
                <w:color w:val="auto"/>
              </w:rPr>
              <w:t>Michael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 &amp; COO</w:t>
            </w:r>
          </w:p>
        </w:tc>
      </w:tr>
      <w:tr>
        <w:trPr>
          <w:trHeight w:val="216"/>
        </w:trPr>
        <w:tc>
          <w:tcPr>
            <w:tcW w:w="40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Gabelli &amp; Partners, LLC</w:t>
            </w:r>
          </w:p>
        </w:tc>
      </w:tr>
      <w:tr>
        <w:trPr>
          <w:trHeight w:val="216"/>
        </w:trPr>
        <w:tc>
          <w:tcPr>
            <w:tcW w:w="40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04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634"/>
        </w:trPr>
        <w:tc>
          <w:tcPr>
            <w:tcW w:w="4040" w:type="dxa"/>
            <w:vAlign w:val="bottom"/>
          </w:tcPr>
          <w:p>
            <w:pPr>
              <w:ind w:left="460"/>
              <w:spacing w:after="0"/>
              <w:rPr>
                <w:sz w:val="20"/>
                <w:szCs w:val="20"/>
                <w:color w:val="auto"/>
              </w:rPr>
            </w:pPr>
            <w:r>
              <w:rPr>
                <w:rFonts w:ascii="Arial" w:cs="Arial" w:eastAsia="Arial" w:hAnsi="Arial"/>
                <w:sz w:val="18"/>
                <w:szCs w:val="18"/>
                <w:color w:val="auto"/>
              </w:rPr>
              <w:t>Frederic V. Salerno</w:t>
            </w:r>
          </w:p>
        </w:tc>
        <w:tc>
          <w:tcPr>
            <w:tcW w:w="6900" w:type="dxa"/>
            <w:vAlign w:val="bottom"/>
            <w:gridSpan w:val="2"/>
          </w:tcPr>
          <w:p>
            <w:pPr>
              <w:spacing w:after="0"/>
              <w:rPr>
                <w:sz w:val="20"/>
                <w:szCs w:val="20"/>
                <w:color w:val="auto"/>
              </w:rPr>
            </w:pPr>
            <w:r>
              <w:rPr>
                <w:rFonts w:ascii="Arial" w:cs="Arial" w:eastAsia="Arial" w:hAnsi="Arial"/>
                <w:sz w:val="18"/>
                <w:szCs w:val="18"/>
                <w:color w:val="auto"/>
              </w:rPr>
              <w:t>Chairman</w:t>
            </w:r>
          </w:p>
        </w:tc>
      </w:tr>
      <w:tr>
        <w:trPr>
          <w:trHeight w:val="216"/>
        </w:trPr>
        <w:tc>
          <w:tcPr>
            <w:tcW w:w="404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Former Vice Chairman and Chief Financial Officer</w:t>
            </w:r>
          </w:p>
        </w:tc>
      </w:tr>
      <w:tr>
        <w:trPr>
          <w:trHeight w:val="230"/>
        </w:trPr>
        <w:tc>
          <w:tcPr>
            <w:tcW w:w="404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Verizon Communications</w:t>
            </w:r>
          </w:p>
        </w:tc>
      </w:tr>
      <w:tr>
        <w:trPr>
          <w:trHeight w:val="648"/>
        </w:trPr>
        <w:tc>
          <w:tcPr>
            <w:tcW w:w="4040" w:type="dxa"/>
            <w:vAlign w:val="bottom"/>
          </w:tcPr>
          <w:p>
            <w:pPr>
              <w:ind w:left="500"/>
              <w:spacing w:after="0"/>
              <w:rPr>
                <w:sz w:val="20"/>
                <w:szCs w:val="20"/>
                <w:color w:val="auto"/>
              </w:rPr>
            </w:pPr>
            <w:r>
              <w:rPr>
                <w:rFonts w:ascii="Arial" w:cs="Arial" w:eastAsia="Arial" w:hAnsi="Arial"/>
                <w:sz w:val="18"/>
                <w:szCs w:val="18"/>
                <w:color w:val="auto"/>
              </w:rPr>
              <w:t>Vincent S. Tese</w:t>
            </w:r>
          </w:p>
        </w:tc>
        <w:tc>
          <w:tcPr>
            <w:tcW w:w="6900" w:type="dxa"/>
            <w:vAlign w:val="bottom"/>
            <w:gridSpan w:val="2"/>
          </w:tcPr>
          <w:p>
            <w:pPr>
              <w:spacing w:after="0"/>
              <w:rPr>
                <w:sz w:val="20"/>
                <w:szCs w:val="20"/>
                <w:color w:val="auto"/>
              </w:rPr>
            </w:pPr>
            <w:r>
              <w:rPr>
                <w:rFonts w:ascii="Arial" w:cs="Arial" w:eastAsia="Arial" w:hAnsi="Arial"/>
                <w:sz w:val="18"/>
                <w:szCs w:val="18"/>
                <w:color w:val="auto"/>
              </w:rPr>
              <w:t>Executive Chairman – FCB Financial Corp</w:t>
            </w:r>
          </w:p>
        </w:tc>
      </w:tr>
      <w:tr>
        <w:trPr>
          <w:trHeight w:val="432"/>
        </w:trPr>
        <w:tc>
          <w:tcPr>
            <w:tcW w:w="4040" w:type="dxa"/>
            <w:vAlign w:val="bottom"/>
          </w:tcPr>
          <w:p>
            <w:pPr>
              <w:ind w:left="500"/>
              <w:spacing w:after="0"/>
              <w:rPr>
                <w:sz w:val="20"/>
                <w:szCs w:val="20"/>
                <w:color w:val="auto"/>
              </w:rPr>
            </w:pPr>
            <w:r>
              <w:rPr>
                <w:rFonts w:ascii="Arial" w:cs="Arial" w:eastAsia="Arial" w:hAnsi="Arial"/>
                <w:sz w:val="18"/>
                <w:szCs w:val="18"/>
                <w:color w:val="auto"/>
              </w:rPr>
              <w:t>Elisa M. Wilson</w:t>
            </w:r>
          </w:p>
        </w:tc>
        <w:tc>
          <w:tcPr>
            <w:tcW w:w="69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Officers:</w:t>
            </w:r>
          </w:p>
        </w:tc>
        <w:tc>
          <w:tcPr>
            <w:tcW w:w="96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16"/>
        </w:trPr>
        <w:tc>
          <w:tcPr>
            <w:tcW w:w="404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Chief Executive Officer and Chief Investment Officer</w:t>
            </w:r>
          </w:p>
        </w:tc>
      </w:tr>
      <w:tr>
        <w:trPr>
          <w:trHeight w:val="216"/>
        </w:trPr>
        <w:tc>
          <w:tcPr>
            <w:tcW w:w="4040" w:type="dxa"/>
            <w:vAlign w:val="bottom"/>
          </w:tcPr>
          <w:p>
            <w:pPr>
              <w:ind w:left="640"/>
              <w:spacing w:after="0"/>
              <w:rPr>
                <w:sz w:val="20"/>
                <w:szCs w:val="20"/>
                <w:color w:val="auto"/>
              </w:rPr>
            </w:pPr>
            <w:r>
              <w:rPr>
                <w:rFonts w:ascii="Arial" w:cs="Arial" w:eastAsia="Arial" w:hAnsi="Arial"/>
                <w:sz w:val="18"/>
                <w:szCs w:val="18"/>
                <w:color w:val="auto"/>
              </w:rPr>
              <w:t>Marc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16"/>
        </w:trPr>
        <w:tc>
          <w:tcPr>
            <w:tcW w:w="4040" w:type="dxa"/>
            <w:vAlign w:val="bottom"/>
          </w:tcPr>
          <w:p>
            <w:pPr>
              <w:ind w:left="640"/>
              <w:spacing w:after="0"/>
              <w:rPr>
                <w:sz w:val="20"/>
                <w:szCs w:val="20"/>
                <w:color w:val="auto"/>
              </w:rPr>
            </w:pPr>
            <w:r>
              <w:rPr>
                <w:rFonts w:ascii="Arial" w:cs="Arial" w:eastAsia="Arial" w:hAnsi="Arial"/>
                <w:sz w:val="18"/>
                <w:szCs w:val="18"/>
                <w:color w:val="auto"/>
              </w:rPr>
              <w:t>Silvio A. Berni</w:t>
            </w:r>
          </w:p>
        </w:tc>
        <w:tc>
          <w:tcPr>
            <w:tcW w:w="6900" w:type="dxa"/>
            <w:vAlign w:val="bottom"/>
            <w:gridSpan w:val="2"/>
          </w:tcPr>
          <w:p>
            <w:pPr>
              <w:spacing w:after="0"/>
              <w:rPr>
                <w:sz w:val="20"/>
                <w:szCs w:val="20"/>
                <w:color w:val="auto"/>
              </w:rPr>
            </w:pPr>
            <w:r>
              <w:rPr>
                <w:rFonts w:ascii="Arial" w:cs="Arial" w:eastAsia="Arial" w:hAnsi="Arial"/>
                <w:sz w:val="18"/>
                <w:szCs w:val="18"/>
                <w:color w:val="auto"/>
                <w:w w:val="91"/>
              </w:rPr>
              <w:t>Chief Financial and Accounting Officer, Vice President Corporate Development and Controller,</w:t>
            </w:r>
          </w:p>
        </w:tc>
      </w:tr>
      <w:tr>
        <w:trPr>
          <w:trHeight w:val="230"/>
        </w:trPr>
        <w:tc>
          <w:tcPr>
            <w:tcW w:w="404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GGCP Holdings LLC</w:t>
            </w:r>
          </w:p>
        </w:tc>
        <w:tc>
          <w:tcPr>
            <w:tcW w:w="96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Members:</w:t>
            </w:r>
          </w:p>
        </w:tc>
        <w:tc>
          <w:tcPr>
            <w:tcW w:w="9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432"/>
        </w:trPr>
        <w:tc>
          <w:tcPr>
            <w:tcW w:w="4040" w:type="dxa"/>
            <w:vAlign w:val="bottom"/>
          </w:tcPr>
          <w:p>
            <w:pPr>
              <w:ind w:left="640"/>
              <w:spacing w:after="0"/>
              <w:rPr>
                <w:sz w:val="20"/>
                <w:szCs w:val="20"/>
                <w:color w:val="auto"/>
              </w:rPr>
            </w:pPr>
            <w:r>
              <w:rPr>
                <w:rFonts w:ascii="Arial" w:cs="Arial" w:eastAsia="Arial" w:hAnsi="Arial"/>
                <w:sz w:val="18"/>
                <w:szCs w:val="18"/>
                <w:color w:val="auto"/>
              </w:rPr>
              <w:t>GGCP, Inc.</w:t>
            </w:r>
          </w:p>
        </w:tc>
        <w:tc>
          <w:tcPr>
            <w:tcW w:w="6900" w:type="dxa"/>
            <w:vAlign w:val="bottom"/>
            <w:gridSpan w:val="2"/>
          </w:tcPr>
          <w:p>
            <w:pPr>
              <w:spacing w:after="0"/>
              <w:rPr>
                <w:sz w:val="20"/>
                <w:szCs w:val="20"/>
                <w:color w:val="auto"/>
              </w:rPr>
            </w:pPr>
            <w:r>
              <w:rPr>
                <w:rFonts w:ascii="Arial" w:cs="Arial" w:eastAsia="Arial" w:hAnsi="Arial"/>
                <w:sz w:val="18"/>
                <w:szCs w:val="18"/>
                <w:color w:val="auto"/>
              </w:rPr>
              <w:t>Manager and Member</w:t>
            </w:r>
          </w:p>
        </w:tc>
      </w:tr>
      <w:tr>
        <w:trPr>
          <w:trHeight w:val="439"/>
        </w:trPr>
        <w:tc>
          <w:tcPr>
            <w:tcW w:w="40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097" w:right="6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Teton Advisors,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Marc Gabelli</w:t>
            </w:r>
          </w:p>
        </w:tc>
        <w:tc>
          <w:tcPr>
            <w:tcW w:w="464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418"/>
        </w:trPr>
        <w:tc>
          <w:tcPr>
            <w:tcW w:w="4040" w:type="dxa"/>
            <w:vAlign w:val="bottom"/>
          </w:tcPr>
          <w:p>
            <w:pPr>
              <w:ind w:left="680"/>
              <w:spacing w:after="0"/>
              <w:rPr>
                <w:sz w:val="20"/>
                <w:szCs w:val="20"/>
                <w:color w:val="auto"/>
              </w:rPr>
            </w:pPr>
            <w:r>
              <w:rPr>
                <w:rFonts w:ascii="Arial" w:cs="Arial" w:eastAsia="Arial" w:hAnsi="Arial"/>
                <w:sz w:val="18"/>
                <w:szCs w:val="18"/>
                <w:color w:val="auto"/>
              </w:rPr>
              <w:t>Vincent J. Amabile</w:t>
            </w:r>
          </w:p>
        </w:tc>
        <w:tc>
          <w:tcPr>
            <w:tcW w:w="4640" w:type="dxa"/>
            <w:vAlign w:val="bottom"/>
          </w:tcPr>
          <w:p>
            <w:pPr>
              <w:spacing w:after="0"/>
              <w:rPr>
                <w:sz w:val="20"/>
                <w:szCs w:val="20"/>
                <w:color w:val="auto"/>
              </w:rPr>
            </w:pPr>
            <w:r>
              <w:rPr>
                <w:rFonts w:ascii="Arial" w:cs="Arial" w:eastAsia="Arial" w:hAnsi="Arial"/>
                <w:sz w:val="18"/>
                <w:szCs w:val="18"/>
                <w:color w:val="auto"/>
              </w:rPr>
              <w:t>Founder- Amabile Partners</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Stephen G. Bondi, CPA</w:t>
            </w:r>
          </w:p>
        </w:tc>
        <w:tc>
          <w:tcPr>
            <w:tcW w:w="4640" w:type="dxa"/>
            <w:vAlign w:val="bottom"/>
          </w:tcPr>
          <w:p>
            <w:pPr>
              <w:spacing w:after="0"/>
              <w:rPr>
                <w:sz w:val="20"/>
                <w:szCs w:val="20"/>
                <w:color w:val="auto"/>
              </w:rPr>
            </w:pPr>
            <w:r>
              <w:rPr>
                <w:rFonts w:ascii="Arial" w:cs="Arial" w:eastAsia="Arial" w:hAnsi="Arial"/>
                <w:sz w:val="18"/>
                <w:szCs w:val="18"/>
                <w:color w:val="auto"/>
              </w:rPr>
              <w:t>Chief Financial Officer – Mittleman Brothers, LLC</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Aaron J. Feingold, M.D.</w:t>
            </w:r>
          </w:p>
        </w:tc>
        <w:tc>
          <w:tcPr>
            <w:tcW w:w="4640" w:type="dxa"/>
            <w:vAlign w:val="bottom"/>
          </w:tcPr>
          <w:p>
            <w:pPr>
              <w:spacing w:after="0"/>
              <w:rPr>
                <w:sz w:val="20"/>
                <w:szCs w:val="20"/>
                <w:color w:val="auto"/>
              </w:rPr>
            </w:pPr>
            <w:r>
              <w:rPr>
                <w:rFonts w:ascii="Arial" w:cs="Arial" w:eastAsia="Arial" w:hAnsi="Arial"/>
                <w:sz w:val="18"/>
                <w:szCs w:val="18"/>
                <w:color w:val="auto"/>
              </w:rPr>
              <w:t>President and Founder – Raritan Bay Cardiology Group</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46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Kevin M. Keeley</w:t>
            </w:r>
          </w:p>
        </w:tc>
        <w:tc>
          <w:tcPr>
            <w:tcW w:w="4640" w:type="dxa"/>
            <w:vAlign w:val="bottom"/>
          </w:tcPr>
          <w:p>
            <w:pPr>
              <w:spacing w:after="0"/>
              <w:rPr>
                <w:sz w:val="20"/>
                <w:szCs w:val="20"/>
                <w:color w:val="auto"/>
              </w:rPr>
            </w:pPr>
            <w:r>
              <w:rPr>
                <w:rFonts w:ascii="Arial" w:cs="Arial" w:eastAsia="Arial" w:hAnsi="Arial"/>
                <w:sz w:val="18"/>
                <w:szCs w:val="18"/>
                <w:color w:val="auto"/>
                <w:w w:val="91"/>
              </w:rPr>
              <w:t>President &amp; Executive Chairman – Keeley Teton Advisors, LLC</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John M. Tesoro, CPA</w:t>
            </w:r>
          </w:p>
        </w:tc>
        <w:tc>
          <w:tcPr>
            <w:tcW w:w="4640" w:type="dxa"/>
            <w:vAlign w:val="bottom"/>
          </w:tcPr>
          <w:p>
            <w:pPr>
              <w:spacing w:after="0"/>
              <w:rPr>
                <w:sz w:val="20"/>
                <w:szCs w:val="20"/>
                <w:color w:val="auto"/>
              </w:rPr>
            </w:pPr>
            <w:r>
              <w:rPr>
                <w:rFonts w:ascii="Arial" w:cs="Arial" w:eastAsia="Arial" w:hAnsi="Arial"/>
                <w:sz w:val="18"/>
                <w:szCs w:val="18"/>
                <w:color w:val="auto"/>
              </w:rPr>
              <w:t>Retired Partner – KPMG LLP</w:t>
            </w:r>
          </w:p>
        </w:tc>
      </w:tr>
      <w:tr>
        <w:trPr>
          <w:trHeight w:val="648"/>
        </w:trPr>
        <w:tc>
          <w:tcPr>
            <w:tcW w:w="4040" w:type="dxa"/>
            <w:vAlign w:val="bottom"/>
          </w:tcPr>
          <w:p>
            <w:pPr>
              <w:spacing w:after="0"/>
              <w:rPr>
                <w:sz w:val="20"/>
                <w:szCs w:val="20"/>
                <w:color w:val="auto"/>
              </w:rPr>
            </w:pPr>
            <w:r>
              <w:rPr>
                <w:rFonts w:ascii="Arial" w:cs="Arial" w:eastAsia="Arial" w:hAnsi="Arial"/>
                <w:sz w:val="18"/>
                <w:szCs w:val="18"/>
                <w:color w:val="auto"/>
              </w:rPr>
              <w:t>Officers:</w:t>
            </w:r>
          </w:p>
        </w:tc>
        <w:tc>
          <w:tcPr>
            <w:tcW w:w="4640" w:type="dxa"/>
            <w:vAlign w:val="bottom"/>
          </w:tcPr>
          <w:p>
            <w:pPr>
              <w:spacing w:after="0"/>
              <w:rPr>
                <w:sz w:val="24"/>
                <w:szCs w:val="24"/>
                <w:color w:val="auto"/>
              </w:rPr>
            </w:pP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4640" w:type="dxa"/>
            <w:vAlign w:val="bottom"/>
          </w:tcPr>
          <w:p>
            <w:pPr>
              <w:spacing w:after="0"/>
              <w:rPr>
                <w:sz w:val="20"/>
                <w:szCs w:val="20"/>
                <w:color w:val="auto"/>
              </w:rPr>
            </w:pPr>
            <w:r>
              <w:rPr>
                <w:rFonts w:ascii="Arial" w:cs="Arial" w:eastAsia="Arial" w:hAnsi="Arial"/>
                <w:sz w:val="18"/>
                <w:szCs w:val="18"/>
                <w:color w:val="auto"/>
              </w:rPr>
              <w:t>See above</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Patrick B. Huvane, CPA, CFA</w:t>
            </w:r>
          </w:p>
        </w:tc>
        <w:tc>
          <w:tcPr>
            <w:tcW w:w="4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040" w:type="dxa"/>
            <w:vAlign w:val="bottom"/>
          </w:tcPr>
          <w:p>
            <w:pPr>
              <w:ind w:left="680"/>
              <w:spacing w:after="0"/>
              <w:rPr>
                <w:sz w:val="20"/>
                <w:szCs w:val="20"/>
                <w:color w:val="auto"/>
              </w:rPr>
            </w:pPr>
            <w:r>
              <w:rPr>
                <w:rFonts w:ascii="Arial" w:cs="Arial" w:eastAsia="Arial" w:hAnsi="Arial"/>
                <w:sz w:val="18"/>
                <w:szCs w:val="18"/>
                <w:color w:val="auto"/>
              </w:rPr>
              <w:t>Deanna B. Marotz</w:t>
            </w:r>
          </w:p>
        </w:tc>
        <w:tc>
          <w:tcPr>
            <w:tcW w:w="4640" w:type="dxa"/>
            <w:vAlign w:val="bottom"/>
          </w:tcPr>
          <w:p>
            <w:pPr>
              <w:spacing w:after="0"/>
              <w:rPr>
                <w:sz w:val="20"/>
                <w:szCs w:val="20"/>
                <w:color w:val="auto"/>
              </w:rPr>
            </w:pPr>
            <w:r>
              <w:rPr>
                <w:rFonts w:ascii="Arial" w:cs="Arial" w:eastAsia="Arial" w:hAnsi="Arial"/>
                <w:sz w:val="18"/>
                <w:szCs w:val="18"/>
                <w:color w:val="auto"/>
              </w:rPr>
              <w:t>Chief 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70"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Associated Capital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2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Mario J. Gabelli</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1"/>
              </w:rPr>
              <w:t>Director/Trustee of all registered investment companies advised by Gabelli Funds, LLC.</w:t>
            </w:r>
          </w:p>
        </w:tc>
      </w:tr>
      <w:tr>
        <w:trPr>
          <w:trHeight w:val="648"/>
        </w:trPr>
        <w:tc>
          <w:tcPr>
            <w:tcW w:w="3620" w:type="dxa"/>
            <w:vAlign w:val="bottom"/>
          </w:tcPr>
          <w:p>
            <w:pPr>
              <w:ind w:left="640"/>
              <w:spacing w:after="0"/>
              <w:rPr>
                <w:sz w:val="20"/>
                <w:szCs w:val="20"/>
                <w:color w:val="auto"/>
              </w:rPr>
            </w:pPr>
            <w:r>
              <w:rPr>
                <w:rFonts w:ascii="Arial" w:cs="Arial" w:eastAsia="Arial" w:hAnsi="Arial"/>
                <w:sz w:val="18"/>
                <w:szCs w:val="18"/>
                <w:color w:val="auto"/>
              </w:rPr>
              <w:t>Marc Gabelli</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 GGCP, Inc.</w:t>
            </w:r>
          </w:p>
        </w:tc>
      </w:tr>
      <w:tr>
        <w:trPr>
          <w:trHeight w:val="432"/>
        </w:trPr>
        <w:tc>
          <w:tcPr>
            <w:tcW w:w="362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20" w:type="dxa"/>
            <w:vAlign w:val="bottom"/>
          </w:tcPr>
          <w:p>
            <w:pPr>
              <w:ind w:left="640"/>
              <w:spacing w:after="0"/>
              <w:rPr>
                <w:sz w:val="20"/>
                <w:szCs w:val="20"/>
                <w:color w:val="auto"/>
              </w:rPr>
            </w:pPr>
            <w:r>
              <w:rPr>
                <w:rFonts w:ascii="Arial" w:cs="Arial" w:eastAsia="Arial" w:hAnsi="Arial"/>
                <w:sz w:val="18"/>
                <w:szCs w:val="18"/>
                <w:color w:val="auto"/>
              </w:rPr>
              <w:t>Bruce Lisman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Former Chairman - JP Morgan – Global Equity Division</w:t>
            </w:r>
          </w:p>
        </w:tc>
      </w:tr>
      <w:tr>
        <w:trPr>
          <w:trHeight w:val="634"/>
        </w:trPr>
        <w:tc>
          <w:tcPr>
            <w:tcW w:w="3620" w:type="dxa"/>
            <w:vAlign w:val="bottom"/>
          </w:tcPr>
          <w:p>
            <w:pPr>
              <w:ind w:left="660"/>
              <w:spacing w:after="0"/>
              <w:rPr>
                <w:sz w:val="20"/>
                <w:szCs w:val="20"/>
                <w:color w:val="auto"/>
              </w:rPr>
            </w:pPr>
            <w:r>
              <w:rPr>
                <w:rFonts w:ascii="Arial" w:cs="Arial" w:eastAsia="Arial" w:hAnsi="Arial"/>
                <w:sz w:val="18"/>
                <w:szCs w:val="18"/>
                <w:color w:val="auto"/>
              </w:rPr>
              <w:t>Daniel R. Lee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Full House Resorts, Inc.</w:t>
            </w:r>
          </w:p>
        </w:tc>
      </w:tr>
      <w:tr>
        <w:trPr>
          <w:trHeight w:val="216"/>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4670 South Ford Apache Road, Suite 190</w:t>
            </w:r>
          </w:p>
        </w:tc>
      </w:tr>
      <w:tr>
        <w:trPr>
          <w:trHeight w:val="230"/>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Las Vegas, NV 89147</w:t>
            </w:r>
          </w:p>
        </w:tc>
      </w:tr>
      <w:tr>
        <w:trPr>
          <w:trHeight w:val="432"/>
        </w:trPr>
        <w:tc>
          <w:tcPr>
            <w:tcW w:w="3620" w:type="dxa"/>
            <w:vAlign w:val="bottom"/>
          </w:tcPr>
          <w:p>
            <w:pPr>
              <w:ind w:left="640"/>
              <w:spacing w:after="0"/>
              <w:rPr>
                <w:sz w:val="20"/>
                <w:szCs w:val="20"/>
                <w:color w:val="auto"/>
              </w:rPr>
            </w:pPr>
            <w:r>
              <w:rPr>
                <w:rFonts w:ascii="Arial" w:cs="Arial" w:eastAsia="Arial" w:hAnsi="Arial"/>
                <w:sz w:val="18"/>
                <w:szCs w:val="18"/>
                <w:color w:val="auto"/>
              </w:rPr>
              <w:t>Salvatore F. Sodano</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Vice Chairman – Broadridge Financial Solutions</w:t>
            </w:r>
          </w:p>
        </w:tc>
      </w:tr>
      <w:tr>
        <w:trPr>
          <w:trHeight w:val="648"/>
        </w:trPr>
        <w:tc>
          <w:tcPr>
            <w:tcW w:w="3620" w:type="dxa"/>
            <w:vAlign w:val="bottom"/>
          </w:tcPr>
          <w:p>
            <w:pPr>
              <w:ind w:left="640"/>
              <w:spacing w:after="0"/>
              <w:rPr>
                <w:sz w:val="20"/>
                <w:szCs w:val="20"/>
                <w:color w:val="auto"/>
              </w:rPr>
            </w:pPr>
            <w:r>
              <w:rPr>
                <w:rFonts w:ascii="Arial" w:cs="Arial" w:eastAsia="Arial" w:hAnsi="Arial"/>
                <w:sz w:val="18"/>
                <w:szCs w:val="18"/>
                <w:color w:val="auto"/>
              </w:rPr>
              <w:t>Frederic V. Salerno</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See above</w:t>
            </w:r>
          </w:p>
        </w:tc>
      </w:tr>
      <w:tr>
        <w:trPr>
          <w:trHeight w:val="648"/>
        </w:trPr>
        <w:tc>
          <w:tcPr>
            <w:tcW w:w="3620" w:type="dxa"/>
            <w:vAlign w:val="bottom"/>
          </w:tcPr>
          <w:p>
            <w:pPr>
              <w:ind w:left="640"/>
              <w:spacing w:after="0"/>
              <w:rPr>
                <w:sz w:val="20"/>
                <w:szCs w:val="20"/>
                <w:color w:val="auto"/>
              </w:rPr>
            </w:pPr>
            <w:r>
              <w:rPr>
                <w:rFonts w:ascii="Arial" w:cs="Arial" w:eastAsia="Arial" w:hAnsi="Arial"/>
                <w:sz w:val="18"/>
                <w:szCs w:val="18"/>
                <w:color w:val="auto"/>
              </w:rPr>
              <w:t>Elisa M. Wilson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Director</w:t>
            </w: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Officers: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62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Douglas R. Jamieson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Kenneth D. Masiello</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Kevin Handwerker</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David Fitzgerald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65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Gabelli &amp; Company Investment Advisers, Inc.</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Directors: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418"/>
        </w:trPr>
        <w:tc>
          <w:tcPr>
            <w:tcW w:w="362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661"/>
        </w:trPr>
        <w:tc>
          <w:tcPr>
            <w:tcW w:w="3620" w:type="dxa"/>
            <w:vAlign w:val="bottom"/>
          </w:tcPr>
          <w:p>
            <w:pPr>
              <w:spacing w:after="0"/>
              <w:rPr>
                <w:sz w:val="20"/>
                <w:szCs w:val="20"/>
                <w:color w:val="auto"/>
              </w:rPr>
            </w:pPr>
            <w:r>
              <w:rPr>
                <w:rFonts w:ascii="Arial" w:cs="Arial" w:eastAsia="Arial" w:hAnsi="Arial"/>
                <w:sz w:val="18"/>
                <w:szCs w:val="18"/>
                <w:color w:val="auto"/>
              </w:rPr>
              <w:t>Officers: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62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3620" w:type="dxa"/>
            <w:vAlign w:val="bottom"/>
          </w:tcPr>
          <w:p>
            <w:pPr>
              <w:ind w:left="640"/>
              <w:spacing w:after="0"/>
              <w:rPr>
                <w:sz w:val="20"/>
                <w:szCs w:val="20"/>
                <w:color w:val="auto"/>
              </w:rPr>
            </w:pPr>
            <w:r>
              <w:rPr>
                <w:rFonts w:ascii="Arial" w:cs="Arial" w:eastAsia="Arial" w:hAnsi="Arial"/>
                <w:sz w:val="18"/>
                <w:szCs w:val="18"/>
                <w:color w:val="auto"/>
              </w:rPr>
              <w:t>John Givissis</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Controller</w:t>
            </w:r>
          </w:p>
        </w:tc>
      </w:tr>
      <w:tr>
        <w:trPr>
          <w:trHeight w:val="432"/>
        </w:trPr>
        <w:tc>
          <w:tcPr>
            <w:tcW w:w="3620" w:type="dxa"/>
            <w:vAlign w:val="bottom"/>
          </w:tcPr>
          <w:p>
            <w:pPr>
              <w:ind w:left="660"/>
              <w:spacing w:after="0"/>
              <w:rPr>
                <w:sz w:val="20"/>
                <w:szCs w:val="20"/>
                <w:color w:val="auto"/>
              </w:rPr>
            </w:pPr>
            <w:r>
              <w:rPr>
                <w:rFonts w:ascii="Arial" w:cs="Arial" w:eastAsia="Arial" w:hAnsi="Arial"/>
                <w:sz w:val="18"/>
                <w:szCs w:val="18"/>
                <w:color w:val="auto"/>
              </w:rPr>
              <w:t>Kevin Handwerker</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Secretary</w:t>
            </w:r>
          </w:p>
        </w:tc>
      </w:tr>
      <w:tr>
        <w:trPr>
          <w:trHeight w:val="432"/>
        </w:trPr>
        <w:tc>
          <w:tcPr>
            <w:tcW w:w="3620" w:type="dxa"/>
            <w:vAlign w:val="bottom"/>
          </w:tcPr>
          <w:p>
            <w:pPr>
              <w:ind w:left="660"/>
              <w:spacing w:after="0"/>
              <w:rPr>
                <w:sz w:val="20"/>
                <w:szCs w:val="20"/>
                <w:color w:val="auto"/>
              </w:rPr>
            </w:pPr>
            <w:r>
              <w:rPr>
                <w:rFonts w:ascii="Arial" w:cs="Arial" w:eastAsia="Arial" w:hAnsi="Arial"/>
                <w:sz w:val="18"/>
                <w:szCs w:val="18"/>
                <w:color w:val="auto"/>
              </w:rPr>
              <w:t>David Fitzgerald</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Assistant Secretary</w:t>
            </w:r>
          </w:p>
        </w:tc>
      </w:tr>
      <w:tr>
        <w:trPr>
          <w:trHeight w:val="439"/>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G.research, LLC</w:t>
            </w:r>
          </w:p>
        </w:tc>
        <w:tc>
          <w:tcPr>
            <w:tcW w:w="2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Officers: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620" w:type="dxa"/>
            <w:vAlign w:val="bottom"/>
          </w:tcPr>
          <w:p>
            <w:pPr>
              <w:ind w:left="680"/>
              <w:spacing w:after="0"/>
              <w:rPr>
                <w:sz w:val="20"/>
                <w:szCs w:val="20"/>
                <w:color w:val="auto"/>
              </w:rPr>
            </w:pPr>
            <w:r>
              <w:rPr>
                <w:rFonts w:ascii="Arial" w:cs="Arial" w:eastAsia="Arial" w:hAnsi="Arial"/>
                <w:sz w:val="18"/>
                <w:szCs w:val="18"/>
                <w:color w:val="auto"/>
              </w:rPr>
              <w:t>Cornelius V. McGinity</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Office of the Chairman</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Vincent Amabile</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President</w:t>
            </w:r>
          </w:p>
        </w:tc>
      </w:tr>
      <w:tr>
        <w:trPr>
          <w:trHeight w:val="432"/>
        </w:trPr>
        <w:tc>
          <w:tcPr>
            <w:tcW w:w="362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Douglas R. Jamieson</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Secretary</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Kevin Handwerker</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Assistant Secretary</w:t>
            </w:r>
          </w:p>
        </w:tc>
      </w:tr>
      <w:tr>
        <w:trPr>
          <w:trHeight w:val="432"/>
        </w:trPr>
        <w:tc>
          <w:tcPr>
            <w:tcW w:w="3620" w:type="dxa"/>
            <w:vAlign w:val="bottom"/>
          </w:tcPr>
          <w:p>
            <w:pPr>
              <w:ind w:left="680"/>
              <w:spacing w:after="0"/>
              <w:rPr>
                <w:sz w:val="20"/>
                <w:szCs w:val="20"/>
                <w:color w:val="auto"/>
              </w:rPr>
            </w:pPr>
            <w:r>
              <w:rPr>
                <w:rFonts w:ascii="Arial" w:cs="Arial" w:eastAsia="Arial" w:hAnsi="Arial"/>
                <w:sz w:val="18"/>
                <w:szCs w:val="18"/>
                <w:color w:val="auto"/>
              </w:rPr>
              <w:t>David Fitzgerald</w:t>
            </w:r>
          </w:p>
        </w:tc>
        <w:tc>
          <w:tcPr>
            <w:tcW w:w="6780" w:type="dxa"/>
            <w:vAlign w:val="bottom"/>
            <w:gridSpan w:val="3"/>
          </w:tcPr>
          <w:p>
            <w:pPr>
              <w:ind w:left="260"/>
              <w:spacing w:after="0"/>
              <w:rPr>
                <w:sz w:val="20"/>
                <w:szCs w:val="20"/>
                <w:color w:val="auto"/>
              </w:rPr>
            </w:pPr>
            <w:r>
              <w:rPr>
                <w:rFonts w:ascii="Arial" w:cs="Arial" w:eastAsia="Arial" w:hAnsi="Arial"/>
                <w:sz w:val="18"/>
                <w:szCs w:val="18"/>
                <w:color w:val="auto"/>
              </w:rPr>
              <w:t>Assistant Secretary</w:t>
            </w:r>
          </w:p>
        </w:tc>
      </w:tr>
    </w:tbl>
    <w:p>
      <w:pPr>
        <w:sectPr>
          <w:pgSz w:w="11900" w:h="16838" w:orient="portrait"/>
          <w:cols w:equalWidth="0" w:num="1">
            <w:col w:w="10400"/>
          </w:cols>
          <w:pgMar w:left="320" w:top="1313" w:right="1179" w:bottom="0" w:gutter="0" w:footer="0" w:header="0"/>
        </w:sectPr>
      </w:pPr>
    </w:p>
    <w:bookmarkStart w:id="18" w:name="page19"/>
    <w:bookmarkEnd w:id="18"/>
    <w:p>
      <w:pPr>
        <w:spacing w:after="0"/>
        <w:tabs>
          <w:tab w:leader="none" w:pos="3180" w:val="left"/>
        </w:tabs>
        <w:rPr>
          <w:sz w:val="20"/>
          <w:szCs w:val="20"/>
          <w:color w:val="auto"/>
        </w:rPr>
      </w:pPr>
      <w:r>
        <w:rPr>
          <w:rFonts w:ascii="Arial" w:cs="Arial" w:eastAsia="Arial" w:hAnsi="Arial"/>
          <w:sz w:val="18"/>
          <w:szCs w:val="18"/>
          <w:color w:val="auto"/>
        </w:rPr>
        <w:t>David Goldman</w:t>
      </w:r>
      <w:r>
        <w:rPr>
          <w:sz w:val="20"/>
          <w:szCs w:val="20"/>
          <w:color w:val="auto"/>
        </w:rPr>
        <w:tab/>
      </w:r>
      <w:r>
        <w:rPr>
          <w:rFonts w:ascii="Arial" w:cs="Arial" w:eastAsia="Arial" w:hAnsi="Arial"/>
          <w:sz w:val="16"/>
          <w:szCs w:val="16"/>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52705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59"/>
          </w:cols>
          <w:pgMar w:left="1000" w:top="125" w:right="1440" w:bottom="1440" w:gutter="0" w:footer="0" w:header="0"/>
        </w:sectPr>
      </w:pPr>
    </w:p>
    <w:bookmarkStart w:id="19" w:name="page20"/>
    <w:bookmarkEnd w:id="19"/>
    <w:p>
      <w:pPr>
        <w:spacing w:after="0" w:line="3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SCHEDULE II</w:t>
      </w:r>
    </w:p>
    <w:p>
      <w:pPr>
        <w:ind w:left="1460"/>
        <w:spacing w:after="0" w:line="238" w:lineRule="auto"/>
        <w:rPr>
          <w:sz w:val="20"/>
          <w:szCs w:val="20"/>
          <w:color w:val="auto"/>
        </w:rPr>
      </w:pPr>
      <w:r>
        <w:rPr>
          <w:rFonts w:ascii="Arial" w:cs="Arial" w:eastAsia="Arial" w:hAnsi="Arial"/>
          <w:sz w:val="22"/>
          <w:szCs w:val="22"/>
          <w:color w:val="auto"/>
        </w:rPr>
        <w:t>INFORMATION WITH RESPECT TO</w:t>
      </w:r>
    </w:p>
    <w:p>
      <w:pPr>
        <w:ind w:left="860" w:right="2859" w:hanging="3"/>
        <w:spacing w:after="0" w:line="241" w:lineRule="auto"/>
        <w:rPr>
          <w:sz w:val="20"/>
          <w:szCs w:val="20"/>
          <w:color w:val="auto"/>
        </w:rPr>
      </w:pPr>
      <w:r>
        <w:rPr>
          <w:rFonts w:ascii="Arial" w:cs="Arial" w:eastAsia="Arial" w:hAnsi="Arial"/>
          <w:sz w:val="21"/>
          <w:szCs w:val="21"/>
          <w:color w:val="auto"/>
        </w:rPr>
        <w:t>TRANSACTIONS EFFECTED DURING THE PAST SIXTY DAYS OR SINCE THE MOST RECENT FILING ON SCHEDULE 13D (1)</w:t>
      </w:r>
    </w:p>
    <w:tbl>
      <w:tblPr>
        <w:tblLayout w:type="fixed"/>
        <w:tblInd w:w="0" w:type="dxa"/>
        <w:tblCellMar>
          <w:top w:w="0" w:type="dxa"/>
          <w:left w:w="0" w:type="dxa"/>
          <w:bottom w:w="0" w:type="dxa"/>
          <w:right w:w="0" w:type="dxa"/>
        </w:tblCellMar>
      </w:tblPr>
      <w:tr>
        <w:trPr>
          <w:trHeight w:val="226"/>
        </w:trPr>
        <w:tc>
          <w:tcPr>
            <w:tcW w:w="4400" w:type="dxa"/>
            <w:vAlign w:val="bottom"/>
            <w:gridSpan w:val="3"/>
          </w:tcPr>
          <w:p>
            <w:pPr>
              <w:ind w:left="1840"/>
              <w:spacing w:after="0" w:line="226" w:lineRule="exact"/>
              <w:rPr>
                <w:sz w:val="20"/>
                <w:szCs w:val="20"/>
                <w:color w:val="auto"/>
              </w:rPr>
            </w:pPr>
            <w:r>
              <w:rPr>
                <w:rFonts w:ascii="Arial" w:cs="Arial" w:eastAsia="Arial" w:hAnsi="Arial"/>
                <w:sz w:val="22"/>
                <w:szCs w:val="22"/>
                <w:color w:val="auto"/>
              </w:rPr>
              <w:t>SHARES PURCHASED</w:t>
            </w:r>
          </w:p>
        </w:tc>
        <w:tc>
          <w:tcPr>
            <w:tcW w:w="1480" w:type="dxa"/>
            <w:vAlign w:val="bottom"/>
          </w:tcPr>
          <w:p>
            <w:pPr>
              <w:ind w:left="40"/>
              <w:spacing w:after="0" w:line="226" w:lineRule="exact"/>
              <w:rPr>
                <w:sz w:val="20"/>
                <w:szCs w:val="20"/>
                <w:color w:val="auto"/>
              </w:rPr>
            </w:pPr>
            <w:r>
              <w:rPr>
                <w:rFonts w:ascii="Arial" w:cs="Arial" w:eastAsia="Arial" w:hAnsi="Arial"/>
                <w:sz w:val="22"/>
                <w:szCs w:val="22"/>
                <w:color w:val="auto"/>
              </w:rPr>
              <w:t>AVERAGE</w:t>
            </w:r>
          </w:p>
        </w:tc>
      </w:tr>
      <w:tr>
        <w:trPr>
          <w:trHeight w:val="274"/>
        </w:trPr>
        <w:tc>
          <w:tcPr>
            <w:tcW w:w="2140" w:type="dxa"/>
            <w:vAlign w:val="bottom"/>
          </w:tcPr>
          <w:p>
            <w:pPr>
              <w:ind w:left="1240"/>
              <w:spacing w:after="0"/>
              <w:rPr>
                <w:sz w:val="20"/>
                <w:szCs w:val="20"/>
                <w:color w:val="auto"/>
              </w:rPr>
            </w:pPr>
            <w:r>
              <w:rPr>
                <w:rFonts w:ascii="Arial" w:cs="Arial" w:eastAsia="Arial" w:hAnsi="Arial"/>
                <w:sz w:val="22"/>
                <w:szCs w:val="22"/>
                <w:color w:val="auto"/>
              </w:rPr>
              <w:t>DATE</w:t>
            </w:r>
          </w:p>
        </w:tc>
        <w:tc>
          <w:tcPr>
            <w:tcW w:w="1260" w:type="dxa"/>
            <w:vAlign w:val="bottom"/>
          </w:tcPr>
          <w:p>
            <w:pPr>
              <w:ind w:left="300"/>
              <w:spacing w:after="0"/>
              <w:rPr>
                <w:sz w:val="20"/>
                <w:szCs w:val="20"/>
                <w:color w:val="auto"/>
              </w:rPr>
            </w:pPr>
            <w:r>
              <w:rPr>
                <w:rFonts w:ascii="Arial" w:cs="Arial" w:eastAsia="Arial" w:hAnsi="Arial"/>
                <w:sz w:val="22"/>
                <w:szCs w:val="22"/>
                <w:color w:val="auto"/>
              </w:rPr>
              <w:t>SOLD(-)</w:t>
            </w:r>
          </w:p>
        </w:tc>
        <w:tc>
          <w:tcPr>
            <w:tcW w:w="2480" w:type="dxa"/>
            <w:vAlign w:val="bottom"/>
            <w:gridSpan w:val="2"/>
          </w:tcPr>
          <w:p>
            <w:pPr>
              <w:ind w:left="520"/>
              <w:spacing w:after="0"/>
              <w:rPr>
                <w:sz w:val="20"/>
                <w:szCs w:val="20"/>
                <w:color w:val="auto"/>
              </w:rPr>
            </w:pPr>
            <w:r>
              <w:rPr>
                <w:rFonts w:ascii="Arial" w:cs="Arial" w:eastAsia="Arial" w:hAnsi="Arial"/>
                <w:sz w:val="22"/>
                <w:szCs w:val="22"/>
                <w:color w:val="auto"/>
              </w:rPr>
              <w:t>PRICE(2)</w:t>
            </w:r>
          </w:p>
        </w:tc>
      </w:tr>
      <w:tr>
        <w:trPr>
          <w:trHeight w:val="486"/>
        </w:trPr>
        <w:tc>
          <w:tcPr>
            <w:tcW w:w="5880" w:type="dxa"/>
            <w:vAlign w:val="bottom"/>
            <w:gridSpan w:val="4"/>
          </w:tcPr>
          <w:p>
            <w:pPr>
              <w:spacing w:after="0"/>
              <w:rPr>
                <w:sz w:val="20"/>
                <w:szCs w:val="20"/>
                <w:color w:val="auto"/>
              </w:rPr>
            </w:pPr>
            <w:r>
              <w:rPr>
                <w:rFonts w:ascii="Arial" w:cs="Arial" w:eastAsia="Arial" w:hAnsi="Arial"/>
                <w:sz w:val="22"/>
                <w:szCs w:val="22"/>
                <w:color w:val="auto"/>
                <w:w w:val="94"/>
              </w:rPr>
              <w:t>COMMON STOCK-BASSETT FURNITURE INDUSTRIES, INC.</w:t>
            </w:r>
          </w:p>
        </w:tc>
      </w:tr>
      <w:tr>
        <w:trPr>
          <w:trHeight w:val="455"/>
        </w:trPr>
        <w:tc>
          <w:tcPr>
            <w:tcW w:w="4400" w:type="dxa"/>
            <w:vAlign w:val="bottom"/>
            <w:gridSpan w:val="3"/>
          </w:tcPr>
          <w:p>
            <w:pPr>
              <w:ind w:left="480"/>
              <w:spacing w:after="0"/>
              <w:rPr>
                <w:sz w:val="20"/>
                <w:szCs w:val="20"/>
                <w:color w:val="auto"/>
              </w:rPr>
            </w:pPr>
            <w:r>
              <w:rPr>
                <w:rFonts w:ascii="Arial" w:cs="Arial" w:eastAsia="Arial" w:hAnsi="Arial"/>
                <w:sz w:val="22"/>
                <w:szCs w:val="22"/>
                <w:color w:val="auto"/>
              </w:rPr>
              <w:t>GAMCO ASSET MANAGEMENT INC.</w:t>
            </w:r>
          </w:p>
        </w:tc>
        <w:tc>
          <w:tcPr>
            <w:tcW w:w="1480" w:type="dxa"/>
            <w:vAlign w:val="bottom"/>
          </w:tcPr>
          <w:p>
            <w:pPr>
              <w:spacing w:after="0"/>
              <w:rPr>
                <w:sz w:val="24"/>
                <w:szCs w:val="24"/>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4/09/20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5,000-</w:t>
            </w:r>
          </w:p>
        </w:tc>
        <w:tc>
          <w:tcPr>
            <w:tcW w:w="1000" w:type="dxa"/>
            <w:vAlign w:val="bottom"/>
          </w:tcPr>
          <w:p>
            <w:pPr>
              <w:jc w:val="center"/>
              <w:ind w:left="92"/>
              <w:spacing w:after="0" w:line="243" w:lineRule="exact"/>
              <w:rPr>
                <w:sz w:val="20"/>
                <w:szCs w:val="20"/>
                <w:color w:val="auto"/>
              </w:rPr>
            </w:pPr>
            <w:r>
              <w:rPr>
                <w:rFonts w:ascii="Arial" w:cs="Arial" w:eastAsia="Arial" w:hAnsi="Arial"/>
                <w:sz w:val="22"/>
                <w:szCs w:val="22"/>
                <w:color w:val="auto"/>
                <w:w w:val="89"/>
              </w:rPr>
              <w:t>5.0163</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4/09/20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200</w:t>
            </w:r>
          </w:p>
        </w:tc>
        <w:tc>
          <w:tcPr>
            <w:tcW w:w="1000" w:type="dxa"/>
            <w:vAlign w:val="bottom"/>
          </w:tcPr>
          <w:p>
            <w:pPr>
              <w:ind w:left="240"/>
              <w:spacing w:after="0" w:line="243" w:lineRule="exact"/>
              <w:rPr>
                <w:sz w:val="20"/>
                <w:szCs w:val="20"/>
                <w:color w:val="auto"/>
              </w:rPr>
            </w:pPr>
            <w:r>
              <w:rPr>
                <w:rFonts w:ascii="Arial" w:cs="Arial" w:eastAsia="Arial" w:hAnsi="Arial"/>
                <w:sz w:val="22"/>
                <w:szCs w:val="22"/>
                <w:color w:val="auto"/>
              </w:rPr>
              <w:t>4.8500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4/08/20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6,000-</w:t>
            </w:r>
          </w:p>
        </w:tc>
        <w:tc>
          <w:tcPr>
            <w:tcW w:w="1000" w:type="dxa"/>
            <w:vAlign w:val="bottom"/>
          </w:tcPr>
          <w:p>
            <w:pPr>
              <w:jc w:val="center"/>
              <w:ind w:left="92"/>
              <w:spacing w:after="0" w:line="243" w:lineRule="exact"/>
              <w:rPr>
                <w:sz w:val="20"/>
                <w:szCs w:val="20"/>
                <w:color w:val="auto"/>
              </w:rPr>
            </w:pPr>
            <w:r>
              <w:rPr>
                <w:rFonts w:ascii="Arial" w:cs="Arial" w:eastAsia="Arial" w:hAnsi="Arial"/>
                <w:sz w:val="22"/>
                <w:szCs w:val="22"/>
                <w:color w:val="auto"/>
                <w:w w:val="89"/>
              </w:rPr>
              <w:t>4.6369</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4/08/20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302</w:t>
            </w:r>
          </w:p>
        </w:tc>
        <w:tc>
          <w:tcPr>
            <w:tcW w:w="1000" w:type="dxa"/>
            <w:vAlign w:val="bottom"/>
          </w:tcPr>
          <w:p>
            <w:pPr>
              <w:ind w:left="240"/>
              <w:spacing w:after="0" w:line="243" w:lineRule="exact"/>
              <w:rPr>
                <w:sz w:val="20"/>
                <w:szCs w:val="20"/>
                <w:color w:val="auto"/>
              </w:rPr>
            </w:pPr>
            <w:r>
              <w:rPr>
                <w:rFonts w:ascii="Arial" w:cs="Arial" w:eastAsia="Arial" w:hAnsi="Arial"/>
                <w:sz w:val="22"/>
                <w:szCs w:val="22"/>
                <w:color w:val="auto"/>
              </w:rPr>
              <w:t>4.4900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4/07/20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600-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6"/>
              </w:rPr>
              <w:t>4.7523</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4/06/20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1,000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4.6680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4/06/20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600-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6"/>
              </w:rPr>
              <w:t>4.6210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4/02/20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1,500-</w:t>
            </w:r>
          </w:p>
        </w:tc>
        <w:tc>
          <w:tcPr>
            <w:tcW w:w="1000" w:type="dxa"/>
            <w:vAlign w:val="bottom"/>
          </w:tcPr>
          <w:p>
            <w:pPr>
              <w:jc w:val="center"/>
              <w:ind w:left="92"/>
              <w:spacing w:after="0" w:line="243" w:lineRule="exact"/>
              <w:rPr>
                <w:sz w:val="20"/>
                <w:szCs w:val="20"/>
                <w:color w:val="auto"/>
              </w:rPr>
            </w:pPr>
            <w:r>
              <w:rPr>
                <w:rFonts w:ascii="Arial" w:cs="Arial" w:eastAsia="Arial" w:hAnsi="Arial"/>
                <w:sz w:val="22"/>
                <w:szCs w:val="22"/>
                <w:color w:val="auto"/>
                <w:w w:val="89"/>
              </w:rPr>
              <w:t>4.8480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4/02/20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100</w:t>
            </w:r>
          </w:p>
        </w:tc>
        <w:tc>
          <w:tcPr>
            <w:tcW w:w="1000" w:type="dxa"/>
            <w:vAlign w:val="bottom"/>
          </w:tcPr>
          <w:p>
            <w:pPr>
              <w:ind w:left="240"/>
              <w:spacing w:after="0" w:line="243" w:lineRule="exact"/>
              <w:rPr>
                <w:sz w:val="20"/>
                <w:szCs w:val="20"/>
                <w:color w:val="auto"/>
              </w:rPr>
            </w:pPr>
            <w:r>
              <w:rPr>
                <w:rFonts w:ascii="Arial" w:cs="Arial" w:eastAsia="Arial" w:hAnsi="Arial"/>
                <w:sz w:val="22"/>
                <w:szCs w:val="22"/>
                <w:color w:val="auto"/>
              </w:rPr>
              <w:t>4.4500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4/01/20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4,000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4.9835</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4/01/20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5,000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4.5566</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3/31/20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2,000-</w:t>
            </w:r>
          </w:p>
        </w:tc>
        <w:tc>
          <w:tcPr>
            <w:tcW w:w="1000" w:type="dxa"/>
            <w:vAlign w:val="bottom"/>
          </w:tcPr>
          <w:p>
            <w:pPr>
              <w:jc w:val="center"/>
              <w:ind w:left="92"/>
              <w:spacing w:after="0" w:line="243" w:lineRule="exact"/>
              <w:rPr>
                <w:sz w:val="20"/>
                <w:szCs w:val="20"/>
                <w:color w:val="auto"/>
              </w:rPr>
            </w:pPr>
            <w:r>
              <w:rPr>
                <w:rFonts w:ascii="Arial" w:cs="Arial" w:eastAsia="Arial" w:hAnsi="Arial"/>
                <w:sz w:val="22"/>
                <w:szCs w:val="22"/>
                <w:color w:val="auto"/>
                <w:w w:val="89"/>
              </w:rPr>
              <w:t>5.4767</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3/27/20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2,100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6.3876</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3/26/20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1,800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6.5048</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3/26/20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4,000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6.6000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3/25/20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2,500-</w:t>
            </w:r>
          </w:p>
        </w:tc>
        <w:tc>
          <w:tcPr>
            <w:tcW w:w="1000" w:type="dxa"/>
            <w:vAlign w:val="bottom"/>
          </w:tcPr>
          <w:p>
            <w:pPr>
              <w:jc w:val="center"/>
              <w:ind w:left="92"/>
              <w:spacing w:after="0" w:line="243" w:lineRule="exact"/>
              <w:rPr>
                <w:sz w:val="20"/>
                <w:szCs w:val="20"/>
                <w:color w:val="auto"/>
              </w:rPr>
            </w:pPr>
            <w:r>
              <w:rPr>
                <w:rFonts w:ascii="Arial" w:cs="Arial" w:eastAsia="Arial" w:hAnsi="Arial"/>
                <w:sz w:val="22"/>
                <w:szCs w:val="22"/>
                <w:color w:val="auto"/>
                <w:w w:val="89"/>
              </w:rPr>
              <w:t>6.0642</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3/25/20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1,500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6.1046</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3/24/20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300-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6"/>
              </w:rPr>
              <w:t>5.4500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3/23/20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800-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6"/>
              </w:rPr>
              <w:t>5.2391</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3/20/20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4,000-</w:t>
            </w:r>
          </w:p>
        </w:tc>
        <w:tc>
          <w:tcPr>
            <w:tcW w:w="1000" w:type="dxa"/>
            <w:vAlign w:val="bottom"/>
          </w:tcPr>
          <w:p>
            <w:pPr>
              <w:jc w:val="center"/>
              <w:ind w:left="92"/>
              <w:spacing w:after="0" w:line="243" w:lineRule="exact"/>
              <w:rPr>
                <w:sz w:val="20"/>
                <w:szCs w:val="20"/>
                <w:color w:val="auto"/>
              </w:rPr>
            </w:pPr>
            <w:r>
              <w:rPr>
                <w:rFonts w:ascii="Arial" w:cs="Arial" w:eastAsia="Arial" w:hAnsi="Arial"/>
                <w:sz w:val="22"/>
                <w:szCs w:val="22"/>
                <w:color w:val="auto"/>
                <w:w w:val="89"/>
              </w:rPr>
              <w:t>5.7822</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3/20/20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400-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6"/>
              </w:rPr>
              <w:t>6.2800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3/20/20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1,500-</w:t>
            </w:r>
          </w:p>
        </w:tc>
        <w:tc>
          <w:tcPr>
            <w:tcW w:w="1000" w:type="dxa"/>
            <w:vAlign w:val="bottom"/>
          </w:tcPr>
          <w:p>
            <w:pPr>
              <w:jc w:val="center"/>
              <w:ind w:left="92"/>
              <w:spacing w:after="0" w:line="243" w:lineRule="exact"/>
              <w:rPr>
                <w:sz w:val="20"/>
                <w:szCs w:val="20"/>
                <w:color w:val="auto"/>
              </w:rPr>
            </w:pPr>
            <w:r>
              <w:rPr>
                <w:rFonts w:ascii="Arial" w:cs="Arial" w:eastAsia="Arial" w:hAnsi="Arial"/>
                <w:sz w:val="22"/>
                <w:szCs w:val="22"/>
                <w:color w:val="auto"/>
                <w:w w:val="89"/>
              </w:rPr>
              <w:t>5.7822</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3/20/20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500</w:t>
            </w:r>
          </w:p>
        </w:tc>
        <w:tc>
          <w:tcPr>
            <w:tcW w:w="1000" w:type="dxa"/>
            <w:vAlign w:val="bottom"/>
          </w:tcPr>
          <w:p>
            <w:pPr>
              <w:ind w:left="240"/>
              <w:spacing w:after="0" w:line="243" w:lineRule="exact"/>
              <w:rPr>
                <w:sz w:val="20"/>
                <w:szCs w:val="20"/>
                <w:color w:val="auto"/>
              </w:rPr>
            </w:pPr>
            <w:r>
              <w:rPr>
                <w:rFonts w:ascii="Arial" w:cs="Arial" w:eastAsia="Arial" w:hAnsi="Arial"/>
                <w:sz w:val="22"/>
                <w:szCs w:val="22"/>
                <w:color w:val="auto"/>
              </w:rPr>
              <w:t>6.0500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3/19/20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1,000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5.7354</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3/18/20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800</w:t>
            </w:r>
          </w:p>
        </w:tc>
        <w:tc>
          <w:tcPr>
            <w:tcW w:w="100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*DI</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3/17/20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800-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rPr>
              <w:t>*DO</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3/17/20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500</w:t>
            </w:r>
          </w:p>
        </w:tc>
        <w:tc>
          <w:tcPr>
            <w:tcW w:w="1000" w:type="dxa"/>
            <w:vAlign w:val="bottom"/>
          </w:tcPr>
          <w:p>
            <w:pPr>
              <w:ind w:left="240"/>
              <w:spacing w:after="0" w:line="243" w:lineRule="exact"/>
              <w:rPr>
                <w:sz w:val="20"/>
                <w:szCs w:val="20"/>
                <w:color w:val="auto"/>
              </w:rPr>
            </w:pPr>
            <w:r>
              <w:rPr>
                <w:rFonts w:ascii="Arial" w:cs="Arial" w:eastAsia="Arial" w:hAnsi="Arial"/>
                <w:sz w:val="22"/>
                <w:szCs w:val="22"/>
                <w:color w:val="auto"/>
              </w:rPr>
              <w:t>6.5604</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3/16/20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400</w:t>
            </w:r>
          </w:p>
        </w:tc>
        <w:tc>
          <w:tcPr>
            <w:tcW w:w="1000" w:type="dxa"/>
            <w:vAlign w:val="bottom"/>
          </w:tcPr>
          <w:p>
            <w:pPr>
              <w:ind w:left="240"/>
              <w:spacing w:after="0" w:line="243" w:lineRule="exact"/>
              <w:rPr>
                <w:sz w:val="20"/>
                <w:szCs w:val="20"/>
                <w:color w:val="auto"/>
              </w:rPr>
            </w:pPr>
            <w:r>
              <w:rPr>
                <w:rFonts w:ascii="Arial" w:cs="Arial" w:eastAsia="Arial" w:hAnsi="Arial"/>
                <w:sz w:val="22"/>
                <w:szCs w:val="22"/>
                <w:color w:val="auto"/>
              </w:rPr>
              <w:t>6.6600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3/16/20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500</w:t>
            </w:r>
          </w:p>
        </w:tc>
        <w:tc>
          <w:tcPr>
            <w:tcW w:w="1000" w:type="dxa"/>
            <w:vAlign w:val="bottom"/>
          </w:tcPr>
          <w:p>
            <w:pPr>
              <w:ind w:left="240"/>
              <w:spacing w:after="0" w:line="243" w:lineRule="exact"/>
              <w:rPr>
                <w:sz w:val="20"/>
                <w:szCs w:val="20"/>
                <w:color w:val="auto"/>
              </w:rPr>
            </w:pPr>
            <w:r>
              <w:rPr>
                <w:rFonts w:ascii="Arial" w:cs="Arial" w:eastAsia="Arial" w:hAnsi="Arial"/>
                <w:sz w:val="22"/>
                <w:szCs w:val="22"/>
                <w:color w:val="auto"/>
              </w:rPr>
              <w:t>6.5000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3/16/20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3,000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6.4447</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3/13/20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600-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6"/>
              </w:rPr>
              <w:t>7.1250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3/12/20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1,500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7.1165</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3/11/20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600-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9"/>
              </w:rPr>
              <w:t>7.8349</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3/11/20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500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9"/>
              </w:rPr>
              <w:t>7.9140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3/11/20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1,900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7.9453</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3/10/20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1,000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8.5152</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3/09/20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3,000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8.4148</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3/06/20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500</w:t>
            </w:r>
          </w:p>
        </w:tc>
        <w:tc>
          <w:tcPr>
            <w:tcW w:w="1000" w:type="dxa"/>
            <w:vAlign w:val="bottom"/>
          </w:tcPr>
          <w:p>
            <w:pPr>
              <w:ind w:left="240"/>
              <w:spacing w:after="0" w:line="243" w:lineRule="exact"/>
              <w:rPr>
                <w:sz w:val="20"/>
                <w:szCs w:val="20"/>
                <w:color w:val="auto"/>
              </w:rPr>
            </w:pPr>
            <w:r>
              <w:rPr>
                <w:rFonts w:ascii="Arial" w:cs="Arial" w:eastAsia="Arial" w:hAnsi="Arial"/>
                <w:sz w:val="22"/>
                <w:szCs w:val="22"/>
                <w:color w:val="auto"/>
              </w:rPr>
              <w:t>9.0395</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3/03/20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1,500-</w:t>
            </w:r>
          </w:p>
        </w:tc>
        <w:tc>
          <w:tcPr>
            <w:tcW w:w="1000" w:type="dxa"/>
            <w:vAlign w:val="bottom"/>
          </w:tcPr>
          <w:p>
            <w:pPr>
              <w:jc w:val="center"/>
              <w:ind w:left="112"/>
              <w:spacing w:after="0" w:line="243" w:lineRule="exact"/>
              <w:rPr>
                <w:sz w:val="20"/>
                <w:szCs w:val="20"/>
                <w:color w:val="auto"/>
              </w:rPr>
            </w:pPr>
            <w:r>
              <w:rPr>
                <w:rFonts w:ascii="Arial" w:cs="Arial" w:eastAsia="Arial" w:hAnsi="Arial"/>
                <w:sz w:val="22"/>
                <w:szCs w:val="22"/>
                <w:color w:val="auto"/>
                <w:w w:val="87"/>
              </w:rPr>
              <w:t>10.0000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3/03/20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2,000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9.8750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3/02/20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1,200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9.8308</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3/02/20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1,100-</w:t>
            </w:r>
          </w:p>
        </w:tc>
        <w:tc>
          <w:tcPr>
            <w:tcW w:w="1000" w:type="dxa"/>
            <w:vAlign w:val="bottom"/>
          </w:tcPr>
          <w:p>
            <w:pPr>
              <w:jc w:val="center"/>
              <w:ind w:left="92"/>
              <w:spacing w:after="0" w:line="243" w:lineRule="exact"/>
              <w:rPr>
                <w:sz w:val="20"/>
                <w:szCs w:val="20"/>
                <w:color w:val="auto"/>
              </w:rPr>
            </w:pPr>
            <w:r>
              <w:rPr>
                <w:rFonts w:ascii="Arial" w:cs="Arial" w:eastAsia="Arial" w:hAnsi="Arial"/>
                <w:sz w:val="22"/>
                <w:szCs w:val="22"/>
                <w:color w:val="auto"/>
                <w:w w:val="89"/>
              </w:rPr>
              <w:t>9.7977</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2/27/20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2,000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9.5803</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2/27/20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1,000-</w:t>
            </w:r>
          </w:p>
        </w:tc>
        <w:tc>
          <w:tcPr>
            <w:tcW w:w="1000" w:type="dxa"/>
            <w:vAlign w:val="bottom"/>
          </w:tcPr>
          <w:p>
            <w:pPr>
              <w:jc w:val="center"/>
              <w:ind w:left="112"/>
              <w:spacing w:after="0" w:line="243" w:lineRule="exact"/>
              <w:rPr>
                <w:sz w:val="20"/>
                <w:szCs w:val="20"/>
                <w:color w:val="auto"/>
              </w:rPr>
            </w:pPr>
            <w:r>
              <w:rPr>
                <w:rFonts w:ascii="Arial" w:cs="Arial" w:eastAsia="Arial" w:hAnsi="Arial"/>
                <w:sz w:val="22"/>
                <w:szCs w:val="22"/>
                <w:color w:val="auto"/>
                <w:w w:val="87"/>
              </w:rPr>
              <w:t>10.0570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2/27/20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600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10.0582</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2/27/20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1,000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9.5000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2/26/20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1,600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9.9806</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2/25/20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2,500</w:t>
            </w:r>
          </w:p>
        </w:tc>
        <w:tc>
          <w:tcPr>
            <w:tcW w:w="1000" w:type="dxa"/>
            <w:vAlign w:val="bottom"/>
          </w:tcPr>
          <w:p>
            <w:pPr>
              <w:ind w:left="240"/>
              <w:spacing w:after="0" w:line="243" w:lineRule="exact"/>
              <w:rPr>
                <w:sz w:val="20"/>
                <w:szCs w:val="20"/>
                <w:color w:val="auto"/>
              </w:rPr>
            </w:pPr>
            <w:r>
              <w:rPr>
                <w:rFonts w:ascii="Arial" w:cs="Arial" w:eastAsia="Arial" w:hAnsi="Arial"/>
                <w:sz w:val="22"/>
                <w:szCs w:val="22"/>
                <w:color w:val="auto"/>
                <w:w w:val="93"/>
              </w:rPr>
              <w:t>10.1098</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2/24/20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500</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10.2000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2/21/20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500-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rPr>
              <w:t>*DO</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2/21/20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501</w:t>
            </w:r>
          </w:p>
        </w:tc>
        <w:tc>
          <w:tcPr>
            <w:tcW w:w="10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10.4884</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2/19/20</w:t>
            </w:r>
          </w:p>
        </w:tc>
        <w:tc>
          <w:tcPr>
            <w:tcW w:w="1260" w:type="dxa"/>
            <w:vAlign w:val="bottom"/>
          </w:tcPr>
          <w:p>
            <w:pPr>
              <w:ind w:left="360"/>
              <w:spacing w:after="0" w:line="243" w:lineRule="exact"/>
              <w:rPr>
                <w:sz w:val="20"/>
                <w:szCs w:val="20"/>
                <w:color w:val="auto"/>
              </w:rPr>
            </w:pPr>
            <w:r>
              <w:rPr>
                <w:rFonts w:ascii="Arial" w:cs="Arial" w:eastAsia="Arial" w:hAnsi="Arial"/>
                <w:sz w:val="22"/>
                <w:szCs w:val="22"/>
                <w:color w:val="auto"/>
              </w:rPr>
              <w:t>1,000</w:t>
            </w:r>
          </w:p>
        </w:tc>
        <w:tc>
          <w:tcPr>
            <w:tcW w:w="1000" w:type="dxa"/>
            <w:vAlign w:val="bottom"/>
          </w:tcPr>
          <w:p>
            <w:pPr>
              <w:ind w:left="240"/>
              <w:spacing w:after="0" w:line="243" w:lineRule="exact"/>
              <w:rPr>
                <w:sz w:val="20"/>
                <w:szCs w:val="20"/>
                <w:color w:val="auto"/>
              </w:rPr>
            </w:pPr>
            <w:r>
              <w:rPr>
                <w:rFonts w:ascii="Arial" w:cs="Arial" w:eastAsia="Arial" w:hAnsi="Arial"/>
                <w:sz w:val="22"/>
                <w:szCs w:val="22"/>
                <w:color w:val="auto"/>
                <w:w w:val="93"/>
              </w:rPr>
              <w:t>10.6310</w:t>
            </w:r>
          </w:p>
        </w:tc>
        <w:tc>
          <w:tcPr>
            <w:tcW w:w="1480" w:type="dxa"/>
            <w:vAlign w:val="bottom"/>
          </w:tcPr>
          <w:p>
            <w:pPr>
              <w:spacing w:after="0"/>
              <w:rPr>
                <w:sz w:val="21"/>
                <w:szCs w:val="21"/>
                <w:color w:val="auto"/>
              </w:rPr>
            </w:pPr>
          </w:p>
        </w:tc>
      </w:tr>
      <w:tr>
        <w:trPr>
          <w:trHeight w:val="243"/>
        </w:trPr>
        <w:tc>
          <w:tcPr>
            <w:tcW w:w="2140" w:type="dxa"/>
            <w:vAlign w:val="bottom"/>
          </w:tcPr>
          <w:p>
            <w:pPr>
              <w:ind w:left="1200"/>
              <w:spacing w:after="0" w:line="243" w:lineRule="exact"/>
              <w:rPr>
                <w:sz w:val="20"/>
                <w:szCs w:val="20"/>
                <w:color w:val="auto"/>
              </w:rPr>
            </w:pPr>
            <w:r>
              <w:rPr>
                <w:rFonts w:ascii="Arial" w:cs="Arial" w:eastAsia="Arial" w:hAnsi="Arial"/>
                <w:sz w:val="22"/>
                <w:szCs w:val="22"/>
                <w:color w:val="auto"/>
              </w:rPr>
              <w:t>2/19/20</w:t>
            </w:r>
          </w:p>
        </w:tc>
        <w:tc>
          <w:tcPr>
            <w:tcW w:w="1260" w:type="dxa"/>
            <w:vAlign w:val="bottom"/>
          </w:tcPr>
          <w:p>
            <w:pPr>
              <w:ind w:left="460"/>
              <w:spacing w:after="0" w:line="243" w:lineRule="exact"/>
              <w:rPr>
                <w:sz w:val="20"/>
                <w:szCs w:val="20"/>
                <w:color w:val="auto"/>
              </w:rPr>
            </w:pPr>
            <w:r>
              <w:rPr>
                <w:rFonts w:ascii="Arial" w:cs="Arial" w:eastAsia="Arial" w:hAnsi="Arial"/>
                <w:sz w:val="22"/>
                <w:szCs w:val="22"/>
                <w:color w:val="auto"/>
              </w:rPr>
              <w:t>400-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10.6200</w:t>
            </w:r>
          </w:p>
        </w:tc>
        <w:tc>
          <w:tcPr>
            <w:tcW w:w="1480" w:type="dxa"/>
            <w:vAlign w:val="bottom"/>
          </w:tcPr>
          <w:p>
            <w:pPr>
              <w:spacing w:after="0"/>
              <w:rPr>
                <w:sz w:val="21"/>
                <w:szCs w:val="21"/>
                <w:color w:val="auto"/>
              </w:rPr>
            </w:pPr>
          </w:p>
        </w:tc>
      </w:tr>
      <w:tr>
        <w:trPr>
          <w:trHeight w:val="274"/>
        </w:trPr>
        <w:tc>
          <w:tcPr>
            <w:tcW w:w="2140" w:type="dxa"/>
            <w:vAlign w:val="bottom"/>
          </w:tcPr>
          <w:p>
            <w:pPr>
              <w:ind w:left="1200"/>
              <w:spacing w:after="0"/>
              <w:rPr>
                <w:sz w:val="20"/>
                <w:szCs w:val="20"/>
                <w:color w:val="auto"/>
              </w:rPr>
            </w:pPr>
            <w:r>
              <w:rPr>
                <w:rFonts w:ascii="Arial" w:cs="Arial" w:eastAsia="Arial" w:hAnsi="Arial"/>
                <w:sz w:val="22"/>
                <w:szCs w:val="22"/>
                <w:color w:val="auto"/>
              </w:rPr>
              <w:t>2/18/20</w:t>
            </w:r>
          </w:p>
        </w:tc>
        <w:tc>
          <w:tcPr>
            <w:tcW w:w="1260" w:type="dxa"/>
            <w:vAlign w:val="bottom"/>
          </w:tcPr>
          <w:p>
            <w:pPr>
              <w:ind w:left="460"/>
              <w:spacing w:after="0"/>
              <w:rPr>
                <w:sz w:val="20"/>
                <w:szCs w:val="20"/>
                <w:color w:val="auto"/>
              </w:rPr>
            </w:pPr>
            <w:r>
              <w:rPr>
                <w:rFonts w:ascii="Arial" w:cs="Arial" w:eastAsia="Arial" w:hAnsi="Arial"/>
                <w:sz w:val="22"/>
                <w:szCs w:val="22"/>
                <w:color w:val="auto"/>
              </w:rPr>
              <w:t>799</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10.5000</w:t>
            </w:r>
          </w:p>
        </w:tc>
        <w:tc>
          <w:tcPr>
            <w:tcW w:w="1480" w:type="dxa"/>
            <w:vAlign w:val="bottom"/>
          </w:tcPr>
          <w:p>
            <w:pPr>
              <w:spacing w:after="0"/>
              <w:rPr>
                <w:sz w:val="23"/>
                <w:szCs w:val="23"/>
                <w:color w:val="auto"/>
              </w:rPr>
            </w:pPr>
          </w:p>
        </w:tc>
      </w:tr>
    </w:tbl>
    <w:p>
      <w:pPr>
        <w:sectPr>
          <w:pgSz w:w="11900" w:h="16874" w:orient="portrait"/>
          <w:cols w:equalWidth="0" w:num="1">
            <w:col w:w="10079"/>
          </w:cols>
          <w:pgMar w:left="380" w:top="1090" w:right="1440" w:bottom="0" w:gutter="0" w:footer="0" w:header="0"/>
        </w:sectPr>
      </w:pPr>
    </w:p>
    <w:bookmarkStart w:id="20" w:name="page21"/>
    <w:bookmarkEnd w:id="20"/>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2920" w:type="dxa"/>
            <w:vAlign w:val="bottom"/>
            <w:gridSpan w:val="2"/>
          </w:tcPr>
          <w:p>
            <w:pPr>
              <w:spacing w:after="0"/>
              <w:rPr>
                <w:sz w:val="20"/>
                <w:szCs w:val="20"/>
                <w:color w:val="auto"/>
              </w:rPr>
            </w:pPr>
            <w:r>
              <w:rPr>
                <w:rFonts w:ascii="Arial" w:cs="Arial" w:eastAsia="Arial" w:hAnsi="Arial"/>
                <w:sz w:val="22"/>
                <w:szCs w:val="22"/>
                <w:color w:val="auto"/>
              </w:rPr>
              <w:t>TETON ADVISORS, INC.</w:t>
            </w:r>
          </w:p>
        </w:tc>
        <w:tc>
          <w:tcPr>
            <w:tcW w:w="1080" w:type="dxa"/>
            <w:vAlign w:val="bottom"/>
          </w:tcPr>
          <w:p>
            <w:pPr>
              <w:spacing w:after="0"/>
              <w:rPr>
                <w:sz w:val="21"/>
                <w:szCs w:val="21"/>
                <w:color w:val="auto"/>
              </w:rPr>
            </w:pP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4/09/20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6,000-</w:t>
            </w:r>
          </w:p>
        </w:tc>
        <w:tc>
          <w:tcPr>
            <w:tcW w:w="10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5.0131</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4/07/20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6,000-</w:t>
            </w:r>
          </w:p>
        </w:tc>
        <w:tc>
          <w:tcPr>
            <w:tcW w:w="10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4.7054</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4/06/20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6,000-</w:t>
            </w:r>
          </w:p>
        </w:tc>
        <w:tc>
          <w:tcPr>
            <w:tcW w:w="10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4.7209</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4/03/20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6,000-</w:t>
            </w:r>
          </w:p>
        </w:tc>
        <w:tc>
          <w:tcPr>
            <w:tcW w:w="10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4.4184</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4/02/20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6,000-</w:t>
            </w:r>
          </w:p>
        </w:tc>
        <w:tc>
          <w:tcPr>
            <w:tcW w:w="10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4.8188</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4/01/20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4,000-</w:t>
            </w:r>
          </w:p>
        </w:tc>
        <w:tc>
          <w:tcPr>
            <w:tcW w:w="10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4.6341</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3/26/20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4,000-</w:t>
            </w:r>
          </w:p>
        </w:tc>
        <w:tc>
          <w:tcPr>
            <w:tcW w:w="10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6.4995</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3/25/20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4,000-</w:t>
            </w:r>
          </w:p>
        </w:tc>
        <w:tc>
          <w:tcPr>
            <w:tcW w:w="10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6.0331</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3/16/20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2,000-</w:t>
            </w:r>
          </w:p>
        </w:tc>
        <w:tc>
          <w:tcPr>
            <w:tcW w:w="10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6.4831</w:t>
            </w:r>
          </w:p>
        </w:tc>
      </w:tr>
      <w:tr>
        <w:trPr>
          <w:trHeight w:val="243"/>
        </w:trPr>
        <w:tc>
          <w:tcPr>
            <w:tcW w:w="2920" w:type="dxa"/>
            <w:vAlign w:val="bottom"/>
            <w:gridSpan w:val="2"/>
          </w:tcPr>
          <w:p>
            <w:pPr>
              <w:spacing w:after="0" w:line="243" w:lineRule="exact"/>
              <w:rPr>
                <w:sz w:val="20"/>
                <w:szCs w:val="20"/>
                <w:color w:val="auto"/>
              </w:rPr>
            </w:pPr>
            <w:r>
              <w:rPr>
                <w:rFonts w:ascii="Arial" w:cs="Arial" w:eastAsia="Arial" w:hAnsi="Arial"/>
                <w:sz w:val="22"/>
                <w:szCs w:val="22"/>
                <w:color w:val="auto"/>
              </w:rPr>
              <w:t>GABELLI FUNDS, LLC.</w:t>
            </w:r>
          </w:p>
        </w:tc>
        <w:tc>
          <w:tcPr>
            <w:tcW w:w="1080" w:type="dxa"/>
            <w:vAlign w:val="bottom"/>
          </w:tcPr>
          <w:p>
            <w:pPr>
              <w:spacing w:after="0"/>
              <w:rPr>
                <w:sz w:val="21"/>
                <w:szCs w:val="21"/>
                <w:color w:val="auto"/>
              </w:rPr>
            </w:pPr>
          </w:p>
        </w:tc>
      </w:tr>
      <w:tr>
        <w:trPr>
          <w:trHeight w:val="243"/>
        </w:trPr>
        <w:tc>
          <w:tcPr>
            <w:tcW w:w="4000" w:type="dxa"/>
            <w:vAlign w:val="bottom"/>
            <w:gridSpan w:val="3"/>
          </w:tcPr>
          <w:p>
            <w:pPr>
              <w:ind w:left="180"/>
              <w:spacing w:after="0" w:line="243" w:lineRule="exact"/>
              <w:rPr>
                <w:sz w:val="20"/>
                <w:szCs w:val="20"/>
                <w:color w:val="auto"/>
              </w:rPr>
            </w:pPr>
            <w:r>
              <w:rPr>
                <w:rFonts w:ascii="Arial" w:cs="Arial" w:eastAsia="Arial" w:hAnsi="Arial"/>
                <w:sz w:val="22"/>
                <w:szCs w:val="22"/>
                <w:color w:val="auto"/>
                <w:w w:val="96"/>
              </w:rPr>
              <w:t>GABELLI SMALL CAP GROWTH FUND</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3/27/20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2,000-</w:t>
            </w:r>
          </w:p>
        </w:tc>
        <w:tc>
          <w:tcPr>
            <w:tcW w:w="10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6.4073</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3/26/20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4,000-</w:t>
            </w:r>
          </w:p>
        </w:tc>
        <w:tc>
          <w:tcPr>
            <w:tcW w:w="10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6.6040</w:t>
            </w:r>
          </w:p>
        </w:tc>
      </w:tr>
      <w:tr>
        <w:trPr>
          <w:trHeight w:val="243"/>
        </w:trPr>
        <w:tc>
          <w:tcPr>
            <w:tcW w:w="4000" w:type="dxa"/>
            <w:vAlign w:val="bottom"/>
            <w:gridSpan w:val="3"/>
          </w:tcPr>
          <w:p>
            <w:pPr>
              <w:ind w:left="180"/>
              <w:spacing w:after="0" w:line="243" w:lineRule="exact"/>
              <w:rPr>
                <w:sz w:val="20"/>
                <w:szCs w:val="20"/>
                <w:color w:val="auto"/>
              </w:rPr>
            </w:pPr>
            <w:r>
              <w:rPr>
                <w:rFonts w:ascii="Arial" w:cs="Arial" w:eastAsia="Arial" w:hAnsi="Arial"/>
                <w:sz w:val="22"/>
                <w:szCs w:val="22"/>
                <w:color w:val="auto"/>
              </w:rPr>
              <w:t>GABELLI GO ANYWHERE TRUST</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4/09/20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1,000</w:t>
            </w:r>
          </w:p>
        </w:tc>
        <w:tc>
          <w:tcPr>
            <w:tcW w:w="1080" w:type="dxa"/>
            <w:vAlign w:val="bottom"/>
          </w:tcPr>
          <w:p>
            <w:pPr>
              <w:jc w:val="right"/>
              <w:ind w:right="92"/>
              <w:spacing w:after="0" w:line="243" w:lineRule="exact"/>
              <w:rPr>
                <w:sz w:val="20"/>
                <w:szCs w:val="20"/>
                <w:color w:val="auto"/>
              </w:rPr>
            </w:pPr>
            <w:r>
              <w:rPr>
                <w:rFonts w:ascii="Arial" w:cs="Arial" w:eastAsia="Arial" w:hAnsi="Arial"/>
                <w:sz w:val="22"/>
                <w:szCs w:val="22"/>
                <w:color w:val="auto"/>
              </w:rPr>
              <w:t>5.0514</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4/09/20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2,000-</w:t>
            </w:r>
          </w:p>
        </w:tc>
        <w:tc>
          <w:tcPr>
            <w:tcW w:w="10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5.0514</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4/08/20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1,500-</w:t>
            </w:r>
          </w:p>
        </w:tc>
        <w:tc>
          <w:tcPr>
            <w:tcW w:w="10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4.7973</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4/07/20</w:t>
            </w:r>
          </w:p>
        </w:tc>
        <w:tc>
          <w:tcPr>
            <w:tcW w:w="1220" w:type="dxa"/>
            <w:vAlign w:val="bottom"/>
          </w:tcPr>
          <w:p>
            <w:pPr>
              <w:ind w:left="420"/>
              <w:spacing w:after="0" w:line="243" w:lineRule="exact"/>
              <w:rPr>
                <w:sz w:val="20"/>
                <w:szCs w:val="20"/>
                <w:color w:val="auto"/>
              </w:rPr>
            </w:pPr>
            <w:r>
              <w:rPr>
                <w:rFonts w:ascii="Arial" w:cs="Arial" w:eastAsia="Arial" w:hAnsi="Arial"/>
                <w:sz w:val="22"/>
                <w:szCs w:val="22"/>
                <w:color w:val="auto"/>
              </w:rPr>
              <w:t>300-</w:t>
            </w:r>
          </w:p>
        </w:tc>
        <w:tc>
          <w:tcPr>
            <w:tcW w:w="108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4.6921</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4/06/20</w:t>
            </w:r>
          </w:p>
        </w:tc>
        <w:tc>
          <w:tcPr>
            <w:tcW w:w="1220" w:type="dxa"/>
            <w:vAlign w:val="bottom"/>
          </w:tcPr>
          <w:p>
            <w:pPr>
              <w:ind w:left="420"/>
              <w:spacing w:after="0" w:line="243" w:lineRule="exact"/>
              <w:rPr>
                <w:sz w:val="20"/>
                <w:szCs w:val="20"/>
                <w:color w:val="auto"/>
              </w:rPr>
            </w:pPr>
            <w:r>
              <w:rPr>
                <w:rFonts w:ascii="Arial" w:cs="Arial" w:eastAsia="Arial" w:hAnsi="Arial"/>
                <w:sz w:val="22"/>
                <w:szCs w:val="22"/>
                <w:color w:val="auto"/>
              </w:rPr>
              <w:t>700-</w:t>
            </w:r>
          </w:p>
        </w:tc>
        <w:tc>
          <w:tcPr>
            <w:tcW w:w="108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4.7873</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4/03/20</w:t>
            </w:r>
          </w:p>
        </w:tc>
        <w:tc>
          <w:tcPr>
            <w:tcW w:w="1220" w:type="dxa"/>
            <w:vAlign w:val="bottom"/>
          </w:tcPr>
          <w:p>
            <w:pPr>
              <w:ind w:left="320"/>
              <w:spacing w:after="0" w:line="243" w:lineRule="exact"/>
              <w:rPr>
                <w:sz w:val="20"/>
                <w:szCs w:val="20"/>
                <w:color w:val="auto"/>
              </w:rPr>
            </w:pPr>
            <w:r>
              <w:rPr>
                <w:rFonts w:ascii="Arial" w:cs="Arial" w:eastAsia="Arial" w:hAnsi="Arial"/>
                <w:sz w:val="22"/>
                <w:szCs w:val="22"/>
                <w:color w:val="auto"/>
              </w:rPr>
              <w:t>1,006-</w:t>
            </w:r>
          </w:p>
        </w:tc>
        <w:tc>
          <w:tcPr>
            <w:tcW w:w="1080" w:type="dxa"/>
            <w:vAlign w:val="bottom"/>
          </w:tcPr>
          <w:p>
            <w:pPr>
              <w:jc w:val="right"/>
              <w:ind w:right="72"/>
              <w:spacing w:after="0" w:line="243" w:lineRule="exact"/>
              <w:rPr>
                <w:sz w:val="20"/>
                <w:szCs w:val="20"/>
                <w:color w:val="auto"/>
              </w:rPr>
            </w:pPr>
            <w:r>
              <w:rPr>
                <w:rFonts w:ascii="Arial" w:cs="Arial" w:eastAsia="Arial" w:hAnsi="Arial"/>
                <w:sz w:val="22"/>
                <w:szCs w:val="22"/>
                <w:color w:val="auto"/>
              </w:rPr>
              <w:t>4.3400</w:t>
            </w:r>
          </w:p>
        </w:tc>
      </w:tr>
      <w:tr>
        <w:trPr>
          <w:trHeight w:val="243"/>
        </w:trPr>
        <w:tc>
          <w:tcPr>
            <w:tcW w:w="1700" w:type="dxa"/>
            <w:vAlign w:val="bottom"/>
          </w:tcPr>
          <w:p>
            <w:pPr>
              <w:ind w:left="720"/>
              <w:spacing w:after="0" w:line="243" w:lineRule="exact"/>
              <w:rPr>
                <w:sz w:val="20"/>
                <w:szCs w:val="20"/>
                <w:color w:val="auto"/>
              </w:rPr>
            </w:pPr>
            <w:r>
              <w:rPr>
                <w:rFonts w:ascii="Arial" w:cs="Arial" w:eastAsia="Arial" w:hAnsi="Arial"/>
                <w:sz w:val="22"/>
                <w:szCs w:val="22"/>
                <w:color w:val="auto"/>
              </w:rPr>
              <w:t>4/03/20</w:t>
            </w:r>
          </w:p>
        </w:tc>
        <w:tc>
          <w:tcPr>
            <w:tcW w:w="1220" w:type="dxa"/>
            <w:vAlign w:val="bottom"/>
          </w:tcPr>
          <w:p>
            <w:pPr>
              <w:ind w:left="420"/>
              <w:spacing w:after="0" w:line="243" w:lineRule="exact"/>
              <w:rPr>
                <w:sz w:val="20"/>
                <w:szCs w:val="20"/>
                <w:color w:val="auto"/>
              </w:rPr>
            </w:pPr>
            <w:r>
              <w:rPr>
                <w:rFonts w:ascii="Arial" w:cs="Arial" w:eastAsia="Arial" w:hAnsi="Arial"/>
                <w:sz w:val="22"/>
                <w:szCs w:val="22"/>
                <w:color w:val="auto"/>
              </w:rPr>
              <w:t>503</w:t>
            </w:r>
          </w:p>
        </w:tc>
        <w:tc>
          <w:tcPr>
            <w:tcW w:w="108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4.3400</w:t>
            </w:r>
          </w:p>
        </w:tc>
      </w:tr>
      <w:tr>
        <w:trPr>
          <w:trHeight w:val="243"/>
        </w:trPr>
        <w:tc>
          <w:tcPr>
            <w:tcW w:w="292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GAMCO ALL CAP VALUE</w:t>
            </w:r>
          </w:p>
        </w:tc>
        <w:tc>
          <w:tcPr>
            <w:tcW w:w="1080" w:type="dxa"/>
            <w:vAlign w:val="bottom"/>
          </w:tcPr>
          <w:p>
            <w:pPr>
              <w:spacing w:after="0"/>
              <w:rPr>
                <w:sz w:val="21"/>
                <w:szCs w:val="21"/>
                <w:color w:val="auto"/>
              </w:rPr>
            </w:pPr>
          </w:p>
        </w:tc>
      </w:tr>
      <w:tr>
        <w:trPr>
          <w:trHeight w:val="274"/>
        </w:trPr>
        <w:tc>
          <w:tcPr>
            <w:tcW w:w="1700" w:type="dxa"/>
            <w:vAlign w:val="bottom"/>
          </w:tcPr>
          <w:p>
            <w:pPr>
              <w:ind w:left="720"/>
              <w:spacing w:after="0"/>
              <w:rPr>
                <w:sz w:val="20"/>
                <w:szCs w:val="20"/>
                <w:color w:val="auto"/>
              </w:rPr>
            </w:pPr>
            <w:r>
              <w:rPr>
                <w:rFonts w:ascii="Arial" w:cs="Arial" w:eastAsia="Arial" w:hAnsi="Arial"/>
                <w:sz w:val="22"/>
                <w:szCs w:val="22"/>
                <w:color w:val="auto"/>
              </w:rPr>
              <w:t>3/11/20</w:t>
            </w:r>
          </w:p>
        </w:tc>
        <w:tc>
          <w:tcPr>
            <w:tcW w:w="1220" w:type="dxa"/>
            <w:vAlign w:val="bottom"/>
          </w:tcPr>
          <w:p>
            <w:pPr>
              <w:ind w:left="320"/>
              <w:spacing w:after="0"/>
              <w:rPr>
                <w:sz w:val="20"/>
                <w:szCs w:val="20"/>
                <w:color w:val="auto"/>
              </w:rPr>
            </w:pPr>
            <w:r>
              <w:rPr>
                <w:rFonts w:ascii="Arial" w:cs="Arial" w:eastAsia="Arial" w:hAnsi="Arial"/>
                <w:sz w:val="22"/>
                <w:szCs w:val="22"/>
                <w:color w:val="auto"/>
              </w:rPr>
              <w:t>1,600</w:t>
            </w: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7.6804</w:t>
            </w:r>
          </w:p>
        </w:tc>
      </w:tr>
    </w:tbl>
    <w:p>
      <w:pPr>
        <w:spacing w:after="0" w:line="212" w:lineRule="exact"/>
        <w:rPr>
          <w:sz w:val="20"/>
          <w:szCs w:val="20"/>
          <w:color w:val="auto"/>
        </w:rPr>
      </w:pPr>
    </w:p>
    <w:p>
      <w:pPr>
        <w:ind w:left="220" w:right="2499" w:hanging="212"/>
        <w:spacing w:after="0" w:line="250" w:lineRule="auto"/>
        <w:tabs>
          <w:tab w:leader="none" w:pos="310" w:val="left"/>
        </w:tabs>
        <w:numPr>
          <w:ilvl w:val="0"/>
          <w:numId w:val="48"/>
        </w:numPr>
        <w:rPr>
          <w:rFonts w:ascii="Arial" w:cs="Arial" w:eastAsia="Arial" w:hAnsi="Arial"/>
          <w:sz w:val="22"/>
          <w:szCs w:val="22"/>
          <w:color w:val="auto"/>
        </w:rPr>
      </w:pPr>
      <w:r>
        <w:rPr>
          <w:rFonts w:ascii="Arial" w:cs="Arial" w:eastAsia="Arial" w:hAnsi="Arial"/>
          <w:sz w:val="22"/>
          <w:szCs w:val="22"/>
          <w:color w:val="auto"/>
        </w:rPr>
        <w:t>UNLESS OTHERWISE INDICATED, ALL TRANSACTIONS WERE EFFECTED ON THE NASDAQ.</w:t>
      </w:r>
    </w:p>
    <w:p>
      <w:pPr>
        <w:spacing w:after="0" w:line="201" w:lineRule="exact"/>
        <w:rPr>
          <w:rFonts w:ascii="Arial" w:cs="Arial" w:eastAsia="Arial" w:hAnsi="Arial"/>
          <w:sz w:val="22"/>
          <w:szCs w:val="22"/>
          <w:color w:val="auto"/>
        </w:rPr>
      </w:pPr>
    </w:p>
    <w:p>
      <w:pPr>
        <w:ind w:left="320" w:hanging="312"/>
        <w:spacing w:after="0"/>
        <w:tabs>
          <w:tab w:leader="none" w:pos="3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PRICE EXCLUDES COMMISSION.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 RESULTS IN CHANGE OF DISPOSITIVE POWER AND BENEFICIAL OWNERSHIP.</w:t>
      </w:r>
    </w:p>
    <w:p>
      <w:pPr>
        <w:spacing w:after="0" w:line="200" w:lineRule="exact"/>
        <w:rPr>
          <w:sz w:val="20"/>
          <w:szCs w:val="20"/>
          <w:color w:val="auto"/>
        </w:rPr>
      </w:pPr>
    </w:p>
    <w:p>
      <w:pPr>
        <w:spacing w:after="0" w:line="313"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16</w:t>
      </w:r>
    </w:p>
    <w:sectPr>
      <w:pgSz w:w="11900" w:h="16838" w:orient="portrait"/>
      <w:cols w:equalWidth="0" w:num="1">
        <w:col w:w="10139"/>
      </w:cols>
      <w:pgMar w:left="32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bullet"/>
      <w:start w:val="1"/>
    </w:lvl>
  </w:abstractNum>
  <w:abstractNum w:abstractNumId="1">
    <w:nsid w:val="79838CB2"/>
    <w:multiLevelType w:val="hybridMultilevel"/>
    <w:lvl w:ilvl="0">
      <w:lvlJc w:val="left"/>
      <w:lvlText w:val="3"/>
      <w:numFmt w:val="bullet"/>
      <w:start w:val="1"/>
    </w:lvl>
  </w:abstractNum>
  <w:abstractNum w:abstractNumId="2">
    <w:nsid w:val="4353D0CD"/>
    <w:multiLevelType w:val="hybridMultilevel"/>
    <w:lvl w:ilvl="0">
      <w:lvlJc w:val="left"/>
      <w:lvlText w:val="4"/>
      <w:numFmt w:val="bullet"/>
      <w:start w:val="1"/>
    </w:lvl>
  </w:abstractNum>
  <w:abstractNum w:abstractNumId="3">
    <w:nsid w:val="B03E0C6"/>
    <w:multiLevelType w:val="hybridMultilevel"/>
    <w:lvl w:ilvl="0">
      <w:lvlJc w:val="left"/>
      <w:lvlText w:val="5"/>
      <w:numFmt w:val="bullet"/>
      <w:start w:val="1"/>
    </w:lvl>
  </w:abstractNum>
  <w:abstractNum w:abstractNumId="4">
    <w:nsid w:val="189A769B"/>
    <w:multiLevelType w:val="hybridMultilevel"/>
    <w:lvl w:ilvl="0">
      <w:lvlJc w:val="left"/>
      <w:lvlText w:val="6"/>
      <w:numFmt w:val="bullet"/>
      <w:start w:val="1"/>
    </w:lvl>
  </w:abstractNum>
  <w:abstractNum w:abstractNumId="5">
    <w:nsid w:val="54E49EB4"/>
    <w:multiLevelType w:val="hybridMultilevel"/>
    <w:lvl w:ilvl="0">
      <w:lvlJc w:val="left"/>
      <w:lvlText w:val="%1"/>
      <w:numFmt w:val="decimal"/>
      <w:start w:val="11"/>
    </w:lvl>
  </w:abstractNum>
  <w:abstractNum w:abstractNumId="6">
    <w:nsid w:val="71F32454"/>
    <w:multiLevelType w:val="hybridMultilevel"/>
    <w:lvl w:ilvl="0">
      <w:lvlJc w:val="left"/>
      <w:lvlText w:val="1"/>
      <w:numFmt w:val="bullet"/>
      <w:start w:val="1"/>
    </w:lvl>
  </w:abstractNum>
  <w:abstractNum w:abstractNumId="7">
    <w:nsid w:val="2CA88611"/>
    <w:multiLevelType w:val="hybridMultilevel"/>
    <w:lvl w:ilvl="0">
      <w:lvlJc w:val="left"/>
      <w:lvlText w:val="3"/>
      <w:numFmt w:val="bullet"/>
      <w:start w:val="1"/>
    </w:lvl>
  </w:abstractNum>
  <w:abstractNum w:abstractNumId="8">
    <w:nsid w:val="836C40E"/>
    <w:multiLevelType w:val="hybridMultilevel"/>
    <w:lvl w:ilvl="0">
      <w:lvlJc w:val="left"/>
      <w:lvlText w:val="4"/>
      <w:numFmt w:val="bullet"/>
      <w:start w:val="1"/>
    </w:lvl>
  </w:abstractNum>
  <w:abstractNum w:abstractNumId="9">
    <w:nsid w:val="2901D82"/>
    <w:multiLevelType w:val="hybridMultilevel"/>
    <w:lvl w:ilvl="0">
      <w:lvlJc w:val="left"/>
      <w:lvlText w:val="5"/>
      <w:numFmt w:val="bullet"/>
      <w:start w:val="1"/>
    </w:lvl>
  </w:abstractNum>
  <w:abstractNum w:abstractNumId="10">
    <w:nsid w:val="3A95F874"/>
    <w:multiLevelType w:val="hybridMultilevel"/>
    <w:lvl w:ilvl="0">
      <w:lvlJc w:val="left"/>
      <w:lvlText w:val="6"/>
      <w:numFmt w:val="bullet"/>
      <w:start w:val="1"/>
    </w:lvl>
  </w:abstractNum>
  <w:abstractNum w:abstractNumId="11">
    <w:nsid w:val="8138641"/>
    <w:multiLevelType w:val="hybridMultilevel"/>
    <w:lvl w:ilvl="0">
      <w:lvlJc w:val="left"/>
      <w:lvlText w:val="%1"/>
      <w:numFmt w:val="decimal"/>
      <w:start w:val="11"/>
    </w:lvl>
  </w:abstractNum>
  <w:abstractNum w:abstractNumId="12">
    <w:nsid w:val="1E7FF521"/>
    <w:multiLevelType w:val="hybridMultilevel"/>
    <w:lvl w:ilvl="0">
      <w:lvlJc w:val="left"/>
      <w:lvlText w:val="1"/>
      <w:numFmt w:val="bullet"/>
      <w:start w:val="1"/>
    </w:lvl>
  </w:abstractNum>
  <w:abstractNum w:abstractNumId="13">
    <w:nsid w:val="7C3DBD3D"/>
    <w:multiLevelType w:val="hybridMultilevel"/>
    <w:lvl w:ilvl="0">
      <w:lvlJc w:val="left"/>
      <w:lvlText w:val="3"/>
      <w:numFmt w:val="bullet"/>
      <w:start w:val="1"/>
    </w:lvl>
  </w:abstractNum>
  <w:abstractNum w:abstractNumId="14">
    <w:nsid w:val="737B8DDC"/>
    <w:multiLevelType w:val="hybridMultilevel"/>
    <w:lvl w:ilvl="0">
      <w:lvlJc w:val="left"/>
      <w:lvlText w:val="4"/>
      <w:numFmt w:val="bullet"/>
      <w:start w:val="1"/>
    </w:lvl>
  </w:abstractNum>
  <w:abstractNum w:abstractNumId="15">
    <w:nsid w:val="6CEAF087"/>
    <w:multiLevelType w:val="hybridMultilevel"/>
    <w:lvl w:ilvl="0">
      <w:lvlJc w:val="left"/>
      <w:lvlText w:val="5"/>
      <w:numFmt w:val="bullet"/>
      <w:start w:val="1"/>
    </w:lvl>
  </w:abstractNum>
  <w:abstractNum w:abstractNumId="16">
    <w:nsid w:val="22221A70"/>
    <w:multiLevelType w:val="hybridMultilevel"/>
    <w:lvl w:ilvl="0">
      <w:lvlJc w:val="left"/>
      <w:lvlText w:val="6"/>
      <w:numFmt w:val="bullet"/>
      <w:start w:val="1"/>
    </w:lvl>
  </w:abstractNum>
  <w:abstractNum w:abstractNumId="17">
    <w:nsid w:val="4516DDE9"/>
    <w:multiLevelType w:val="hybridMultilevel"/>
    <w:lvl w:ilvl="0">
      <w:lvlJc w:val="left"/>
      <w:lvlText w:val="%1"/>
      <w:numFmt w:val="decimal"/>
      <w:start w:val="11"/>
    </w:lvl>
  </w:abstractNum>
  <w:abstractNum w:abstractNumId="18">
    <w:nsid w:val="3006C83E"/>
    <w:multiLevelType w:val="hybridMultilevel"/>
    <w:lvl w:ilvl="0">
      <w:lvlJc w:val="left"/>
      <w:lvlText w:val="1"/>
      <w:numFmt w:val="bullet"/>
      <w:start w:val="1"/>
    </w:lvl>
  </w:abstractNum>
  <w:abstractNum w:abstractNumId="19">
    <w:nsid w:val="614FD4A1"/>
    <w:multiLevelType w:val="hybridMultilevel"/>
    <w:lvl w:ilvl="0">
      <w:lvlJc w:val="left"/>
      <w:lvlText w:val="3"/>
      <w:numFmt w:val="bullet"/>
      <w:start w:val="1"/>
    </w:lvl>
  </w:abstractNum>
  <w:abstractNum w:abstractNumId="20">
    <w:nsid w:val="419AC241"/>
    <w:multiLevelType w:val="hybridMultilevel"/>
    <w:lvl w:ilvl="0">
      <w:lvlJc w:val="left"/>
      <w:lvlText w:val="4"/>
      <w:numFmt w:val="bullet"/>
      <w:start w:val="1"/>
    </w:lvl>
  </w:abstractNum>
  <w:abstractNum w:abstractNumId="21">
    <w:nsid w:val="5577F8E1"/>
    <w:multiLevelType w:val="hybridMultilevel"/>
    <w:lvl w:ilvl="0">
      <w:lvlJc w:val="left"/>
      <w:lvlText w:val="5"/>
      <w:numFmt w:val="bullet"/>
      <w:start w:val="1"/>
    </w:lvl>
  </w:abstractNum>
  <w:abstractNum w:abstractNumId="22">
    <w:nsid w:val="440BADFC"/>
    <w:multiLevelType w:val="hybridMultilevel"/>
    <w:lvl w:ilvl="0">
      <w:lvlJc w:val="left"/>
      <w:lvlText w:val="6"/>
      <w:numFmt w:val="bullet"/>
      <w:start w:val="1"/>
    </w:lvl>
  </w:abstractNum>
  <w:abstractNum w:abstractNumId="23">
    <w:nsid w:val="5072367"/>
    <w:multiLevelType w:val="hybridMultilevel"/>
    <w:lvl w:ilvl="0">
      <w:lvlJc w:val="left"/>
      <w:lvlText w:val="%1"/>
      <w:numFmt w:val="decimal"/>
      <w:start w:val="12"/>
    </w:lvl>
  </w:abstractNum>
  <w:abstractNum w:abstractNumId="24">
    <w:nsid w:val="3804823E"/>
    <w:multiLevelType w:val="hybridMultilevel"/>
    <w:lvl w:ilvl="0">
      <w:lvlJc w:val="left"/>
      <w:lvlText w:val="1"/>
      <w:numFmt w:val="bullet"/>
      <w:start w:val="1"/>
    </w:lvl>
  </w:abstractNum>
  <w:abstractNum w:abstractNumId="25">
    <w:nsid w:val="77465F01"/>
    <w:multiLevelType w:val="hybridMultilevel"/>
    <w:lvl w:ilvl="0">
      <w:lvlJc w:val="left"/>
      <w:lvlText w:val="4"/>
      <w:numFmt w:val="bullet"/>
      <w:start w:val="1"/>
    </w:lvl>
  </w:abstractNum>
  <w:abstractNum w:abstractNumId="26">
    <w:nsid w:val="7724C67E"/>
    <w:multiLevelType w:val="hybridMultilevel"/>
    <w:lvl w:ilvl="0">
      <w:lvlJc w:val="left"/>
      <w:lvlText w:val="5"/>
      <w:numFmt w:val="bullet"/>
      <w:start w:val="1"/>
    </w:lvl>
  </w:abstractNum>
  <w:abstractNum w:abstractNumId="27">
    <w:nsid w:val="5C482A97"/>
    <w:multiLevelType w:val="hybridMultilevel"/>
    <w:lvl w:ilvl="0">
      <w:lvlJc w:val="left"/>
      <w:lvlText w:val="6"/>
      <w:numFmt w:val="bullet"/>
      <w:start w:val="1"/>
    </w:lvl>
  </w:abstractNum>
  <w:abstractNum w:abstractNumId="28">
    <w:nsid w:val="2463B9EA"/>
    <w:multiLevelType w:val="hybridMultilevel"/>
    <w:lvl w:ilvl="0">
      <w:lvlJc w:val="left"/>
      <w:lvlText w:val="%1"/>
      <w:numFmt w:val="decimal"/>
      <w:start w:val="11"/>
    </w:lvl>
  </w:abstractNum>
  <w:abstractNum w:abstractNumId="29">
    <w:nsid w:val="5E884ADC"/>
    <w:multiLevelType w:val="hybridMultilevel"/>
    <w:lvl w:ilvl="0">
      <w:lvlJc w:val="left"/>
      <w:lvlText w:val="1"/>
      <w:numFmt w:val="bullet"/>
      <w:start w:val="1"/>
    </w:lvl>
  </w:abstractNum>
  <w:abstractNum w:abstractNumId="30">
    <w:nsid w:val="51EAD36B"/>
    <w:multiLevelType w:val="hybridMultilevel"/>
    <w:lvl w:ilvl="0">
      <w:lvlJc w:val="left"/>
      <w:lvlText w:val="3"/>
      <w:numFmt w:val="bullet"/>
      <w:start w:val="1"/>
    </w:lvl>
  </w:abstractNum>
  <w:abstractNum w:abstractNumId="31">
    <w:nsid w:val="2D517796"/>
    <w:multiLevelType w:val="hybridMultilevel"/>
    <w:lvl w:ilvl="0">
      <w:lvlJc w:val="left"/>
      <w:lvlText w:val="4"/>
      <w:numFmt w:val="bullet"/>
      <w:start w:val="1"/>
    </w:lvl>
  </w:abstractNum>
  <w:abstractNum w:abstractNumId="32">
    <w:nsid w:val="580BD78F"/>
    <w:multiLevelType w:val="hybridMultilevel"/>
    <w:lvl w:ilvl="0">
      <w:lvlJc w:val="left"/>
      <w:lvlText w:val="5"/>
      <w:numFmt w:val="bullet"/>
      <w:start w:val="1"/>
    </w:lvl>
  </w:abstractNum>
  <w:abstractNum w:abstractNumId="33">
    <w:nsid w:val="153EA438"/>
    <w:multiLevelType w:val="hybridMultilevel"/>
    <w:lvl w:ilvl="0">
      <w:lvlJc w:val="left"/>
      <w:lvlText w:val="6"/>
      <w:numFmt w:val="bullet"/>
      <w:start w:val="1"/>
    </w:lvl>
  </w:abstractNum>
  <w:abstractNum w:abstractNumId="34">
    <w:nsid w:val="3855585C"/>
    <w:multiLevelType w:val="hybridMultilevel"/>
    <w:lvl w:ilvl="0">
      <w:lvlJc w:val="left"/>
      <w:lvlText w:val="%1"/>
      <w:numFmt w:val="decimal"/>
      <w:start w:val="11"/>
    </w:lvl>
  </w:abstractNum>
  <w:abstractNum w:abstractNumId="35">
    <w:nsid w:val="70A64E2A"/>
    <w:multiLevelType w:val="hybridMultilevel"/>
    <w:lvl w:ilvl="0">
      <w:lvlJc w:val="left"/>
      <w:lvlText w:val="1"/>
      <w:numFmt w:val="bullet"/>
      <w:start w:val="1"/>
    </w:lvl>
  </w:abstractNum>
  <w:abstractNum w:abstractNumId="36">
    <w:nsid w:val="6A2342EC"/>
    <w:multiLevelType w:val="hybridMultilevel"/>
    <w:lvl w:ilvl="0">
      <w:lvlJc w:val="left"/>
      <w:lvlText w:val="2"/>
      <w:numFmt w:val="bullet"/>
      <w:start w:val="1"/>
    </w:lvl>
  </w:abstractNum>
  <w:abstractNum w:abstractNumId="37">
    <w:nsid w:val="2A487CB0"/>
    <w:multiLevelType w:val="hybridMultilevel"/>
    <w:lvl w:ilvl="0">
      <w:lvlJc w:val="left"/>
      <w:lvlText w:val="3"/>
      <w:numFmt w:val="bullet"/>
      <w:start w:val="1"/>
    </w:lvl>
  </w:abstractNum>
  <w:abstractNum w:abstractNumId="38">
    <w:nsid w:val="1D4ED43B"/>
    <w:multiLevelType w:val="hybridMultilevel"/>
    <w:lvl w:ilvl="0">
      <w:lvlJc w:val="left"/>
      <w:lvlText w:val="4"/>
      <w:numFmt w:val="bullet"/>
      <w:start w:val="1"/>
    </w:lvl>
  </w:abstractNum>
  <w:abstractNum w:abstractNumId="39">
    <w:nsid w:val="725A06FB"/>
    <w:multiLevelType w:val="hybridMultilevel"/>
    <w:lvl w:ilvl="0">
      <w:lvlJc w:val="left"/>
      <w:lvlText w:val="5"/>
      <w:numFmt w:val="bullet"/>
      <w:start w:val="1"/>
    </w:lvl>
  </w:abstractNum>
  <w:abstractNum w:abstractNumId="40">
    <w:nsid w:val="2CD89A32"/>
    <w:multiLevelType w:val="hybridMultilevel"/>
    <w:lvl w:ilvl="0">
      <w:lvlJc w:val="left"/>
      <w:lvlText w:val="6"/>
      <w:numFmt w:val="bullet"/>
      <w:start w:val="1"/>
    </w:lvl>
  </w:abstractNum>
  <w:abstractNum w:abstractNumId="41">
    <w:nsid w:val="57E4CCAF"/>
    <w:multiLevelType w:val="hybridMultilevel"/>
    <w:lvl w:ilvl="0">
      <w:lvlJc w:val="left"/>
      <w:lvlText w:val="%1"/>
      <w:numFmt w:val="decimal"/>
      <w:start w:val="11"/>
    </w:lvl>
  </w:abstractNum>
  <w:abstractNum w:abstractNumId="42">
    <w:nsid w:val="7A6D8D3C"/>
    <w:multiLevelType w:val="hybridMultilevel"/>
    <w:lvl w:ilvl="0">
      <w:lvlJc w:val="left"/>
      <w:lvlText w:val="&amp;"/>
      <w:numFmt w:val="bullet"/>
      <w:start w:val="1"/>
    </w:lvl>
  </w:abstractNum>
  <w:abstractNum w:abstractNumId="43">
    <w:nsid w:val="4B588F54"/>
    <w:multiLevelType w:val="hybridMultilevel"/>
    <w:lvl w:ilvl="0">
      <w:lvlJc w:val="left"/>
      <w:lvlText w:val="(%1)"/>
      <w:numFmt w:val="lowerLetter"/>
      <w:start w:val="4"/>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lowerLetter"/>
      <w:start w:val="2"/>
    </w:lvl>
  </w:abstractNum>
  <w:abstractNum w:abstractNumId="46">
    <w:nsid w:val="38437FDB"/>
    <w:multiLevelType w:val="hybridMultilevel"/>
    <w:lvl w:ilvl="0">
      <w:lvlJc w:val="left"/>
      <w:lvlText w:val="(%1)"/>
      <w:numFmt w:val="lowerLetter"/>
      <w:start w:val="5"/>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2020-04-13T15:02:19Z</dcterms:created>
  <dcterms:modified xsi:type="dcterms:W3CDTF">2020-04-13T15:02:19Z</dcterms:modified>
</cp:coreProperties>
</file>