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3760" w:right="2820" w:hanging="928"/>
        <w:spacing w:after="0" w:line="286" w:lineRule="auto"/>
        <w:tabs>
          <w:tab w:leader="none" w:pos="303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25, 2023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760" w:right="2820" w:hanging="934"/>
        <w:spacing w:after="0" w:line="286" w:lineRule="auto"/>
        <w:tabs>
          <w:tab w:leader="none" w:pos="303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9"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 to _______________________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000-00209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5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6"/>
              </w:rPr>
              <w:t>Virginia</w:t>
            </w:r>
          </w:p>
        </w:tc>
        <w:tc>
          <w:tcPr>
            <w:tcW w:w="5000" w:type="dxa"/>
            <w:vAlign w:val="bottom"/>
            <w:gridSpan w:val="5"/>
          </w:tcPr>
          <w:p>
            <w:pPr>
              <w:jc w:val="center"/>
              <w:ind w:left="3570"/>
              <w:spacing w:after="0"/>
              <w:rPr>
                <w:sz w:val="20"/>
                <w:szCs w:val="20"/>
                <w:color w:val="auto"/>
              </w:rPr>
            </w:pPr>
            <w:r>
              <w:rPr>
                <w:rFonts w:ascii="Times New Roman" w:cs="Times New Roman" w:eastAsia="Times New Roman" w:hAnsi="Times New Roman"/>
                <w:sz w:val="18"/>
                <w:szCs w:val="18"/>
                <w:color w:val="auto"/>
                <w:w w:val="98"/>
              </w:rPr>
              <w:t>54-0135270</w:t>
            </w:r>
          </w:p>
        </w:tc>
      </w:tr>
      <w:tr>
        <w:trPr>
          <w:trHeight w:val="20"/>
        </w:trPr>
        <w:tc>
          <w:tcPr>
            <w:tcW w:w="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4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4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0" w:type="dxa"/>
            <w:vAlign w:val="bottom"/>
            <w:gridSpan w:val="5"/>
          </w:tcPr>
          <w:p>
            <w:pPr>
              <w:jc w:val="center"/>
              <w:ind w:right="1960"/>
              <w:spacing w:after="0"/>
              <w:rPr>
                <w:sz w:val="20"/>
                <w:szCs w:val="20"/>
                <w:color w:val="auto"/>
              </w:rPr>
            </w:pPr>
            <w:r>
              <w:rPr>
                <w:rFonts w:ascii="Times New Roman" w:cs="Times New Roman" w:eastAsia="Times New Roman" w:hAnsi="Times New Roman"/>
                <w:sz w:val="18"/>
                <w:szCs w:val="18"/>
                <w:color w:val="auto"/>
                <w:w w:val="99"/>
              </w:rPr>
              <w:t>3525 Fairystone Park Highway</w:t>
            </w:r>
          </w:p>
        </w:tc>
      </w:tr>
      <w:tr>
        <w:trPr>
          <w:trHeight w:val="194"/>
        </w:trPr>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320" w:type="dxa"/>
            <w:vAlign w:val="bottom"/>
            <w:gridSpan w:val="4"/>
          </w:tcPr>
          <w:p>
            <w:pPr>
              <w:jc w:val="center"/>
              <w:ind w:right="2640"/>
              <w:spacing w:after="0" w:line="194" w:lineRule="exact"/>
              <w:rPr>
                <w:sz w:val="20"/>
                <w:szCs w:val="20"/>
                <w:color w:val="auto"/>
              </w:rPr>
            </w:pPr>
            <w:r>
              <w:rPr>
                <w:rFonts w:ascii="Times New Roman" w:cs="Times New Roman" w:eastAsia="Times New Roman" w:hAnsi="Times New Roman"/>
                <w:sz w:val="18"/>
                <w:szCs w:val="18"/>
                <w:color w:val="auto"/>
                <w:w w:val="98"/>
              </w:rPr>
              <w:t>Bassett, Virginia 24055</w:t>
            </w:r>
          </w:p>
        </w:tc>
      </w:tr>
      <w:tr>
        <w:trPr>
          <w:trHeight w:val="20"/>
        </w:trPr>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r>
      <w:tr>
        <w:trPr>
          <w:trHeight w:val="218"/>
        </w:trPr>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0" w:type="dxa"/>
            <w:vAlign w:val="bottom"/>
            <w:gridSpan w:val="5"/>
          </w:tcPr>
          <w:p>
            <w:pPr>
              <w:jc w:val="center"/>
              <w:ind w:right="194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234"/>
        </w:trPr>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2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(276) 629-6000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260" w:type="dxa"/>
            <w:vAlign w:val="bottom"/>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6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6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March 24, 2023, 8,929,711 shares of common stock of the Registrant were outstanding.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BASSETT FURNITURE INDUSTRIES, INCORPORATED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40" w:right="1080" w:hanging="532"/>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Financial Statements as of February 25, 2023 (unaudited) and November 26, 2022 and for the three months ended February 25, 2023 (unaudited) and February 26,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shd w:val="clear" w:color="auto" w:fill="CCEEFF"/>
          </w:tcPr>
          <w:p>
            <w:pPr>
              <w:spacing w:after="0"/>
              <w:rPr>
                <w:sz w:val="18"/>
                <w:szCs w:val="18"/>
                <w:color w:val="auto"/>
              </w:rPr>
            </w:pPr>
          </w:p>
        </w:tc>
        <w:tc>
          <w:tcPr>
            <w:tcW w:w="8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Condensed Consolidated Statements of Income</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8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8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8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8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2.</w:t>
            </w:r>
          </w:p>
        </w:tc>
        <w:tc>
          <w:tcPr>
            <w:tcW w:w="8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3.</w:t>
            </w:r>
          </w:p>
        </w:tc>
        <w:tc>
          <w:tcPr>
            <w:tcW w:w="8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4.</w:t>
            </w:r>
          </w:p>
        </w:tc>
        <w:tc>
          <w:tcPr>
            <w:tcW w:w="8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8740" w:type="dxa"/>
            <w:vAlign w:val="bottom"/>
            <w:shd w:val="clear" w:color="auto" w:fill="CCEEFF"/>
          </w:tcPr>
          <w:p>
            <w:pPr>
              <w:ind w:left="396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16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1.</w:t>
            </w:r>
          </w:p>
        </w:tc>
        <w:tc>
          <w:tcPr>
            <w:tcW w:w="8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2.</w:t>
            </w:r>
          </w:p>
        </w:tc>
        <w:tc>
          <w:tcPr>
            <w:tcW w:w="8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Use of Proceeds and Issuer Purchases of Equity Securities</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3.</w:t>
            </w:r>
          </w:p>
        </w:tc>
        <w:tc>
          <w:tcPr>
            <w:tcW w:w="8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8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340" w:type="dxa"/>
            <w:vAlign w:val="bottom"/>
          </w:tcPr>
          <w:p>
            <w:pPr>
              <w:spacing w:after="0"/>
              <w:rPr>
                <w:sz w:val="24"/>
                <w:szCs w:val="24"/>
                <w:color w:val="auto"/>
              </w:rPr>
            </w:pPr>
          </w:p>
        </w:tc>
        <w:tc>
          <w:tcPr>
            <w:tcW w:w="8740" w:type="dxa"/>
            <w:vAlign w:val="bottom"/>
          </w:tcPr>
          <w:p>
            <w:pPr>
              <w:ind w:left="5020"/>
              <w:spacing w:after="0"/>
              <w:rPr>
                <w:sz w:val="20"/>
                <w:szCs w:val="20"/>
                <w:color w:val="auto"/>
              </w:rPr>
            </w:pPr>
            <w:r>
              <w:rPr>
                <w:rFonts w:ascii="Times New Roman" w:cs="Times New Roman" w:eastAsia="Times New Roman" w:hAnsi="Times New Roman"/>
                <w:sz w:val="18"/>
                <w:szCs w:val="18"/>
                <w:color w:val="auto"/>
              </w:rPr>
              <w:t>2 of 34</w:t>
            </w:r>
          </w:p>
        </w:tc>
        <w:tc>
          <w:tcPr>
            <w:tcW w:w="216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PERIODS ENDED FEBRUARY 25, 2023 AND FEBRUARY 26, 2022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26, 2022</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117,864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57,393</w:t>
            </w:r>
          </w:p>
        </w:tc>
      </w:tr>
      <w:tr>
        <w:trPr>
          <w:trHeight w:val="216"/>
        </w:trPr>
        <w:tc>
          <w:tcPr>
            <w:tcW w:w="8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6,478</w:t>
            </w:r>
          </w:p>
        </w:tc>
      </w:tr>
      <w:tr>
        <w:trPr>
          <w:trHeight w:val="216"/>
        </w:trPr>
        <w:tc>
          <w:tcPr>
            <w:tcW w:w="8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1,558</w:t>
            </w:r>
          </w:p>
        </w:tc>
      </w:tr>
      <w:tr>
        <w:trPr>
          <w:trHeight w:val="209"/>
        </w:trPr>
        <w:tc>
          <w:tcPr>
            <w:tcW w:w="80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w:t>
            </w:r>
          </w:p>
        </w:tc>
      </w:tr>
      <w:tr>
        <w:trPr>
          <w:trHeight w:val="216"/>
        </w:trPr>
        <w:tc>
          <w:tcPr>
            <w:tcW w:w="8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w:t>
            </w:r>
          </w:p>
        </w:tc>
      </w:tr>
      <w:tr>
        <w:trPr>
          <w:trHeight w:val="209"/>
        </w:trPr>
        <w:tc>
          <w:tcPr>
            <w:tcW w:w="80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5,573</w:t>
            </w:r>
          </w:p>
        </w:tc>
      </w:tr>
      <w:tr>
        <w:trPr>
          <w:trHeight w:val="197"/>
        </w:trPr>
        <w:tc>
          <w:tcPr>
            <w:tcW w:w="80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 per share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Special dividend per share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PERIODS ENDED FEBRUARY 25, 2023 AND FEBRUARY 26, 2022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26, 2022</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1,445</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related to foreign currency translation adjustments</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associated with</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 Term Cash Awards (LTCA)</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related to LTCA</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associated with supplemental executive retirement defined benefit plan (SERP)</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related to SERP</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80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80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 AND NOVEMBER 26,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26,</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54,892</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61,625</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17,715</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17,838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85,477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196,495</w:t>
            </w:r>
          </w:p>
        </w:tc>
        <w:tc>
          <w:tcPr>
            <w:tcW w:w="0" w:type="dxa"/>
            <w:vAlign w:val="bottom"/>
          </w:tcPr>
          <w:p>
            <w:pPr>
              <w:spacing w:after="0"/>
              <w:rPr>
                <w:sz w:val="1"/>
                <w:szCs w:val="1"/>
                <w:color w:val="auto"/>
              </w:rPr>
            </w:pP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77,001</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21,727</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99,472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391,617</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406,273</w:t>
            </w:r>
          </w:p>
        </w:tc>
        <w:tc>
          <w:tcPr>
            <w:tcW w:w="0" w:type="dxa"/>
            <w:vAlign w:val="bottom"/>
          </w:tcPr>
          <w:p>
            <w:pPr>
              <w:spacing w:after="0"/>
              <w:rPr>
                <w:sz w:val="1"/>
                <w:szCs w:val="1"/>
                <w:color w:val="auto"/>
              </w:rPr>
            </w:pPr>
          </w:p>
        </w:tc>
      </w:tr>
      <w:tr>
        <w:trPr>
          <w:trHeight w:val="197"/>
        </w:trPr>
        <w:tc>
          <w:tcPr>
            <w:tcW w:w="480" w:type="dxa"/>
            <w:vAlign w:val="bottom"/>
            <w:tcBorders>
              <w:top w:val="single" w:sz="8" w:color="CCEEFF"/>
            </w:tcBorders>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5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20,359</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12,921</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35,963</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operating lease obligations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18,819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liabilites and accrued expenses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100,827</w:t>
            </w:r>
          </w:p>
        </w:tc>
        <w:tc>
          <w:tcPr>
            <w:tcW w:w="0" w:type="dxa"/>
            <w:vAlign w:val="bottom"/>
          </w:tcPr>
          <w:p>
            <w:pPr>
              <w:spacing w:after="0"/>
              <w:rPr>
                <w:sz w:val="1"/>
                <w:szCs w:val="1"/>
                <w:color w:val="auto"/>
              </w:rPr>
            </w:pP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9,954</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97,477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109,837</w:t>
            </w:r>
          </w:p>
        </w:tc>
        <w:tc>
          <w:tcPr>
            <w:tcW w:w="0" w:type="dxa"/>
            <w:vAlign w:val="bottom"/>
          </w:tcPr>
          <w:p>
            <w:pPr>
              <w:spacing w:after="0"/>
              <w:rPr>
                <w:sz w:val="1"/>
                <w:szCs w:val="1"/>
                <w:color w:val="auto"/>
              </w:rPr>
            </w:pP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44,759</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150,800</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391,617</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406,273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PERIODS ENDED FEBRUARY 25, 2023 AND FEBRUARY 26, 2022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26, 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(5,300)</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(7,109)</w:t>
            </w:r>
          </w:p>
        </w:tc>
      </w:tr>
      <w:tr>
        <w:trPr>
          <w:trHeight w:val="210"/>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r>
      <w:tr>
        <w:trPr>
          <w:trHeight w:val="20"/>
        </w:trPr>
        <w:tc>
          <w:tcPr>
            <w:tcW w:w="8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(2,880)</w:t>
            </w:r>
          </w:p>
        </w:tc>
      </w:tr>
      <w:tr>
        <w:trPr>
          <w:trHeight w:val="210"/>
        </w:trPr>
        <w:tc>
          <w:tcPr>
            <w:tcW w:w="80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8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(6,733)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54,892</w:t>
            </w:r>
          </w:p>
        </w:tc>
        <w:tc>
          <w:tcPr>
            <w:tcW w:w="12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31,880</w:t>
            </w: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accounting principles generally accepted in the United States (“GAAP”) for complete financial statements. In our opinion, all adjustments (consisting of normal recurring adjustments) considered necessary for a fair presentation have been included.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“ASC” included hereinafter refer to the Accounting Standards Codification established by the Financial Accounting Standards Board (“FASB”) as the source of authoritative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Bassett Furniture Industries, Incorporated (“Bassett”, “we”, “our”, or the “Company”) and our wholly-owned subsidiaries of which we have a controlling interest. In accordance with ASC Topic 810, we have evaluated our licensees and certain other entities to determine whether they are variable interest entities (“VIEs”) of which we are the primary beneficiary and thus would require consolidation in our financial statements. To date we have concluded that none of our licensees represent VIEs.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the sale of furniture and accessories is reported in the accompanying condensed consolidated statements of income net of estimates for returns and allowances.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2022, we entered into a definitive agreement to sell substantially all of the assets of our wholly-owned subsidiary, Zenith Freight Lines, LLC (“Zenith”) to J.B. Hunt Transport Services, Inc. (“J.B. Hunt”). The sale was completed on February 28, 2022. Accordingly, the operations of our logistical services segment for the three months ended February 26, 2022 are presented in the accompanying condensed consolidated statements of income as discontinued operations. See Note 12, Discontinued Operations, for additional information. Costs incurred by Bassett for logistical services performed for Bassett by Zenith were included in selling, general and administrative expenses for the three months ended February 26, 2022.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 2022, we acquired 100% of the capital stock of Noa Home Inc. (“Noa Home”), a mid-priced e-commerce furniture retailer headquartered in Montreal, Canada. Noa Home has operations in Canada, Australia, Singapore and the United Kingdom. Since acquisition, Noa Home has been consolidated as a wholly-owned subsidiary. See Note 3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(see Note 13, Segments).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Interim Financial Presentation and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condensed consolidated financial statements. The results of operations for the three months ended February 25, 2023 are not necessarily indicative of results for the full fiscal year. These interim condensed consolidated financial statements should be read in conjunction with the consolidated financial statements and accompanying notes included in our Annual Report on Form 10-K for the year ended November 26,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and use that effective tax rate to record our year-to-date income tax provision. Any change in annual projections of pretax income could have a significant impact on our effective tax rate for the respective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36.8% and 26.3% for the three months ended February 25, 2023 and February 26, 2022, respectively. These effective rates differ from the federal statutory rate of 21% primarily due to increases in the valuation allowance placed on deferred tax assets associated with Noa Home, the effects of state income taxes and various permanent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and Financing Activity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25, 2023 and February 26, 2022, $3,406 and $4119, respectively, of lease right-of- use assets were added through the recognition of the corresponding lease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 2022, we acquired 100% of the capital stock of Noa Home Inc. (“Noa Home”), a mid-priced e-commerce furniture retailer headquartered in Montreal, Canada. Noa Home has operations in Canada, Australia, Singapore and the United Kingdom. The initial purchase price (denominated in Canadian dollars) of approximately C$7,700 included cash payments of C$2,000 paid to the co-founders of Noa Home and approximately C$5,700 for the repayment of existing debt owed by Noa Home. The Noa Home co-founders will also have the opportunity to receive additional cash payments totaling approximately C$1,330 per year for the three fiscal years following the year of acquisition based on established increases in net revenues and achieving certain internal EBITDA goals.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acquisition method of accounting, the fair value of the consideration transferred was allocated to the tangible and intangible assets acquired and the liabilities assumed based on their estimated fair values as of the acquisition date with the remaining unallocated amount recorded as goodwill.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allocation of the fair value of the acquired business has been based on a preliminary valuation. Our estimates and assumptions are subject to change as we obtain additional information for our estimates during the measurement period (up to one year from the acquisition date). The primary areas of the preliminary allocation of the fair value of consideration transferred that are not yet finalized relate to the fair values of certain tangible and intangible assets acquired and the residual goodwill. As of February 25, 2023, there have been no changes to the preliminary allocation of the purchase price (translated into U.S. dollars as of the acquisition date) which is as follows:</w:t>
      </w:r>
    </w:p>
    <w:p>
      <w:pPr>
        <w:spacing w:after="0" w:line="183"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collective summary of the purchase price allocations for those acquisitions:</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 in exchange for 100% of Noa Home:</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5,878</w:t>
            </w:r>
          </w:p>
        </w:tc>
      </w:tr>
      <w:tr>
        <w:trPr>
          <w:trHeight w:val="216"/>
        </w:trPr>
        <w:tc>
          <w:tcPr>
            <w:tcW w:w="16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of contingent consideration payable</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1,375</w:t>
            </w:r>
          </w:p>
        </w:tc>
      </w:tr>
      <w:tr>
        <w:trPr>
          <w:trHeight w:val="20"/>
        </w:trPr>
        <w:tc>
          <w:tcPr>
            <w:tcW w:w="16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fair value of consideration paid or payable</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7,253</w:t>
            </w:r>
          </w:p>
        </w:tc>
      </w:tr>
      <w:tr>
        <w:trPr>
          <w:trHeight w:val="20"/>
        </w:trPr>
        <w:tc>
          <w:tcPr>
            <w:tcW w:w="1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the fair value of consideration transferred:</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 acquired:</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16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1,585</w:t>
            </w:r>
          </w:p>
        </w:tc>
      </w:tr>
      <w:tr>
        <w:trPr>
          <w:trHeight w:val="216"/>
        </w:trPr>
        <w:tc>
          <w:tcPr>
            <w:tcW w:w="16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16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&amp; equipment</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6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 - trade name</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1,929</w:t>
            </w:r>
          </w:p>
        </w:tc>
      </w:tr>
      <w:tr>
        <w:trPr>
          <w:trHeight w:val="20"/>
        </w:trPr>
        <w:tc>
          <w:tcPr>
            <w:tcW w:w="1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4,282</w:t>
            </w:r>
          </w:p>
        </w:tc>
      </w:tr>
      <w:tr>
        <w:trPr>
          <w:trHeight w:val="216"/>
        </w:trPr>
        <w:tc>
          <w:tcPr>
            <w:tcW w:w="16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w:t>
            </w:r>
          </w:p>
        </w:tc>
      </w:tr>
      <w:tr>
        <w:trPr>
          <w:trHeight w:val="216"/>
        </w:trPr>
        <w:tc>
          <w:tcPr>
            <w:tcW w:w="16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16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 and accrued expenses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16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(2,744)</w:t>
            </w:r>
          </w:p>
        </w:tc>
      </w:tr>
      <w:tr>
        <w:trPr>
          <w:trHeight w:val="20"/>
        </w:trPr>
        <w:tc>
          <w:tcPr>
            <w:tcW w:w="1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1,538</w:t>
            </w:r>
          </w:p>
        </w:tc>
      </w:tr>
      <w:tr>
        <w:trPr>
          <w:trHeight w:val="216"/>
        </w:trPr>
        <w:tc>
          <w:tcPr>
            <w:tcW w:w="16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5,715</w:t>
            </w:r>
          </w:p>
        </w:tc>
      </w:tr>
      <w:tr>
        <w:trPr>
          <w:trHeight w:val="20"/>
        </w:trPr>
        <w:tc>
          <w:tcPr>
            <w:tcW w:w="1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7,253</w:t>
            </w:r>
          </w:p>
        </w:tc>
      </w:tr>
      <w:tr>
        <w:trPr>
          <w:trHeight w:val="20"/>
        </w:trPr>
        <w:tc>
          <w:tcPr>
            <w:tcW w:w="160" w:type="dxa"/>
            <w:vAlign w:val="bottom"/>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was determined based on the residual difference between the fair value of the consideration transferred and the value assigned to the tangible and intangible assets and liabilities recognized in connection with the acquisition and is deductible for tax purposes. Among the factors that contributed to a purchase price resulting in the recognition of goodwill are the expected synergies arising from combining the Company’s manufacturing and distribution capabilities with Noa Home’s position in the international e-commerce market for home furnishings and accessories.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portion of the fair value of the consideration transferred in the amount of $1,929 has been assigned to the identifiable intangible asset associated with the Noa Home trade name. This intangible asset is considered to have an indefinite life. The indefinite-lived intangible asset and goodwill are not amortized but will be tested for impairment annually or between annual tests if an indicator of impairment exists.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fair values of consideration transferred and net assets acquired were determined using a combination of Level 2 and Level 3 inputs as specified in the fair value hierarchy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revenues and results of operations of Noa Home for the three months ended February 25, 2023 were not material. The pro forma impact of the acquisition has not been presented because it was not material to our consolidated results of operations for the three months ended February 26,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Instruments and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short-term investments in certificates of deposit (CDs), accounts receivable, and accounts payable. Because of their short maturities, the carrying amounts of cash and cash equivalents, short-term investments in CDs, accounts receivable, and accounts payable approximate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short-term investments of $17,725 and $17,715 at February 25, 2023 and November 26, 2022 consisted of CDs. At February 25, 2023, the CDs had original terms averaging eight months, bearing interest at rates ranging from 0.3% to 4.75%. At February 25, 2023, the weighted average remaining time to maturity of the CDs was approximately five months and the weighted average yield of the CDs was approximately 4.29%. Each CD is placed with a federally insured financial institution and all deposits are within federal deposit insurance limits. Due to the nature of these investments and their relatively short maturities, the carrying amount of the short-term investments at February 25, 2023 and November 26, 2022 approximates their fair value.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consists of the following:</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February 25, 2023</w:t>
            </w:r>
          </w:p>
        </w:tc>
        <w:tc>
          <w:tcPr>
            <w:tcW w:w="200" w:type="dxa"/>
            <w:vAlign w:val="bottom"/>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26, 2022</w:t>
            </w:r>
          </w:p>
        </w:tc>
        <w:tc>
          <w:tcPr>
            <w:tcW w:w="10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18,992</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19,099</w:t>
            </w: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w:t>
            </w: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w:t>
            </w:r>
          </w:p>
        </w:tc>
      </w:tr>
      <w:tr>
        <w:trPr>
          <w:trHeight w:val="250"/>
        </w:trPr>
        <w:tc>
          <w:tcPr>
            <w:tcW w:w="6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collectibility of accounts receivable within each pool based on historical experience, current payment practices and current economic trends based on our expectations over the expected life of the receivables, which is generally ninety days or less. Actual credit losses could differ from those estimates.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CONDENSED CONSOLIDATED FINANCIAL STATEMENTS-UNAUDITED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credit losses for the three months ended February 25, 2023 was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November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570039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Write-offs against allowance</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February 25,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13" w:hanging="1113"/>
        <w:spacing w:after="0"/>
        <w:tabs>
          <w:tab w:leader="none" w:pos="11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1,261</w:t>
      </w:r>
    </w:p>
    <w:p>
      <w:pPr>
        <w:spacing w:after="0" w:line="27" w:lineRule="exact"/>
        <w:rPr>
          <w:rFonts w:ascii="Times New Roman" w:cs="Times New Roman" w:eastAsia="Times New Roman" w:hAnsi="Times New Roman"/>
          <w:sz w:val="18"/>
          <w:szCs w:val="18"/>
          <w:color w:val="auto"/>
        </w:rPr>
      </w:pPr>
    </w:p>
    <w:p>
      <w:pPr>
        <w:ind w:left="12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w:t>
      </w:r>
    </w:p>
    <w:p>
      <w:pPr>
        <w:spacing w:after="0" w:line="9" w:lineRule="exact"/>
        <w:rPr>
          <w:sz w:val="20"/>
          <w:szCs w:val="20"/>
          <w:color w:val="auto"/>
        </w:rPr>
      </w:pPr>
    </w:p>
    <w:p>
      <w:pPr>
        <w:jc w:val="center"/>
        <w:ind w:right="427"/>
        <w:spacing w:after="0"/>
        <w:rPr>
          <w:sz w:val="20"/>
          <w:szCs w:val="20"/>
          <w:color w:val="auto"/>
        </w:rPr>
      </w:pPr>
      <w:r>
        <w:rPr>
          <w:rFonts w:ascii="Times New Roman" w:cs="Times New Roman" w:eastAsia="Times New Roman" w:hAnsi="Times New Roman"/>
          <w:sz w:val="18"/>
          <w:szCs w:val="18"/>
          <w:color w:val="auto"/>
        </w:rPr>
        <w:t>(693)</w:t>
      </w:r>
    </w:p>
    <w:p>
      <w:pPr>
        <w:spacing w:after="0" w:line="9" w:lineRule="exact"/>
        <w:rPr>
          <w:sz w:val="20"/>
          <w:szCs w:val="20"/>
          <w:color w:val="auto"/>
        </w:rPr>
      </w:pPr>
    </w:p>
    <w:p>
      <w:pPr>
        <w:ind w:left="1253" w:hanging="1253"/>
        <w:spacing w:after="0"/>
        <w:tabs>
          <w:tab w:leader="none" w:pos="12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683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500" w:space="527"/>
            <w:col w:w="3213"/>
          </w:cols>
          <w:pgMar w:left="320" w:top="121" w:right="339" w:bottom="1440" w:gutter="0" w:footer="0" w:header="0"/>
          <w:type w:val="continuous"/>
        </w:sectPr>
      </w:pP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 and Disclosures</w:t>
      </w:r>
      <w:r>
        <w:rPr>
          <w:rFonts w:ascii="Times New Roman" w:cs="Times New Roman" w:eastAsia="Times New Roman" w:hAnsi="Times New Roman"/>
          <w:sz w:val="18"/>
          <w:szCs w:val="18"/>
          <w:color w:val="auto"/>
        </w:rPr>
        <w:t>. See Note 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furniture inventories are valued at the lower of cost, which is determined using the last-in, first-out (LIFO) method, or market. Imported inventories and those applicable to our Lane Venture and Bassett Outdoor lines are valued at the lower of cost, which is determined using the first-in, first-out (FIFO) method, or net realizable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were comprised of the following:</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February 25, 2023</w:t>
            </w:r>
          </w:p>
        </w:tc>
        <w:tc>
          <w:tcPr>
            <w:tcW w:w="180" w:type="dxa"/>
            <w:vAlign w:val="bottom"/>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November 26, 2022</w:t>
            </w:r>
          </w:p>
        </w:tc>
        <w:tc>
          <w:tcPr>
            <w:tcW w:w="10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46,607</w:t>
            </w: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22,859</w:t>
            </w: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35,255</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32,974</w:t>
            </w: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on first-in, first-out method</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95,844</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103,060</w:t>
            </w: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LIFO adjustment</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(12,187)</w:t>
            </w: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(12,416)</w:t>
            </w: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(4,646)</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(5,167)</w:t>
            </w:r>
          </w:p>
        </w:tc>
      </w:tr>
      <w:tr>
        <w:trPr>
          <w:trHeight w:val="20"/>
        </w:trPr>
        <w:tc>
          <w:tcPr>
            <w:tcW w:w="66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79,011</w:t>
            </w: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85,477</w:t>
            </w: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and/or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reserves for excess quantities and obsolete inventory by segment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Wholesale Segment</w:t>
            </w:r>
          </w:p>
        </w:tc>
        <w:tc>
          <w:tcPr>
            <w:tcW w:w="14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Retail Segment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6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26, 2022</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1,064</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r>
      <w:tr>
        <w:trPr>
          <w:trHeight w:val="20"/>
        </w:trPr>
        <w:tc>
          <w:tcPr>
            <w:tcW w:w="56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25, 2023</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4,646</w:t>
            </w:r>
          </w:p>
        </w:tc>
      </w:tr>
      <w:tr>
        <w:trPr>
          <w:trHeight w:val="20"/>
        </w:trPr>
        <w:tc>
          <w:tcPr>
            <w:tcW w:w="5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estimates and assumptions have been reasonably accurate in the past. We have not made any significant changes to our methodology for determining inventory reserves in 2023 and do not anticipate that our methodology is likely to change in the future.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and other 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subject to amortization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subject to amortization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February 25, 2023</w:t>
      </w:r>
    </w:p>
    <w:p>
      <w:pPr>
        <w:spacing w:after="0" w:line="31"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46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8,694</w:t>
            </w:r>
          </w:p>
        </w:tc>
        <w:tc>
          <w:tcPr>
            <w:tcW w:w="0" w:type="dxa"/>
            <w:vAlign w:val="bottom"/>
          </w:tcPr>
          <w:p>
            <w:pPr>
              <w:spacing w:after="0" w:line="20" w:lineRule="exact"/>
              <w:rPr>
                <w:sz w:val="1"/>
                <w:szCs w:val="1"/>
                <w:color w:val="auto"/>
              </w:rPr>
            </w:pPr>
          </w:p>
        </w:tc>
      </w:tr>
      <w:tr>
        <w:trPr>
          <w:trHeight w:val="610"/>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12,687</w:t>
            </w:r>
          </w:p>
        </w:tc>
        <w:tc>
          <w:tcPr>
            <w:tcW w:w="0" w:type="dxa"/>
            <w:vAlign w:val="bottom"/>
          </w:tcPr>
          <w:p>
            <w:pPr>
              <w:spacing w:after="0"/>
              <w:rPr>
                <w:sz w:val="1"/>
                <w:szCs w:val="1"/>
                <w:color w:val="auto"/>
              </w:rPr>
            </w:pPr>
          </w:p>
        </w:tc>
      </w:tr>
      <w:tr>
        <w:trPr>
          <w:trHeight w:val="425"/>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21,599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26, 2022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4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4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8,723</w:t>
            </w:r>
          </w:p>
        </w:tc>
        <w:tc>
          <w:tcPr>
            <w:tcW w:w="0" w:type="dxa"/>
            <w:vAlign w:val="bottom"/>
          </w:tcPr>
          <w:p>
            <w:pPr>
              <w:spacing w:after="0" w:line="20" w:lineRule="exact"/>
              <w:rPr>
                <w:sz w:val="1"/>
                <w:szCs w:val="1"/>
                <w:color w:val="auto"/>
              </w:rPr>
            </w:pPr>
          </w:p>
        </w:tc>
      </w:tr>
      <w:tr>
        <w:trPr>
          <w:trHeight w:val="610"/>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12,772</w:t>
            </w:r>
          </w:p>
        </w:tc>
        <w:tc>
          <w:tcPr>
            <w:tcW w:w="0" w:type="dxa"/>
            <w:vAlign w:val="bottom"/>
          </w:tcPr>
          <w:p>
            <w:pPr>
              <w:spacing w:after="0"/>
              <w:rPr>
                <w:sz w:val="1"/>
                <w:szCs w:val="1"/>
                <w:color w:val="auto"/>
              </w:rPr>
            </w:pPr>
          </w:p>
        </w:tc>
      </w:tr>
      <w:tr>
        <w:trPr>
          <w:trHeight w:val="426"/>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21,727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-2879725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-2579370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-2305050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-2022475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-1156970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-856615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-582295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-299720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600" w:space="720"/>
            <w:col w:w="592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amounts of goodwill by reportable segment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Wholesale</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Corporate &amp; Other</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November 26, 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5,554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12,771</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4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February 25,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12,687</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impairment losses at both February 25, 2023 and November 26, 2022 were $3,897.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associated with intangible assets during the three months ended February 25, 2023 and February 26, 2022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1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26, 2022</w:t>
            </w: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56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that exist at February 25, 2023 is as follows: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2023</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Bank Credit Facility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bank credit facility provides for a line of credit of up to $25,000. At February 25, 2023, we had $3,731 outstanding under standby letters of credit against our line, leaving availability under our credit line of $21,269. In addition, we had outstanding standby letters of credit with another bank totaling $250 at February 25, 2023. The line bears interest at the One-Month Term Secured Overnight Financing Rate (“One-Month Term SOFR”) plus 1.5% and is unsecured. Our bank charges a fee of 0.25% on the daily unused balance of the line, payable quarterly. Under the terms of the bank credit facility, we must maintain the following financial covenants, measured quarterly on a rolling twelve-month basis:</w:t>
      </w:r>
    </w:p>
    <w:p>
      <w:pPr>
        <w:spacing w:after="0" w:line="18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of not less than 1.4 times,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lease-adjusted leverage ratio not to exceed 3.0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tangible net worth of $140,000.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were in compliance with these covenants at February 25, 2023 and expect to remain in compliance for the foreseeable future. The credit facility will mature on January 27, 2025, at which time any amounts outstanding under the facility will be due.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Post Employment Benefit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Defined Benefit Plans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unfunded Supplemental Retirement Income Plan (the “Supplemental Plan”) that covers one current and certain former executives. The liability for the Supplemental Plan was $6,007 and $5,987 as of February 25, 2023 and November 26, 2022,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the Bassett Furniture Industries, Incorporated Management Savings Plan (the “Management Savings Plan”) which was established in the second quarter of fiscal 2017. The Management Savings Plan is an unfunded, nonqualified deferred compensation plan maintained for the benefit of certain highly compensated or management level employees. As part of the Management Savings Plan, we have made Long Term Cash Awards (“LTC Awards”) totaling $2,000 to certain management employees in the amount of $400 each. The liability for the LTC Awards was $1,300 and $1,275 as of February 25, 2023 and November 26, 2022,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pension liability for the Supplemental Plan and LTC Awards is recorded as follows in the condensed consolidated balance sheets: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November 26, 2022</w:t>
            </w: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70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80" w:type="dxa"/>
            <w:vAlign w:val="bottom"/>
          </w:tcPr>
          <w:p>
            <w:pPr>
              <w:spacing w:after="0"/>
              <w:rPr>
                <w:sz w:val="18"/>
                <w:szCs w:val="18"/>
                <w:color w:val="auto"/>
              </w:rPr>
            </w:pPr>
          </w:p>
        </w:tc>
      </w:tr>
      <w:tr>
        <w:trPr>
          <w:trHeight w:val="209"/>
        </w:trPr>
        <w:tc>
          <w:tcPr>
            <w:tcW w:w="5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pension liability</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7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8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pension costs for our defined benefit plans for the three months ended February 25, 2023 and February 26, 2022 are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660" w:type="dxa"/>
            <w:vAlign w:val="bottom"/>
          </w:tcPr>
          <w:p>
            <w:pPr>
              <w:spacing w:after="0"/>
              <w:rPr>
                <w:sz w:val="18"/>
                <w:szCs w:val="18"/>
                <w:color w:val="auto"/>
              </w:rPr>
            </w:pPr>
          </w:p>
        </w:tc>
        <w:tc>
          <w:tcPr>
            <w:tcW w:w="1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26, 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9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loss</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r>
      <w:tr>
        <w:trPr>
          <w:trHeight w:val="209"/>
        </w:trPr>
        <w:tc>
          <w:tcPr>
            <w:tcW w:w="56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cost</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which is included in selling, general and administrative expenses, are included in other loss, net in our condensed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Compensation Plans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unfunded deferred compensation plan that covers one current executive and certain former executives and provides for voluntary deferral of compensation. This plan has been frozen with no additional participants or deferrals permitted. Our liability under this plan was $1,626 and $1,616 as of February 25, 2023 and November 26, 2022,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an unfunded, nonqualified deferred compensation plan maintained for the benefit of certain highly compensated or management level employees which was established under the Management Savings Plan. Our liability under this plan, including both accrued Company contributions and participant salary deferrals, was $2,447 and $2,070 as of February 25, 2023 and November 26, 2022,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combined liability for all deferred compensation arrangements, including Company contributions and participant deferrals under the Management Savings Plan, is recorded as follows in the condensed consolidated balance sheets: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November 26, 2022</w:t>
            </w: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70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tcPr>
          <w:p>
            <w:pPr>
              <w:spacing w:after="0"/>
              <w:rPr>
                <w:sz w:val="18"/>
                <w:szCs w:val="18"/>
                <w:color w:val="auto"/>
              </w:rPr>
            </w:pPr>
          </w:p>
        </w:tc>
      </w:tr>
      <w:tr>
        <w:trPr>
          <w:trHeight w:val="210"/>
        </w:trPr>
        <w:tc>
          <w:tcPr>
            <w:tcW w:w="5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compensation liability</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7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8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recognized expense under our deferred compensation arrangements during the three months ended February 25, 2023 and February 26, 2022 as follows: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60" w:type="dxa"/>
            <w:vAlign w:val="bottom"/>
          </w:tcPr>
          <w:p>
            <w:pPr>
              <w:spacing w:after="0"/>
              <w:rPr>
                <w:sz w:val="18"/>
                <w:szCs w:val="18"/>
                <w:color w:val="auto"/>
              </w:rPr>
            </w:pPr>
          </w:p>
        </w:tc>
        <w:tc>
          <w:tcPr>
            <w:tcW w:w="1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26, 2022</w:t>
            </w:r>
          </w:p>
        </w:tc>
        <w:tc>
          <w:tcPr>
            <w:tcW w:w="80" w:type="dxa"/>
            <w:vAlign w:val="bottom"/>
          </w:tcPr>
          <w:p>
            <w:pPr>
              <w:spacing w:after="0"/>
              <w:rPr>
                <w:sz w:val="18"/>
                <w:szCs w:val="18"/>
                <w:color w:val="auto"/>
              </w:rPr>
            </w:pPr>
          </w:p>
        </w:tc>
      </w:tr>
      <w:tr>
        <w:trPr>
          <w:trHeight w:val="249"/>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expense (benefit)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we believe that the final resolution of these matters will not have a material adverse effect on our financial position or future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Guarantees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contingently liable under a licensee lease obligation guarantee in the amounts of $1,889 and $1,880 at February 25, 2023 and November 26, 2022, respectively. The remaining term under this lease guarantee extends for five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default by an independent dealer under the guaranteed lease, we believe that the risk of loss is mitigated through a combination of options that include, but are not limited to, arranging for a replacement dealer or liquidating the collateral (primarily inventory). The proceeds of the above options are expected to cover the estimated amount of our future payments under the guarantee obligation, net of recorded reserves. The fair value of this lease guarantee (an estimate of the cost to the Company to perform on the guarantee) at February 25, 2023 and November 26, 2022 was not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reconciles basic and diluted earnings per share:</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Weighted Average</w:t>
            </w:r>
          </w:p>
        </w:tc>
        <w:tc>
          <w:tcPr>
            <w:tcW w:w="32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Net Income</w:t>
            </w:r>
          </w:p>
        </w:tc>
      </w:tr>
      <w:tr>
        <w:trPr>
          <w:trHeight w:val="234"/>
        </w:trPr>
        <w:tc>
          <w:tcPr>
            <w:tcW w:w="2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Per Share</w:t>
            </w:r>
          </w:p>
        </w:tc>
      </w:tr>
      <w:tr>
        <w:trPr>
          <w:trHeight w:val="189"/>
        </w:trPr>
        <w:tc>
          <w:tcPr>
            <w:tcW w:w="50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For the quarter ended February 25, 2023:</w:t>
            </w:r>
          </w:p>
        </w:tc>
        <w:tc>
          <w:tcPr>
            <w:tcW w:w="6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80" w:type="dxa"/>
            <w:vAlign w:val="bottom"/>
            <w:tcBorders>
              <w:top w:val="single" w:sz="8" w:color="auto"/>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 continuing operations</w:t>
            </w: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1,445</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8,867,881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29,122</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 continuing operations</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1,445</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8,897,003</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2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9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quarter ended February 26, 2022:</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980" w:type="dxa"/>
            <w:vAlign w:val="bottom"/>
            <w:tcBorders>
              <w:top w:val="single" w:sz="8" w:color="auto"/>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 continuing operations</w:t>
            </w: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4,291</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9,750,432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and restricted shares</w:t>
            </w:r>
          </w:p>
        </w:tc>
        <w:tc>
          <w:tcPr>
            <w:tcW w:w="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8,545</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 continuing operations</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4,291</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9,758,977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2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9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loss per share - discontinued operations</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1,282</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9,750,432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Options and restricted shares</w:t>
            </w: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8,545</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 - discontinued operations</w:t>
            </w: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1,282</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9,758,977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three months ended February 25, 2023 and February 26, 2022, the following potentially dilutive shares were excluded from the computations as their effect was anti-dilutive:</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32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10"/>
        </w:trPr>
        <w:tc>
          <w:tcPr>
            <w:tcW w:w="6780" w:type="dxa"/>
            <w:vAlign w:val="bottom"/>
          </w:tcPr>
          <w:p>
            <w:pPr>
              <w:spacing w:after="0"/>
              <w:rPr>
                <w:sz w:val="18"/>
                <w:szCs w:val="18"/>
                <w:color w:val="auto"/>
              </w:rPr>
            </w:pPr>
          </w:p>
        </w:tc>
        <w:tc>
          <w:tcPr>
            <w:tcW w:w="1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26, 2022</w:t>
            </w:r>
          </w:p>
        </w:tc>
        <w:tc>
          <w:tcPr>
            <w:tcW w:w="100" w:type="dxa"/>
            <w:vAlign w:val="bottom"/>
          </w:tcPr>
          <w:p>
            <w:pPr>
              <w:spacing w:after="0"/>
              <w:rPr>
                <w:sz w:val="18"/>
                <w:szCs w:val="18"/>
                <w:color w:val="auto"/>
              </w:rPr>
            </w:pPr>
          </w:p>
        </w:tc>
      </w:tr>
      <w:tr>
        <w:trPr>
          <w:trHeight w:val="210"/>
        </w:trPr>
        <w:tc>
          <w:tcPr>
            <w:tcW w:w="6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w:t>
            </w:r>
          </w:p>
        </w:tc>
        <w:tc>
          <w:tcPr>
            <w:tcW w:w="16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51,000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Discontinued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31, 2022, we entered into a definitive agreement to sell substantially all of the assets of Zenith to J.B. Hunt. The sale was completed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 Subsequent to the first quarter of fiscal 2022 and through the end of fiscal 2022, we received the following net proceeds: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price prior to post-closing working capital adjustment</w:t>
            </w:r>
          </w:p>
        </w:tc>
        <w:tc>
          <w:tcPr>
            <w:tcW w:w="13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86,939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 held in escrow for contingencies related to representations and warranties (1)</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Seller expenses paid at closing</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Working capital adjustment paid to buyer</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r>
      <w:tr>
        <w:trPr>
          <w:trHeight w:val="209"/>
        </w:trPr>
        <w:tc>
          <w:tcPr>
            <w:tcW w:w="7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the sale</w:t>
            </w:r>
          </w:p>
        </w:tc>
        <w:tc>
          <w:tcPr>
            <w:tcW w:w="8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84,534</w:t>
            </w:r>
          </w:p>
        </w:tc>
      </w:tr>
      <w:tr>
        <w:trPr>
          <w:trHeight w:val="20"/>
        </w:trPr>
        <w:tc>
          <w:tcPr>
            <w:tcW w:w="7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1300" w:hanging="320"/>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was held in escrow until the first anniversary of the sale, at which time the full amount was released to the Company on March 2, 2023. As of February 25, 2023 and November 26, 2022, this amount is included in other current assets in the accompanying condensed consolidated balance sheets.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sales price was subject to customary post-closing working capital adjustments which were paid during the second half of fiscal 2022 and resulted in a pre-tax gain from the sale of Zenith of $52,534 recognized subsequent to the first quarter of fiscal 2022.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operations of our logistical services segment, which consisted entirely of the operations of Zenith, are presented in the accompanying condensed consolidated statements of income as discontinued operations.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classes of line items constituting income of the discontinued operations, as reported in the condensed consolidated statements of income for the three months ended February 26,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Major line items constituting pretax income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570039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Logistical services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Cost of logistical services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Other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570039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from operations of logistical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570039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151765</wp:posOffset>
            </wp:positionV>
            <wp:extent cx="570039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Quarter Ended</w:t>
      </w:r>
    </w:p>
    <w:p>
      <w:pPr>
        <w:spacing w:after="0" w:line="3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u w:val="single" w:color="auto"/>
          <w:color w:val="auto"/>
        </w:rPr>
        <w:t>February 26, 2022</w:t>
      </w:r>
    </w:p>
    <w:p>
      <w:pPr>
        <w:spacing w:after="0" w:line="220" w:lineRule="exact"/>
        <w:rPr>
          <w:sz w:val="20"/>
          <w:szCs w:val="20"/>
          <w:color w:val="auto"/>
        </w:rPr>
      </w:pPr>
    </w:p>
    <w:p>
      <w:pPr>
        <w:ind w:left="940" w:hanging="939"/>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16,776</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15,001</w:t>
      </w:r>
    </w:p>
    <w:p>
      <w:pPr>
        <w:spacing w:after="0" w:line="9"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9086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1,712</w:t>
      </w:r>
    </w:p>
    <w:p>
      <w:pPr>
        <w:spacing w:after="0" w:line="27"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430</w:t>
      </w:r>
    </w:p>
    <w:p>
      <w:pPr>
        <w:spacing w:after="0" w:line="220" w:lineRule="exact"/>
        <w:rPr>
          <w:sz w:val="20"/>
          <w:szCs w:val="20"/>
          <w:color w:val="auto"/>
        </w:rPr>
      </w:pPr>
    </w:p>
    <w:p>
      <w:pPr>
        <w:ind w:left="1020" w:hanging="1019"/>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1,282</w:t>
      </w:r>
    </w:p>
    <w:p>
      <w:pPr>
        <w:spacing w:after="0" w:line="240" w:lineRule="exact"/>
        <w:rPr>
          <w:sz w:val="20"/>
          <w:szCs w:val="20"/>
          <w:color w:val="auto"/>
        </w:rPr>
      </w:pPr>
    </w:p>
    <w:p>
      <w:pPr>
        <w:sectPr>
          <w:pgSz w:w="11900" w:h="16838" w:orient="portrait"/>
          <w:cols w:equalWidth="0" w:num="2">
            <w:col w:w="7400" w:space="720"/>
            <w:col w:w="3120"/>
          </w:cols>
          <w:pgMar w:left="320" w:top="121" w:right="339" w:bottom="1440" w:gutter="0" w:footer="0" w:header="0"/>
          <w:type w:val="continuous"/>
        </w:sectPr>
      </w:pP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amounts for revenue and costs of logistical services shown above represent the results of Zenith’s business transactions with third parties. Zenith also charged Bassett for logistical services provided to our wholesale segment in the amount of $9,121 during the three months ended February 26, 2022. Upon the sale of Zenith we entered into a service agreement with J.B. Hunt for the continuation of these services for a period of seven years. We incurred $8,434 of expense during the three months ended February 25, 2023 for logistical services performed by J.B. Hunt.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other loss, net, is interest arising from finance leases assumed by J.B. Hunt as part of the transaction. Such interest amounted to $78 for the three months ended February 26,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cash flows generated by discontinued operations during the three months ended February 26, 2022:</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570039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151765</wp:posOffset>
            </wp:positionV>
            <wp:extent cx="570039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discontinued operations</w:t>
      </w:r>
    </w:p>
    <w:p>
      <w:pPr>
        <w:spacing w:after="0" w:line="225"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8"/>
          <w:szCs w:val="18"/>
          <w:color w:val="auto"/>
        </w:rPr>
        <w:t>16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u w:val="single" w:color="auto"/>
          <w:color w:val="auto"/>
        </w:rPr>
        <w:t>February 26, 2022</w:t>
      </w:r>
    </w:p>
    <w:p>
      <w:pPr>
        <w:spacing w:after="0" w:line="9" w:lineRule="exact"/>
        <w:rPr>
          <w:sz w:val="20"/>
          <w:szCs w:val="20"/>
          <w:color w:val="auto"/>
        </w:rPr>
      </w:pPr>
    </w:p>
    <w:p>
      <w:pPr>
        <w:ind w:left="1020" w:hanging="1019"/>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1,681</w:t>
      </w:r>
    </w:p>
    <w:p>
      <w:pPr>
        <w:spacing w:after="0" w:line="22"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9"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8"/>
          <w:szCs w:val="18"/>
          <w:color w:val="auto"/>
        </w:rPr>
        <w:t>(371)</w:t>
      </w:r>
    </w:p>
    <w:p>
      <w:pPr>
        <w:spacing w:after="0" w:line="220" w:lineRule="exact"/>
        <w:rPr>
          <w:sz w:val="20"/>
          <w:szCs w:val="20"/>
          <w:color w:val="auto"/>
        </w:rPr>
      </w:pPr>
    </w:p>
    <w:p>
      <w:pPr>
        <w:ind w:left="1020" w:hanging="1019"/>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1,229</w:t>
      </w:r>
    </w:p>
    <w:p>
      <w:pPr>
        <w:sectPr>
          <w:pgSz w:w="11900" w:h="16838" w:orient="portrait"/>
          <w:cols w:equalWidth="0" w:num="2">
            <w:col w:w="7400" w:space="720"/>
            <w:col w:w="3120"/>
          </w:cols>
          <w:pgMar w:left="320" w:top="121" w:right="339" w:bottom="1440" w:gutter="0" w:footer="0" w:header="0"/>
          <w:type w:val="continuous"/>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Beginning with the three months ended February 25, 2023, we have strategically aligned our business into three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158" w:lineRule="exact"/>
        <w:rPr>
          <w:sz w:val="20"/>
          <w:szCs w:val="20"/>
          <w:color w:val="auto"/>
        </w:rPr>
      </w:pPr>
    </w:p>
    <w:p>
      <w:pPr>
        <w:jc w:val="both"/>
        <w:ind w:left="660" w:right="2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 Corporate and other includes the shared costs of corporate functions such as treasury and finance, information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our other insignificant operating segment, the recently acquired Noa Home (see Note 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current period, the functions included in Corporate and other were included in our wholesale segment reportable segment, and Noa Home was included in our retail reportable segment for the fourth quarter of fiscal 2022 following its acquisition on September 2, 2022. We believe that the new alignment of our reporting segments provides our chief operating decision maker with clearer information with which to assess the operating results of our wholesale segment. Noa Home does not meet the requirements to be a separate reportable segment as it is below the thresholds of the revenue, income and asset tests. The segment information presented below for the three months ended February 26, 2022 and as of November 26, 2022 has been restated to reflect the new alignment of our reportable segments.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former logistical services segment which represented the operations of Zenith is now presented as a discontinued operation in the accompanying condensed consolidated balances sheets and statements of income (see Note 12).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segment information:</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5680" w:type="dxa"/>
            <w:vAlign w:val="bottom"/>
          </w:tcPr>
          <w:p>
            <w:pPr>
              <w:spacing w:after="0"/>
              <w:rPr>
                <w:sz w:val="18"/>
                <w:szCs w:val="18"/>
                <w:color w:val="auto"/>
              </w:rPr>
            </w:pPr>
          </w:p>
        </w:tc>
        <w:tc>
          <w:tcPr>
            <w:tcW w:w="16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February 25, 2023</w:t>
            </w: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February 26, 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69,884</w:t>
            </w:r>
          </w:p>
        </w:tc>
        <w:tc>
          <w:tcPr>
            <w:tcW w:w="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83,485</w:t>
            </w:r>
          </w:p>
        </w:tc>
        <w:tc>
          <w:tcPr>
            <w:tcW w:w="6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6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(29,728)</w:t>
            </w:r>
          </w:p>
        </w:tc>
      </w:tr>
      <w:tr>
        <w:trPr>
          <w:trHeight w:val="209"/>
        </w:trPr>
        <w:tc>
          <w:tcPr>
            <w:tcW w:w="5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39,785</w:t>
            </w: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53,757</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64,962</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64,107</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2,951</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107,698</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117,864</w:t>
            </w:r>
          </w:p>
        </w:tc>
        <w:tc>
          <w:tcPr>
            <w:tcW w:w="60" w:type="dxa"/>
            <w:vAlign w:val="bottom"/>
            <w:shd w:val="clear" w:color="auto" w:fill="CCEEFF"/>
          </w:tcPr>
          <w:p>
            <w:pPr>
              <w:spacing w:after="0"/>
              <w:rPr>
                <w:sz w:val="21"/>
                <w:szCs w:val="21"/>
                <w:color w:val="auto"/>
              </w:rPr>
            </w:pPr>
          </w:p>
        </w:tc>
      </w:tr>
      <w:tr>
        <w:trPr>
          <w:trHeight w:val="197"/>
        </w:trPr>
        <w:tc>
          <w:tcPr>
            <w:tcW w:w="56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8,994</w:t>
            </w:r>
          </w:p>
        </w:tc>
        <w:tc>
          <w:tcPr>
            <w:tcW w:w="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10,202</w:t>
            </w:r>
          </w:p>
        </w:tc>
        <w:tc>
          <w:tcPr>
            <w:tcW w:w="6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1,530</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2,622</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expenses - Corporate and other</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60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(6,245)</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09"/>
        </w:trPr>
        <w:tc>
          <w:tcPr>
            <w:tcW w:w="5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2,702</w:t>
            </w:r>
          </w:p>
        </w:tc>
        <w:tc>
          <w:tcPr>
            <w:tcW w:w="6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1,299</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1,495</w:t>
            </w:r>
          </w:p>
        </w:tc>
        <w:tc>
          <w:tcPr>
            <w:tcW w:w="60" w:type="dxa"/>
            <w:vAlign w:val="bottom"/>
          </w:tcPr>
          <w:p>
            <w:pPr>
              <w:spacing w:after="0"/>
              <w:rPr>
                <w:sz w:val="18"/>
                <w:szCs w:val="18"/>
                <w:color w:val="auto"/>
              </w:rPr>
            </w:pPr>
          </w:p>
        </w:tc>
      </w:tr>
      <w:tr>
        <w:trPr>
          <w:trHeight w:val="216"/>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2,340</w:t>
            </w:r>
          </w:p>
        </w:tc>
        <w:tc>
          <w:tcPr>
            <w:tcW w:w="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2,389</w:t>
            </w:r>
          </w:p>
        </w:tc>
        <w:tc>
          <w:tcPr>
            <w:tcW w:w="6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1,103</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8"/>
                <w:szCs w:val="18"/>
                <w:color w:val="auto"/>
              </w:rPr>
            </w:pPr>
          </w:p>
        </w:tc>
      </w:tr>
      <w:tr>
        <w:trPr>
          <w:trHeight w:val="216"/>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3,341</w:t>
            </w:r>
          </w:p>
        </w:tc>
        <w:tc>
          <w:tcPr>
            <w:tcW w:w="6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0"/>
        </w:trPr>
        <w:tc>
          <w:tcPr>
            <w:tcW w:w="5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600" w:type="dxa"/>
            <w:vAlign w:val="bottom"/>
          </w:tcPr>
          <w:p>
            <w:pPr>
              <w:spacing w:after="0"/>
              <w:rPr>
                <w:sz w:val="24"/>
                <w:szCs w:val="24"/>
                <w:color w:val="auto"/>
              </w:rPr>
            </w:pPr>
          </w:p>
        </w:tc>
        <w:tc>
          <w:tcPr>
            <w:tcW w:w="106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6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February 25, 2023</w:t>
            </w: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November 26, 2022</w:t>
            </w:r>
          </w:p>
        </w:tc>
        <w:tc>
          <w:tcPr>
            <w:tcW w:w="80" w:type="dxa"/>
            <w:vAlign w:val="bottom"/>
            <w:gridSpan w:val="2"/>
          </w:tcPr>
          <w:p>
            <w:pPr>
              <w:spacing w:after="0"/>
              <w:rPr>
                <w:sz w:val="20"/>
                <w:szCs w:val="20"/>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116,694</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125,433</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162,232</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162,222</w:t>
            </w:r>
          </w:p>
        </w:tc>
        <w:tc>
          <w:tcPr>
            <w:tcW w:w="60" w:type="dxa"/>
            <w:vAlign w:val="bottom"/>
          </w:tcPr>
          <w:p>
            <w:pPr>
              <w:spacing w:after="0"/>
              <w:rPr>
                <w:sz w:val="18"/>
                <w:szCs w:val="18"/>
                <w:color w:val="auto"/>
              </w:rPr>
            </w:pPr>
          </w:p>
        </w:tc>
      </w:tr>
      <w:tr>
        <w:trPr>
          <w:trHeight w:val="216"/>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112,691</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118,618</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391,617</w:t>
            </w:r>
          </w:p>
        </w:tc>
        <w:tc>
          <w:tcPr>
            <w:tcW w:w="6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406,273</w:t>
            </w:r>
          </w:p>
        </w:tc>
        <w:tc>
          <w:tcPr>
            <w:tcW w:w="6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14, Revenue Recognition, for disaggregated revenue information regarding sales of furniture and accessories by product type for the wholesale and retail segments.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Revenue Recognition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revenue when we transfer promised goods or services to our customers in an amount that reflects the consideration we expect to receive in exchange for those goods or services. For our wholesale and retail segments, revenue is recognized when the risks and rewards of ownership and title to the product have transferred to the buyer. At wholesale, transfer occurs and revenue is recognized upon the shipment of goods to independent dealers and licensee-owned BHF stores. At retail, transfer occurs and revenue is recognized upon delivery of goods to the customer. All wholesale and retail revenues are recorded net of estimated returns and allowances based on historical patterns. We typically collect a significant portion of the purchase price from our retail customers as a deposit upon order, with the balance typically collected upon delivery. These customer deposits are carried on our balance sheet as a current liability until delivery is fulfilled and amounted to $31,040 and $35,963 as of February 25, 2023 and November 26, 2022, respectively. Approximately 81% of the customer deposits held at November 26, 2022 related to performance obligations that were satisfied during the current year-to-date period and have therefore been recognized in revenue for the three months ended February 25, 2023.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February 25, 2023 and November 26, 2022, our balance of prepaid commissions included in other current assets was $3,145 and $3,768,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exclude from revenue all amounts collected from customers for sales tax. We do not disclose amounts allocated to remaining unsatisfied performance obligations as they are expected to be satisfied within one year or less.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Disaggregated revenue information for sales of furniture and accessories by product category for the three months ended February 25, 2023 and February 26, 2022, excluding intercompany transactions between our segments, is a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February 25, 2023</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gridSpan w:val="2"/>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rPr>
              <w:t>Corporate</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Corporate</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Wholesale</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Retail</w:t>
            </w:r>
          </w:p>
        </w:tc>
        <w:tc>
          <w:tcPr>
            <w:tcW w:w="10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&amp; Other (2)</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Wholesale</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Retail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&amp; Other</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Upholstery</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36,159</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60,665</w:t>
            </w: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37,818</w:t>
            </w:r>
          </w:p>
        </w:tc>
        <w:tc>
          <w:tcPr>
            <w:tcW w:w="8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69,747</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2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6,805</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494</w:t>
            </w:r>
          </w:p>
        </w:tc>
        <w:tc>
          <w:tcPr>
            <w:tcW w:w="3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12,939</w:t>
            </w:r>
          </w:p>
        </w:tc>
        <w:tc>
          <w:tcPr>
            <w:tcW w:w="24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w:t>
            </w:r>
          </w:p>
        </w:tc>
        <w:tc>
          <w:tcPr>
            <w:tcW w:w="820" w:type="dxa"/>
            <w:vAlign w:val="bottom"/>
          </w:tcPr>
          <w:p>
            <w:pPr>
              <w:spacing w:after="0"/>
              <w:rPr>
                <w:sz w:val="17"/>
                <w:szCs w:val="17"/>
                <w:color w:val="auto"/>
              </w:rPr>
            </w:pP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13,179</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4,876</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9,669</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5,980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9,407</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15,387</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2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3,598</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10,050</w:t>
            </w:r>
          </w:p>
        </w:tc>
        <w:tc>
          <w:tcPr>
            <w:tcW w:w="3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2,909</w:t>
            </w:r>
          </w:p>
        </w:tc>
        <w:tc>
          <w:tcPr>
            <w:tcW w:w="24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8,292</w:t>
            </w:r>
          </w:p>
        </w:tc>
        <w:tc>
          <w:tcPr>
            <w:tcW w:w="820" w:type="dxa"/>
            <w:vAlign w:val="bottom"/>
          </w:tcPr>
          <w:p>
            <w:pPr>
              <w:spacing w:after="0"/>
              <w:rPr>
                <w:sz w:val="17"/>
                <w:szCs w:val="17"/>
                <w:color w:val="auto"/>
              </w:rPr>
            </w:pP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11,201</w:t>
            </w:r>
          </w:p>
        </w:tc>
        <w:tc>
          <w:tcPr>
            <w:tcW w:w="0" w:type="dxa"/>
            <w:vAlign w:val="bottom"/>
          </w:tcPr>
          <w:p>
            <w:pPr>
              <w:spacing w:after="0"/>
              <w:rPr>
                <w:sz w:val="1"/>
                <w:szCs w:val="1"/>
                <w:color w:val="auto"/>
              </w:rPr>
            </w:pPr>
          </w:p>
        </w:tc>
      </w:tr>
      <w:tr>
        <w:trPr>
          <w:trHeight w:val="20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Accessories, mattresses and other (1)</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8,590</w:t>
            </w:r>
          </w:p>
        </w:tc>
        <w:tc>
          <w:tcPr>
            <w:tcW w:w="3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2,951</w:t>
            </w: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11,541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8,350</w:t>
            </w:r>
          </w:p>
        </w:tc>
        <w:tc>
          <w:tcPr>
            <w:tcW w:w="8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Consolidated net sales of furniture and</w:t>
            </w: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39,785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64,962</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2,951</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107,698</w:t>
            </w:r>
          </w:p>
        </w:tc>
        <w:tc>
          <w:tcPr>
            <w:tcW w:w="30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53,757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64,107</w:t>
            </w:r>
          </w:p>
        </w:tc>
        <w:tc>
          <w:tcPr>
            <w:tcW w:w="8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117,864</w:t>
            </w:r>
          </w:p>
        </w:tc>
        <w:tc>
          <w:tcPr>
            <w:tcW w:w="0" w:type="dxa"/>
            <w:vAlign w:val="bottom"/>
          </w:tcPr>
          <w:p>
            <w:pPr>
              <w:spacing w:after="0"/>
              <w:rPr>
                <w:sz w:val="1"/>
                <w:szCs w:val="1"/>
                <w:color w:val="auto"/>
              </w:rPr>
            </w:pPr>
          </w:p>
        </w:tc>
      </w:tr>
      <w:tr>
        <w:trPr>
          <w:trHeight w:val="176"/>
        </w:trPr>
        <w:tc>
          <w:tcPr>
            <w:tcW w:w="32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accessories</w:t>
            </w:r>
          </w:p>
        </w:tc>
        <w:tc>
          <w:tcPr>
            <w:tcW w:w="2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4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16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and other segment for the three months ended February 25, 2023 includes the sales of Noa Home, which was acquired on September 2, 2023 (see Note 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Changes to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changes in our stockholders’ equity occurred during the three months ended February 25, 2023 and February 26,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25"/>
        </w:trPr>
        <w:tc>
          <w:tcPr>
            <w:tcW w:w="6780" w:type="dxa"/>
            <w:vAlign w:val="bottom"/>
          </w:tcPr>
          <w:p>
            <w:pPr>
              <w:spacing w:after="0"/>
              <w:rPr>
                <w:sz w:val="24"/>
                <w:szCs w:val="24"/>
                <w:color w:val="auto"/>
              </w:rPr>
            </w:pP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February 26, 2022</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44,759</w:t>
            </w:r>
          </w:p>
        </w:tc>
        <w:tc>
          <w:tcPr>
            <w:tcW w:w="62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48,811</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6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r>
      <w:tr>
        <w:trPr>
          <w:trHeight w:val="210"/>
        </w:trPr>
        <w:tc>
          <w:tcPr>
            <w:tcW w:w="67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44,311</w:t>
            </w:r>
          </w:p>
        </w:tc>
        <w:tc>
          <w:tcPr>
            <w:tcW w:w="62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48,640</w:t>
            </w:r>
          </w:p>
        </w:tc>
      </w:tr>
      <w:tr>
        <w:trPr>
          <w:trHeight w:val="197"/>
        </w:trPr>
        <w:tc>
          <w:tcPr>
            <w:tcW w:w="67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Shares Issued and Outstanding:</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8,951,839</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9,762,125</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18,381</w:t>
            </w:r>
          </w:p>
        </w:tc>
        <w:tc>
          <w:tcPr>
            <w:tcW w:w="6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10,796</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(108,083)</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(44,989)</w:t>
            </w:r>
          </w:p>
        </w:tc>
      </w:tr>
      <w:tr>
        <w:trPr>
          <w:trHeight w:val="209"/>
        </w:trPr>
        <w:tc>
          <w:tcPr>
            <w:tcW w:w="67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4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8,862,137</w:t>
            </w:r>
          </w:p>
        </w:tc>
        <w:tc>
          <w:tcPr>
            <w:tcW w:w="6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9,727,932</w:t>
            </w:r>
          </w:p>
        </w:tc>
      </w:tr>
      <w:tr>
        <w:trPr>
          <w:trHeight w:val="196"/>
        </w:trPr>
        <w:tc>
          <w:tcPr>
            <w:tcW w:w="67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w:t>
            </w:r>
          </w:p>
        </w:tc>
        <w:tc>
          <w:tcPr>
            <w:tcW w:w="6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r>
      <w:tr>
        <w:trPr>
          <w:trHeight w:val="210"/>
        </w:trPr>
        <w:tc>
          <w:tcPr>
            <w:tcW w:w="67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150,800</w:t>
            </w:r>
          </w:p>
        </w:tc>
        <w:tc>
          <w:tcPr>
            <w:tcW w:w="62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115,631</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for the period</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1,445</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5,573</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4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(1,213)</w:t>
            </w:r>
          </w:p>
        </w:tc>
        <w:tc>
          <w:tcPr>
            <w:tcW w:w="6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declared</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(1,421)</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(1,374)</w:t>
            </w:r>
          </w:p>
        </w:tc>
      </w:tr>
      <w:tr>
        <w:trPr>
          <w:trHeight w:val="210"/>
        </w:trPr>
        <w:tc>
          <w:tcPr>
            <w:tcW w:w="67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149,611</w:t>
            </w:r>
          </w:p>
        </w:tc>
        <w:tc>
          <w:tcPr>
            <w:tcW w:w="62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119,557</w:t>
            </w:r>
          </w:p>
        </w:tc>
      </w:tr>
      <w:tr>
        <w:trPr>
          <w:trHeight w:val="197"/>
        </w:trPr>
        <w:tc>
          <w:tcPr>
            <w:tcW w:w="67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(1,823)</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 net of tax</w:t>
            </w:r>
          </w:p>
        </w:tc>
        <w:tc>
          <w:tcPr>
            <w:tcW w:w="4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6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pension costs, net of tax</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67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40"/>
              <w:spacing w:after="0" w:line="216" w:lineRule="exact"/>
              <w:rPr>
                <w:sz w:val="20"/>
                <w:szCs w:val="20"/>
                <w:color w:val="auto"/>
              </w:rPr>
            </w:pPr>
            <w:r>
              <w:rPr>
                <w:rFonts w:ascii="Times New Roman" w:cs="Times New Roman" w:eastAsia="Times New Roman" w:hAnsi="Times New Roman"/>
                <w:sz w:val="14"/>
                <w:szCs w:val="14"/>
                <w:color w:val="auto"/>
              </w:rPr>
              <w:t>(62</w:t>
            </w:r>
            <w:r>
              <w:rPr>
                <w:rFonts w:ascii="Times New Roman" w:cs="Times New Roman" w:eastAsia="Times New Roman" w:hAnsi="Times New Roman"/>
                <w:sz w:val="25"/>
                <w:szCs w:val="25"/>
                <w:color w:val="auto"/>
                <w:vertAlign w:val="subscript"/>
              </w:rPr>
              <w:t>)</w:t>
            </w:r>
          </w:p>
        </w:tc>
        <w:tc>
          <w:tcPr>
            <w:tcW w:w="62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(1,774)</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balance of cumulative translation adjustments, net of tax, was a net loss of $340 and $204 at February 25, 2023 and November 26, 2022, respectively.</w:t>
      </w: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Recent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2021, the FASB issued Accounting Standards Update No. 2021-08– Business Combinations (Topic 805) Accounting for Contract Assets and Contract Liabilities from Contracts with Customers, to improve the accounting for acquired revenue contracts with customers in a business combination by addressing diversity in practice and inconsistency related to the recognition of an acquired contract liability and to payment terms and their effect on subsequent revenue recognized by the acquirer. The amendments in ASU 2021-08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amendments in ASU 2021-08 will become effective for us as of the beginning of our 2024 fiscal year. Early adoption is permitted, including adoption in any interim period. We do not expect that this guidance will have a material impact upon our financial position and results of operations.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2022, the FASB issued Accounting Standards Update No. 2022-02 – Financial Instruments – Credit Losses (Topic 326): Troubled Debt Restructurings and Vintage Disclosures, to address certain concerns identified in the Post-Implementation Review process for ASU Topic 326. The amendments in ASU 2022-02 eliminate the accounting guidance for troubled debt restructurings by creditors in ASC Subtopic 310-40, Receivables – Troubled Debt Restructurings by Creditors, while enhancing disclosure requirements for certain loan refinancings and restructurings by creditors when a borrower is experiencing financial difficulty. In addition, for public business entities, the amendments in ASU 2022-02 require that an entity disclose current-period gross write-offs by year of origination for financing receivables and net investments in leases within the scope of ASC Subtopic 326-20, Financial Instruments – Credit Losses – Measured at Amortized Cost. The amendments in ASU 2022-02 will become effective for us as of the beginning of our 2024 fiscal year. Early adoption is permitted. We expect that the adoption of this standard will primarily impact our disclosures but do not expect that this guidance will have a material impact upon our financial position and results of operations.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the FASB issued Accounting Standards Update No. 2022-03 –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amendments in ASU 2022-03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amendments in ASU 2022-03 require certain additional disclosures related to investments in equity securities subject to contractual sale restrictions. The amendments in ASU 2022-03 will become effective for us as of the beginning of our 2025 fiscal year. Early adoption is permitted. As of February 25, 2023 we do not hold any investments in equity securities, therefore we do not currently expect that this guidance will have a material impact upon our financial position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Safe-harbor, forward-looking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aims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or words or phrases of similar expression.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83" w:lineRule="exact"/>
        <w:rPr>
          <w:sz w:val="20"/>
          <w:szCs w:val="20"/>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fuel, labor, delivery costs and sourced products, including those which may result from supply chain disruptions and shortages and the imposition of new or increased duties, tariffs, retaliatory tariffs and trade limitations with respect to foreign-sourced products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the home furnishings industry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retail traffic levels in stores and on the web and consumer demand for home furnishings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and consumers to obtain credit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the stores (independent licensees and Company-owned retail stores) which may result in future store closings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our Company-owned retail strategies and realize the benefits from such strategies, including our initiatives to expand and improve our digital marketing and advertising capabilities, as they are implemented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achieve the strategic benefits of our acquisition of Noa Home Inc.</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 legislation, or regulatory or judicial positions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efficiently manage the import supply chain to minimize business interruption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resurgence of the COVID-19 pandemic or any other similar health emergency and any resulting supply chain disruptions upon our ability to maintain normal operations at our retail stores and manufacturing facilities, and the resulting effects any future interruption of those operations may have upon our financial condition, results of operations and liquidity, as well as the impact of the pandemic upon general economic conditions, including consumer spending and the strength of the housing market in the United States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other risks that could cause actual results to differ materially from those contemplated by such forward-looking statements are set forth in Part I, Item 1A. Risk Factors in the Company’s Annual Report on Form 10-K for the fiscal year ended November 26, 2022.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keep in mind that any forward-looking statement made by us in this report or elsewhere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discussion after the date hereof, except as may be required by law. In light of these risks and uncertainties, you should keep in mind that the events described in any forward-looking statement made in this report or elsewhere, might not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Bassett is a leading retailer, manufacturer and marketer of branded home furnishings. Our products are sold primarily through a network of Company-owned and licensee-owned branded stores under the Bassett Home Furnishings (“BHF”) name, with additional distribution through other wholesale channels including multi-line furniture stores, many of which feature Bassett galleries or design centers. We also sell our products through our website at </w:t>
      </w:r>
      <w:r>
        <w:rPr>
          <w:rFonts w:ascii="Times New Roman" w:cs="Times New Roman" w:eastAsia="Times New Roman" w:hAnsi="Times New Roman"/>
          <w:sz w:val="18"/>
          <w:szCs w:val="18"/>
          <w:u w:val="single" w:color="auto"/>
          <w:color w:val="auto"/>
        </w:rPr>
        <w:t>www.bassettfurniture.com</w:t>
      </w:r>
      <w:r>
        <w:rPr>
          <w:rFonts w:ascii="Times New Roman" w:cs="Times New Roman" w:eastAsia="Times New Roman" w:hAnsi="Times New Roman"/>
          <w:sz w:val="18"/>
          <w:szCs w:val="18"/>
          <w:color w:val="auto"/>
        </w:rPr>
        <w:t>. We were founded in 1902 and incorporated under the laws of Virginia in 1930. Our rich 121-year history has instilled the principles of quality, value, and integrity in everything we do, while simultaneously providing us with the expertise to respond to ever-changing consumer tastes and meet the demands of a global economy.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92 BHF stores at February 25, 2023, we have leveraged our strong brand name in furniture into a network of Company-owned and licensed stores that focus on providing consumers with a friendly and casual environment for buying furniture and accessories. Our store program is designed to provide a single source home furnishings retail store that provides a unique combination of stylish, quality furniture and accessories with a high level of customer service. In order for the Bassett brand to reach markets that cannot be effectively served by our retail store network, we also distribute our products through other wholesale channels including multi-line furniture stores, many of which feature Bassett galleries or design centers. We use a network of over 30 independent sales representatives who have stated geographical territories. These sales representatives are compensated based on a standard commission rate. We believe this blended strategy provides us the greatest ability to effectively distribute our products throughout the United States and ultimately gain market share.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BHF stores feature custom order furniture, free in-home or virtual design visits (“home makeovers”) and coordinated decorating accessories. Our philosophy is based on building strong long-term relationships with each customer. Sales 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2022, we opened our first regional fulfillment center (“RFC”) in Orlando, Florida where we are stocking our best sellers for much quicker delivery. This adds an element of immediacy to our proven platform of made to order custom furniture that has driven our strategy for the past two decades. During the fourth quarter of 2022, we opened our second RFC near Baltimore, Maryland. In the first quarter of 2023, we opened three more RFCs in Conover, North Carolina, Grand Prairie, Texas and Riverside, California. We plan to evaluate the performance of these five RFCs before considering any additional locations.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2018, we added outdoor furniture to our offerings with the acquisition of the Lane Venture brand. Our strategy is to distribute these products outside of our BHF store network through a network of over 10 independent sales representatives. Using Lane Venture as a platform, we developed the Bassett Outdoor brand that is only marketed through the BHF store network. This allows Bassett branded product to move from inside the home to outside the home to capitalize on the growing trend of outdoor living.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also have factories in Martinsville and Bassett, Virginia that assemble and finish our custom bedroom and dining offerings. Late in the third quarter of fiscal 2022, we purchased a facility which we had formerly leased in Haleyville, Alabama where we manufacture aluminum frames for our outdoor furniture. With the purchase, we also obtained two additional buildings which will allow us to expand our footprint at that facility. Our manufacturing team takes great pride in the breadth of its options, the precision of its craftsmanship, and the speed of its manufacturing process.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Thailand and China. Over 75% of our wholesale revenues are derived from products that are manufactured in the United States using a mix of domestic and globally sourced components and raw materials.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Customer acquisition resulting from our digital outreach strategies has significantly increased our traffic to the website since 2019. The migration to digital brand research has caused us to comprehensively evaluate all of our American made custom products. While our Bench Made line of custom upholstery and custom bedroom and dining products continue to be our most successful offerings, most of these items must be purchased in a store as they are not conducive to web transactions due to the number of options available. Consequently, we will continue to methodically re-design each one of these important lines to best serve our customers online, in the store or wherever our customer might be. Our intent is to continue to offer the consumer custom options that will help them personalize their home but to do so in an edited fashion that will provide a better web experience in the research phase and will also allow the final purchase to be made either on the web or in the store. While we work to make it easier to purchase either in store or on-line, we will not compromise our in-store experience or the quality of our in-home makeover capabilities.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engaged in a multi-year cross-functional digital transformation initiative with the first phase consisting of the examination and improvement of our underlying data management processes. During the second quarter of 2022, we implemented a comprehensive Product Information Management system which allows us to enhance and standardize our product development and data management and governance processes. This results in more consistent data that our merchandizing and sales teams can use in analyzing various product and sales trends in order to make better informed decisions. We are also in the process of implementing a new eCommerce platform that we plan to introduce in the second half of 2023. The new web platform will leverage world class features including enhanced customer research capabilities and streamlined navigation that we believe will result in increased web traffic and sales. We expect to spend approximately $2,000 on these efforts in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(see Note 3 to the Consolidated Financial Statements for additional information regarding the acquisition). A mid-priced e-commerce furniture retailer headquartered in Montreal, Canada, Noa Home has operations in Canada, Australia, Singapore and the United Kingdom. With a lean staffing model, the Noa Home team has built an operational blueprint that has the potential for significant growth. We believe the acquisition will provide Bassett with a greater online presence and will allow us to attract more digitally native consumers. While still in the planning phase, we expect to introduce the Noa Home brand in the United States during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Company-owned Retail Stores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continually monitor the performance of our Company-owned retail store locations, we may occasionally determine that it is necessary to close underperforming stores in certain markets. During 2022, we closed three stores with the operations of one those stores being consolidated into another store in the same market. All of the above-mentioned closures occurred at or near the lease expirations.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may occasionally identify opportunities to enhance our presence in existing markets by relocating stores to better locations within the same market. During 2022, we sold the store property of one of our Houston, Texas locations and leased a new 9,600 square foot store property in a more upscale shopping area in the vicinity of the former location. We are in the process of upfitting the store and expect to open in late 2023. During late 2022 at the end of the lease term, we closed our Dallas, Texas store located at the intersection of McKinney and Knox streets. We opened a new 11,600 square foot store in the nearby iconic Inwood Village shopping center during the first quarter of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we acquired a 25,000 square foot property in Tampa, Florida. We will begin upfitting the property early in April with a planned opening date in late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25, 2023, we had 59 Corporate-owned stores operating.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the Assets of Zenith Freight Lines,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2022, we entered into a definitive agreement to sell substantially all of the assets of our wholly-owned subsidiary, Zenith, to J.B. Hunt and the transaction was completed at the beginning of the second quarter of fiscal 2022. As a result of the sale, the operations of our former logistical services segment, which consisted entirely of the operations of Zenith, are presented in the accompanying condensed consolidated statements of income and in the following discussion as discontinued operations (see Note 12 to the Condensed Consolidated Statements of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Continuing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Period ended February 25, 2023 compared with the period ended February 26, 2022:</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Consolidated results of continuing operations for the three months ended February 25, 2023 and February 26, 2022 are as follows: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Quarter Ended</w:t>
            </w:r>
          </w:p>
        </w:tc>
        <w:tc>
          <w:tcPr>
            <w:tcW w:w="1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February 26, 2022</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Dollars</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107,698</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5"/>
              </w:rPr>
              <w:t>117,864</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(10,166)</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260" w:type="dxa"/>
            <w:vAlign w:val="bottom"/>
          </w:tcPr>
          <w:p>
            <w:pPr>
              <w:spacing w:after="0"/>
              <w:rPr>
                <w:sz w:val="19"/>
                <w:szCs w:val="19"/>
                <w:color w:val="auto"/>
              </w:rPr>
            </w:pP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50,501</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60,471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tcPr>
          <w:p>
            <w:pPr>
              <w:spacing w:after="0"/>
              <w:rPr>
                <w:sz w:val="19"/>
                <w:szCs w:val="19"/>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(9,970)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57,197</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57,393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(196)</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260" w:type="dxa"/>
            <w:vAlign w:val="bottom"/>
          </w:tcPr>
          <w:p>
            <w:pPr>
              <w:spacing w:after="0"/>
              <w:rPr>
                <w:sz w:val="19"/>
                <w:szCs w:val="19"/>
                <w:color w:val="auto"/>
              </w:rPr>
            </w:pP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54,495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50,915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19"/>
                <w:szCs w:val="19"/>
                <w:color w:val="auto"/>
              </w:rPr>
            </w:pP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3,580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2,702</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6,478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252"/>
              <w:spacing w:after="0" w:line="256" w:lineRule="exact"/>
              <w:rPr>
                <w:sz w:val="20"/>
                <w:szCs w:val="20"/>
                <w:color w:val="auto"/>
              </w:rPr>
            </w:pPr>
            <w:r>
              <w:rPr>
                <w:rFonts w:ascii="Times New Roman" w:cs="Times New Roman" w:eastAsia="Times New Roman" w:hAnsi="Times New Roman"/>
                <w:sz w:val="16"/>
                <w:szCs w:val="16"/>
                <w:color w:val="auto"/>
              </w:rPr>
              <w:t>(3,776</w:t>
            </w:r>
            <w:r>
              <w:rPr>
                <w:rFonts w:ascii="Times New Roman" w:cs="Times New Roman" w:eastAsia="Times New Roman" w:hAnsi="Times New Roman"/>
                <w:sz w:val="29"/>
                <w:szCs w:val="29"/>
                <w:color w:val="auto"/>
                <w:vertAlign w:val="superscript"/>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sales revenue for the three months ended February 25, 2023 decreased $10,166 or 8.6% from the prior year period primarily due to a 16% decline in wholesale sales partially offset by a 1.3% increase in retail sales through the Company-owned stores and the addition of Noa Home in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margins for the three months ended February 25, 2023 increased 440 basis points from 2022 primarily due to higher margins in the wholesale segment along with a greater portion of total sales coming from the Corporate retail segment. These increases were partially offset by lower margins in the retail segment.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as a percentage of sales for the three months ended February 25, 2023 increased 740 basis points from 2022 primarily due to a greater portion of total sales coming from the Corporate retail segment along with the deleverage of fixed costs caused by lower sales volumes.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Beginning with the three months ended February 25, 2023, we have strategically aligned our business into three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158" w:lineRule="exact"/>
        <w:rPr>
          <w:sz w:val="20"/>
          <w:szCs w:val="20"/>
          <w:color w:val="auto"/>
        </w:rPr>
      </w:pPr>
    </w:p>
    <w:p>
      <w:pPr>
        <w:jc w:val="both"/>
        <w:ind w:left="660" w:right="2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 Corporate and other includes the shared costs of corporate functions such as treasury and finance, information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human resources, legal and others, including certain product development and marketing functions benefitting both wholesale and retail operations. We consider our corporate functions to be other business activities and have aggregated them with our other insignificant operating segment, the recently acquired Noa Home.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current period, the functions included in Corporate and other were included in our wholesale segment reportable segment, and Noa Home was included in our retail reportable segment for the fourth quarter of fiscal 2022 following its acquisition on September 2, 2022. We believe that the new alignment of our reporting segments provides our chief operating decision maker with clearer information with which to assess the operating results of our wholesale segment. Noa Home does not meet the requirements to be a separate reportable segment. The segment information presented below for the three months ended February 26, 2022 has been restated to reflect the new alignment of our reportable segments.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former logistical services segment which represented the operations of Zenith is now presented as a discontinued operation.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Segment Results to Consolidated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6"/>
          </w:tcPr>
          <w:p>
            <w:pPr>
              <w:jc w:val="right"/>
              <w:ind w:right="670"/>
              <w:spacing w:after="0"/>
              <w:rPr>
                <w:sz w:val="20"/>
                <w:szCs w:val="20"/>
                <w:color w:val="auto"/>
              </w:rPr>
            </w:pPr>
            <w:r>
              <w:rPr>
                <w:rFonts w:ascii="Times New Roman" w:cs="Times New Roman" w:eastAsia="Times New Roman" w:hAnsi="Times New Roman"/>
                <w:sz w:val="18"/>
                <w:szCs w:val="18"/>
                <w:color w:val="auto"/>
              </w:rPr>
              <w:t>Quarter Ended February 25, 2023</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Non-GAAP Presentation</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GAAP Presentation</w:t>
            </w:r>
          </w:p>
        </w:tc>
        <w:tc>
          <w:tcPr>
            <w:tcW w:w="100" w:type="dxa"/>
            <w:vAlign w:val="bottom"/>
          </w:tcPr>
          <w:p>
            <w:pPr>
              <w:spacing w:after="0"/>
              <w:rPr>
                <w:sz w:val="18"/>
                <w:szCs w:val="18"/>
                <w:color w:val="auto"/>
              </w:rPr>
            </w:pPr>
          </w:p>
        </w:tc>
      </w:tr>
      <w:tr>
        <w:trPr>
          <w:trHeight w:val="191"/>
        </w:trPr>
        <w:tc>
          <w:tcPr>
            <w:tcW w:w="3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Corporate &amp;</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Wholesale</w:t>
            </w:r>
          </w:p>
        </w:tc>
        <w:tc>
          <w:tcPr>
            <w:tcW w:w="3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w:t>
            </w:r>
          </w:p>
        </w:tc>
      </w:tr>
      <w:tr>
        <w:trPr>
          <w:trHeight w:val="209"/>
        </w:trPr>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69,884</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107,698</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48,278</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30,586</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50,501</w:t>
            </w:r>
          </w:p>
        </w:tc>
        <w:tc>
          <w:tcPr>
            <w:tcW w:w="100" w:type="dxa"/>
            <w:vAlign w:val="bottom"/>
          </w:tcPr>
          <w:p>
            <w:pPr>
              <w:spacing w:after="0"/>
              <w:rPr>
                <w:sz w:val="18"/>
                <w:szCs w:val="18"/>
                <w:color w:val="auto"/>
              </w:rPr>
            </w:pPr>
          </w:p>
        </w:tc>
      </w:tr>
      <w:tr>
        <w:trPr>
          <w:trHeight w:val="21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21,606</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34,376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57,197</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12,612</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32,846</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9,289</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54,495</w:t>
            </w:r>
          </w:p>
        </w:tc>
        <w:tc>
          <w:tcPr>
            <w:tcW w:w="100" w:type="dxa"/>
            <w:vAlign w:val="bottom"/>
          </w:tcPr>
          <w:p>
            <w:pPr>
              <w:spacing w:after="0"/>
              <w:rPr>
                <w:sz w:val="18"/>
                <w:szCs w:val="18"/>
                <w:color w:val="auto"/>
              </w:rPr>
            </w:pPr>
          </w:p>
        </w:tc>
      </w:tr>
      <w:tr>
        <w:trPr>
          <w:trHeight w:val="24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8,994</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2,702</w:t>
            </w:r>
          </w:p>
        </w:tc>
      </w:tr>
      <w:tr>
        <w:trPr>
          <w:trHeight w:val="413"/>
        </w:trPr>
        <w:tc>
          <w:tcPr>
            <w:tcW w:w="31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3980" w:type="dxa"/>
            <w:vAlign w:val="bottom"/>
            <w:tcBorders>
              <w:top w:val="single" w:sz="8" w:color="auto"/>
              <w:bottom w:val="single" w:sz="8" w:color="auto"/>
            </w:tcBorders>
            <w:gridSpan w:val="6"/>
          </w:tcPr>
          <w:p>
            <w:pPr>
              <w:jc w:val="right"/>
              <w:ind w:right="670"/>
              <w:spacing w:after="0"/>
              <w:rPr>
                <w:sz w:val="20"/>
                <w:szCs w:val="20"/>
                <w:color w:val="auto"/>
              </w:rPr>
            </w:pPr>
            <w:r>
              <w:rPr>
                <w:rFonts w:ascii="Times New Roman" w:cs="Times New Roman" w:eastAsia="Times New Roman" w:hAnsi="Times New Roman"/>
                <w:sz w:val="18"/>
                <w:szCs w:val="18"/>
                <w:color w:val="auto"/>
              </w:rPr>
              <w:t>Quarter Ended February 26, 2022</w:t>
            </w:r>
          </w:p>
        </w:tc>
        <w:tc>
          <w:tcPr>
            <w:tcW w:w="2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9"/>
        </w:trPr>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Non-GAAP Presentation</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GAAP Presentation</w:t>
            </w:r>
          </w:p>
        </w:tc>
        <w:tc>
          <w:tcPr>
            <w:tcW w:w="100" w:type="dxa"/>
            <w:vAlign w:val="bottom"/>
          </w:tcPr>
          <w:p>
            <w:pPr>
              <w:spacing w:after="0"/>
              <w:rPr>
                <w:sz w:val="18"/>
                <w:szCs w:val="18"/>
                <w:color w:val="auto"/>
              </w:rPr>
            </w:pPr>
          </w:p>
        </w:tc>
      </w:tr>
      <w:tr>
        <w:trPr>
          <w:trHeight w:val="191"/>
        </w:trPr>
        <w:tc>
          <w:tcPr>
            <w:tcW w:w="3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Corporate &amp;</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Wholesale</w:t>
            </w:r>
          </w:p>
        </w:tc>
        <w:tc>
          <w:tcPr>
            <w:tcW w:w="3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w:t>
            </w:r>
          </w:p>
        </w:tc>
      </w:tr>
      <w:tr>
        <w:trPr>
          <w:trHeight w:val="210"/>
        </w:trPr>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83,485</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64,107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117,864</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59,601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30,170</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60,471</w:t>
            </w:r>
          </w:p>
        </w:tc>
        <w:tc>
          <w:tcPr>
            <w:tcW w:w="100" w:type="dxa"/>
            <w:vAlign w:val="bottom"/>
          </w:tcPr>
          <w:p>
            <w:pPr>
              <w:spacing w:after="0"/>
              <w:rPr>
                <w:sz w:val="18"/>
                <w:szCs w:val="18"/>
                <w:color w:val="auto"/>
              </w:rPr>
            </w:pPr>
          </w:p>
        </w:tc>
      </w:tr>
      <w:tr>
        <w:trPr>
          <w:trHeight w:val="21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23,884</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33,937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57,393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13,682</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31,315</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6,245</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50,915</w:t>
            </w:r>
          </w:p>
        </w:tc>
        <w:tc>
          <w:tcPr>
            <w:tcW w:w="100" w:type="dxa"/>
            <w:vAlign w:val="bottom"/>
          </w:tcPr>
          <w:p>
            <w:pPr>
              <w:spacing w:after="0"/>
              <w:rPr>
                <w:sz w:val="18"/>
                <w:szCs w:val="18"/>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10,202</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6,478</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segment consolidation table:</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sales from our wholesale segment to our Company-owned BHF stores.</w:t>
      </w:r>
    </w:p>
    <w:p>
      <w:pPr>
        <w:spacing w:after="0" w:line="36"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purchases by our Company-owned BHF stores from our wholesale segment, as well as the change for the period in the elimination of intercompany profit in ending retail inventory.</w:t>
      </w: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rent paid by our retail stores occupying Company-owned real estate.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wholesale segment for the periods ended February 25, 2023 and February 26, 2022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Quarter Ended</w:t>
            </w:r>
          </w:p>
        </w:tc>
        <w:tc>
          <w:tcPr>
            <w:tcW w:w="1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February 26, 2022</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Dollars</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r>
      <w:tr>
        <w:trPr>
          <w:trHeight w:val="209"/>
        </w:trPr>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69,884</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83,485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(13,601)</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28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260" w:type="dxa"/>
            <w:vAlign w:val="bottom"/>
          </w:tcPr>
          <w:p>
            <w:pPr>
              <w:spacing w:after="0"/>
              <w:rPr>
                <w:sz w:val="18"/>
                <w:szCs w:val="18"/>
                <w:color w:val="auto"/>
              </w:rPr>
            </w:pP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21,606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420" w:type="dxa"/>
            <w:vAlign w:val="bottom"/>
          </w:tcPr>
          <w:p>
            <w:pPr>
              <w:spacing w:after="0"/>
              <w:rPr>
                <w:sz w:val="18"/>
                <w:szCs w:val="18"/>
                <w:color w:val="auto"/>
              </w:rPr>
            </w:pP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23,884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(2,278)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12,612</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13,682</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(1,070)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28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8,994</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10,202</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(1,208)</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2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1300" w:right="120" w:hanging="320"/>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sales by major product category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Quarter Ended</w:t>
            </w:r>
          </w:p>
        </w:tc>
        <w:tc>
          <w:tcPr>
            <w:tcW w:w="1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February 25, 2023</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February 26, 2022</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60" w:type="dxa"/>
            <w:vAlign w:val="bottom"/>
          </w:tcPr>
          <w:p>
            <w:pPr>
              <w:spacing w:after="0"/>
              <w:rPr>
                <w:sz w:val="18"/>
                <w:szCs w:val="18"/>
                <w:color w:val="auto"/>
              </w:rPr>
            </w:pPr>
          </w:p>
        </w:tc>
      </w:tr>
      <w:tr>
        <w:trPr>
          <w:trHeight w:val="209"/>
        </w:trPr>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External</w:t>
            </w: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Intercompany</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External</w:t>
            </w:r>
          </w:p>
        </w:tc>
        <w:tc>
          <w:tcPr>
            <w:tcW w:w="1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Intercompany</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Dollars</w:t>
            </w: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r>
      <w:tr>
        <w:trPr>
          <w:trHeight w:val="191"/>
        </w:trPr>
        <w:tc>
          <w:tcPr>
            <w:tcW w:w="17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Bassett Custom</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Upholstery</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$ 24,506</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19,344</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$ 43,850</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$ 31,929</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20,096</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$ 52,025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(8,175)</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6,805</w:t>
            </w:r>
          </w:p>
        </w:tc>
        <w:tc>
          <w:tcPr>
            <w:tcW w:w="2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6,823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2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12,951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4,876</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5,940</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10,816</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6,261</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12,241</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1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3,598</w:t>
            </w:r>
          </w:p>
        </w:tc>
        <w:tc>
          <w:tcPr>
            <w:tcW w:w="2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4,797</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8,395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6,268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2,127</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r>
      <w:tr>
        <w:trPr>
          <w:trHeight w:val="20"/>
        </w:trPr>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$ 39,785</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30,099</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$ 69,884</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$ 53,757</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29,728</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$ 83,485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(13,601)</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1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Quarterly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for the three months ended February 25, 2023 decreased $13,601 or 16% from the prior year period due primarily to a 29% decrease in shipments to the open market, a 20% decrease in Lane Venture shipments and a 3.4% decrease in shipments to our retail store network. Gross margins for the three months ended February 25, 2023 improved 230 basis points over the prior year as we were able to recognize a greater portion of previously implemented price increases in current period sales. This was offset by lower margins in the Bassett Leather product line due to product discounting. As this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We expect reduced margins on this product line to continue through the third quarter of 2023 as we reduce the inventory to a more normal level. SG&amp;A expenses as a percentage of sales increased 160 basis points primarily due to reduced leverage of fixed costs from decreased sales along with higher warehousing and shipping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Backlog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Wholesale backlog at February 25, 2023 was $24,895 as compared to $35,336 at November 26, 2022 and $78,135 at February 26, 2022. While wholesale orders for the first quarter of 2023 decreased 18% against the prior year period, they were 5.6% higher than the pre-pandemic level of the first quarter of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Retail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Company-owned Stores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retail segment for the periods ended February 25, 2023 and February 26, 2022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Quarter Ended</w:t>
            </w:r>
          </w:p>
        </w:tc>
        <w:tc>
          <w:tcPr>
            <w:tcW w:w="1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February 26, 2022</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Dollars</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r>
      <w:tr>
        <w:trPr>
          <w:trHeight w:val="209"/>
        </w:trPr>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64,962</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64,107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855</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8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260" w:type="dxa"/>
            <w:vAlign w:val="bottom"/>
          </w:tcPr>
          <w:p>
            <w:pPr>
              <w:spacing w:after="0"/>
              <w:rPr>
                <w:sz w:val="18"/>
                <w:szCs w:val="18"/>
                <w:color w:val="auto"/>
              </w:rPr>
            </w:pP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34,376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420" w:type="dxa"/>
            <w:vAlign w:val="bottom"/>
          </w:tcPr>
          <w:p>
            <w:pPr>
              <w:spacing w:after="0"/>
              <w:rPr>
                <w:sz w:val="18"/>
                <w:szCs w:val="18"/>
                <w:color w:val="auto"/>
              </w:rPr>
            </w:pP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33,937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32,846</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31,315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1,531</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8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1,530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2,622</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(1,092)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r>
      <w:tr>
        <w:trPr>
          <w:trHeight w:val="20"/>
        </w:trPr>
        <w:tc>
          <w:tcPr>
            <w:tcW w:w="2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hanging="320"/>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sales by major product category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Quarter Ended</w:t>
            </w:r>
          </w:p>
        </w:tc>
        <w:tc>
          <w:tcPr>
            <w:tcW w:w="1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February 26, 2022</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Dollars</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r>
      <w:tr>
        <w:trPr>
          <w:trHeight w:val="209"/>
        </w:trPr>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36,159</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37,818</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(1,659)</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60" w:type="dxa"/>
            <w:vAlign w:val="bottom"/>
          </w:tcPr>
          <w:p>
            <w:pPr>
              <w:spacing w:after="0"/>
              <w:rPr>
                <w:sz w:val="18"/>
                <w:szCs w:val="18"/>
                <w:color w:val="auto"/>
              </w:rPr>
            </w:pP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494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tcPr>
          <w:p>
            <w:pPr>
              <w:spacing w:after="0"/>
              <w:rPr>
                <w:sz w:val="18"/>
                <w:szCs w:val="18"/>
                <w:color w:val="auto"/>
              </w:rPr>
            </w:pP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240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105.8%</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9,669</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9,407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262</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60" w:type="dxa"/>
            <w:vAlign w:val="bottom"/>
          </w:tcPr>
          <w:p>
            <w:pPr>
              <w:spacing w:after="0"/>
              <w:rPr>
                <w:sz w:val="18"/>
                <w:szCs w:val="18"/>
                <w:color w:val="auto"/>
              </w:rPr>
            </w:pP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10,050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420" w:type="dxa"/>
            <w:vAlign w:val="bottom"/>
          </w:tcPr>
          <w:p>
            <w:pPr>
              <w:spacing w:after="0"/>
              <w:rPr>
                <w:sz w:val="18"/>
                <w:szCs w:val="18"/>
                <w:color w:val="auto"/>
              </w:rPr>
            </w:pP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8,292</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1,758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and other (1)</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8,590</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8,350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8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64,962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64,107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855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right="2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Analysis of Results - Retail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for the three months ended February 25, 2023 increased $855 or 1.3% from the prior year period. Written sales (the value of sales orders taken but not delivered) declined 16% from the first quarter of 2022. Gross margins for the three months ended February 25, 2023 were flat compared to the prior period as increased promotional activity in the current quarter coupled with higher in-bound freight costs were offset by lower unit costs as measured on a last-in, first-out basis. Selling, general and administrative expenses as a percentage of sales for the three months ended February 25, 2023 increased 180 basis points primarily due to increased advertising costs to drive more customer engagement, higher consumer financing costs from higher interest rates and increased warehousing and delivery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Backlog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Retail backlog at February 25, 2023 was $41,763 compared to $51,041 at November 26, 2022 and $84,645 at February 26, 2022. Although the retail backlog continues to be elevated as compared to pre-pandemic levels, we expect a more normalized and sustainable level by the end of the second quarter of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Other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costs and expenses of corporate and other for the three months ended February 25, 2023 and February 22, 2022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Quarter Ended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9"/>
              </w:rPr>
              <w:t>February 25,</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99"/>
              </w:rPr>
              <w:t>February 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Dollars</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Percent</w:t>
            </w:r>
          </w:p>
        </w:tc>
      </w:tr>
      <w:tr>
        <w:trPr>
          <w:trHeight w:val="209"/>
        </w:trPr>
        <w:tc>
          <w:tcPr>
            <w:tcW w:w="3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2,951</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9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1,518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9,289</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3,044</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w:t>
            </w:r>
          </w:p>
        </w:tc>
      </w:tr>
      <w:tr>
        <w:trPr>
          <w:trHeight w:val="20"/>
        </w:trPr>
        <w:tc>
          <w:tcPr>
            <w:tcW w:w="39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(7,771)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2"/>
              <w:spacing w:after="0" w:line="250" w:lineRule="exact"/>
              <w:rPr>
                <w:sz w:val="20"/>
                <w:szCs w:val="20"/>
                <w:color w:val="auto"/>
              </w:rPr>
            </w:pPr>
            <w:r>
              <w:rPr>
                <w:rFonts w:ascii="Times New Roman" w:cs="Times New Roman" w:eastAsia="Times New Roman" w:hAnsi="Times New Roman"/>
                <w:sz w:val="15"/>
                <w:szCs w:val="15"/>
                <w:color w:val="auto"/>
              </w:rPr>
              <w:t>(1,526</w:t>
            </w:r>
            <w:r>
              <w:rPr>
                <w:rFonts w:ascii="Times New Roman" w:cs="Times New Roman" w:eastAsia="Times New Roman" w:hAnsi="Times New Roman"/>
                <w:sz w:val="28"/>
                <w:szCs w:val="28"/>
                <w:color w:val="auto"/>
                <w:vertAlign w:val="superscript"/>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increases in sales and gross profit over the prior year period were due to the acquisition of Noa Home on September 2, 2022. The $3,044 increase in SG&amp;A expenses was primarily due to the addition of Noa Home coupled with increased corporate marketing and information technology expenses primarily in connection with our digital transformation initiatives.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Discontinued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Logistical Services</w:t>
            </w:r>
          </w:p>
        </w:tc>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12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Quarter Ended</w:t>
            </w: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February 26, 2022</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Logistical services revenue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16,776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120" w:type="dxa"/>
            <w:vAlign w:val="bottom"/>
          </w:tcPr>
          <w:p>
            <w:pPr>
              <w:spacing w:after="0"/>
              <w:rPr>
                <w:sz w:val="18"/>
                <w:szCs w:val="18"/>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logistical services</w:t>
            </w:r>
          </w:p>
        </w:tc>
        <w:tc>
          <w:tcPr>
            <w:tcW w:w="520" w:type="dxa"/>
            <w:vAlign w:val="bottom"/>
          </w:tcPr>
          <w:p>
            <w:pPr>
              <w:spacing w:after="0"/>
              <w:rPr>
                <w:sz w:val="18"/>
                <w:szCs w:val="18"/>
                <w:color w:val="auto"/>
              </w:rPr>
            </w:pPr>
          </w:p>
        </w:tc>
        <w:tc>
          <w:tcPr>
            <w:tcW w:w="20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15,001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1120" w:type="dxa"/>
            <w:vAlign w:val="bottom"/>
          </w:tcPr>
          <w:p>
            <w:pPr>
              <w:spacing w:after="0"/>
              <w:rPr>
                <w:sz w:val="18"/>
                <w:szCs w:val="18"/>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 net</w:t>
            </w:r>
          </w:p>
        </w:tc>
        <w:tc>
          <w:tcPr>
            <w:tcW w:w="5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0"/>
        </w:trPr>
        <w:tc>
          <w:tcPr>
            <w:tcW w:w="1120" w:type="dxa"/>
            <w:vAlign w:val="bottom"/>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1120" w:type="dxa"/>
            <w:vAlign w:val="bottom"/>
          </w:tcPr>
          <w:p>
            <w:pPr>
              <w:spacing w:after="0"/>
              <w:rPr>
                <w:sz w:val="20"/>
                <w:szCs w:val="20"/>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tax</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1,712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11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first quarter of 2022 was the final period during which Zenith operated as a consolidated subsidiary of Bassett. During the three months ended February 26, 2022, Zenith generated a pre-tax profit of $1,712 on sales to third party customers of $16,776.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Zenith also charged Bassett $9,121 for logistical services provided to our wholesale segment during the three months ended February 26, 2022. These shipping and handling costs are included in selling, general and administrative expenses in the accompanying condensed consolidated statements of income. Upon the sale of Zenith, we entered into a service agreement with J.B. Hunt for the continuation of these services for a period of seven years. We incurred $8,434 of expense during the three months ended February 25, 2023 for logistical services performed by J.B. Hunt.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Items Affecting Net Income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Loss,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loss, net, for the three months ended February 25, 2023 and February 26, 2022 was $415 and $629, respectively, a net decrease of $214 from the prior year period. The net change was primarily due to higher interest income on our investment in certificates of deposit.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and use that effective tax rate to record our year-to-date income tax provision. Any change in annual projections of pretax income could have a significant impact on our effective tax rate for the respective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36.8% and 26.3% for the three months ended February 25, 2023 and February 26, 2022, respectively. These effective rates differ from the federal statutory rate of 21% primarily due to increases in the valuation allowance placed on deferred tax assets associated with Noa Home, the effects of state income taxes and various permanent differences.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operations for the first quarter of fiscal 2023 was $563 compared to cash provided by operations of $2,866 for the first quarter of fiscal 2022, representing a decrease of $2,303 in cash flows from operations. Cash provided by the operating activities of our discontinued operations was $1,681 for the first quarter of fiscal 2022. Excluding the decline in operating cash flow from discontinued operations, cash flows from continuing operations declined $622 for the first quarter of fiscal 2023 from the prior year period. This decline was primarily the result of lower income from continuing operations and reduced customer deposits from lower written retail sales, partially offset by reduced investment in inventory.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overall cash position decreased by $6,733 during the first quarter of fiscal 2023, compared to a decline of $2,484 during the first quarter of fiscal 2022, an increased net use of $4,239 from the prior year period. Excluding the overall cash flow from discontinued operations, overall cash flow from continuing operations decreased $3,074 from the prior year period. In addition to the decline in cash flows from operations, net cash used in investing activities during the first quarter of fiscal 2023 increased $1,024 to $3,904 compared to net cash used in investing activities of $2,880 for the prior year period. This increase was primarily due to higher capital expenditures over the prior year primarily consisting of expenditures related to our digital transformation project, upfit of the recently opened Inwood store in Dallas, TX and the remodel of two other stores in the Dallas, TX market. We expect capital expenditures for the full year to range from $17 million to $20 million. Net cash used in financing activities during the first quarter of 2022 increased $883 to a net use of $3,363 as compared to a net use of $2,480 for the prior year period, primarily due to a $1,079 increase in share repurchases to $1,844 during the first quarter of fiscal 2023 as compared to $765 repurchased during the first quarter of fiscal 2022. As of February 25, 2023, $24,154 remains available for future purchases under our stock repurchase plan. With cash and cash equivalents and short-term investments totaling $72,617 on hand at February 25, 2023, expected future operating cash flows and the availability under our credit line noted below, we believe we have sufficient liquidity to fund operations for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and Other Obligations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bank credit facility provides for a line of credit of up to $25,000. At February 25, 2023, we had $3,731 outstanding under standby letters of credit against our line, leaving availability under our credit line of $21,269. In addition, we had outstanding standby letters of credit with another bank totaling $250 at February 25, 2023. The line bears interest at the One-Month Term Secured Overnight Financing Rate (“One-Month Term SOFR”) plus 1.5% and is unsecured. Our bank charges a fee of 0.25% on the daily unused balance of the line, payable quarterly. Under the terms of the bank credit facility, we must maintain the following financial covenants, measured quarterly on a rolling twelve-month basis:</w:t>
      </w:r>
    </w:p>
    <w:p>
      <w:pPr>
        <w:spacing w:after="0" w:line="18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of not less than 1.4 times,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lease-adjusted leverage ratio not to exceed 3.0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tangible net worth of $140,000.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 compliance with these covenants at February 25, 2023 and expect to remain in compliance for the foreseeable future. The credit facility will mature on January 27, 2025, at which time any amounts outstanding under the facility will be due.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certain of our licensee-owned stores, and we lease land and buildings used in our wholesale manufacturing operations. We also lease local delivery trucks used in our retail segment. The present value of our obligations for leases with terms in excess of one year at February 25, 2023 is $113,120 and is included in our accompanying condensed consolidated balance sheet at February 25, 2023. We were contingently liable under a licensee lease obligation guarantee in the amount of $1,889 at February 25, 2023. The remaining term under this lease guarantee extends for five years. See Note 10 to our condensed consolidated financial statements for additional details regarding our lease guarantees.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Retail Real Estate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substantial investment in real estate acquired for use as retail locations and occupied by Company-owned retail stores, including a site in Tampa, Florida acquired in 2022 with a planned opening late in fiscal 2023. Such real estate is included in property and equipment, net, in the accompanying condensed consolidated balance sheets and consists of eight properties with an aggregate square footage of 203,465 and a net book value of $21,164 at February 25,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fiscal year ended November 26,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stand-by letters of credit in the procurement of certain goods in the normal course of business. In addition, we have guaranteed certain lease obligations of licensee operators for some of their store locations. See Note 10 to our condensed consolidated financial statements for further discussion of lease guarantees, including descriptions of the terms of such commitments and methods used to mitigate risks associated with these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 See Note 10 to our condensed consolidated financial statements for further information regarding certain contingencies as of February 25,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Substantially all of our imports purchased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2023. We are also exposed to foreign currency market risk through our investment in Noa Home. Our investment in Noa Home is subject to changes in the value of the Canadian dollar versus the U.S. dollar. Additionally, Noa Home is exposed to other local currency fluctuation risk through its operations in Australia, Singapore and the United Kingdom. The impact of currency fluctuations on our financial position and results of operations since the acquisition of Noa Home on September 2, 2022 has not been significant.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the cost and availability of raw materials used in our manufacturing processes, principally wood, woven fabric, and foam products. The cost of foam products, which are petroleum-based, is sensitive to changes in the price of oil.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potential exposure to market risk related to conditions in the commercial real estate market. Our retail real estate holdings of $21,164 at February 25, 2023 for Company-owned stores could suffer significant impairment in value if we are forced to close additional stores and sell or lease the related properties during periods of weakness in certain markets. Additionally, if we are required to assume responsibility for payment under the lease obligations of $1,889 which we have guaranteed on behalf of licensees as of February 25, 2023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manufacturing and warehouse facilities. At February 25, 2023, the unamortized balance of such right-of-use assets used in continuing operations totaled $95,966. Should we have to close or otherwise abandon one of these leased locations, we could incur additional impairment charges if rental market conditions do not support a fair value for the right of use asset in excess of its carrying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executive officer and principal financial officer have evaluated the Company’s disclosure controls and procedures (as defined in Exchange Act Rule 13a-15(e)) as of the end of the period covered by this Quarterly Report on Form 10-Q. Based upon their evaluation, the principal executive officer and principal financial officer concluded that the Company’s disclosure controls and procedures are effective. There has been no change in the Company’s internal control over financial reporting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u w:val="single" w:color="auto"/>
          <w:color w:val="auto"/>
        </w:rPr>
        <w:t>PART II - OTHER INFORMATION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by or on behalf of the Company or any “affiliated purchaser,” as defined by Rule 10b-18(a)</w:t>
      </w:r>
    </w:p>
    <w:p>
      <w:pPr>
        <w:spacing w:after="0" w:line="27" w:lineRule="exact"/>
        <w:rPr>
          <w:sz w:val="20"/>
          <w:szCs w:val="20"/>
          <w:color w:val="auto"/>
        </w:rPr>
      </w:pPr>
    </w:p>
    <w:p>
      <w:pPr>
        <w:ind w:right="20" w:firstLine="8"/>
        <w:spacing w:after="0" w:line="260"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for the three months ended February 25, 2023 and the approximate dollar value of shares that may yet be purchased pursuant to our stock repurchase program: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8"/>
                <w:szCs w:val="18"/>
                <w:color w:val="auto"/>
              </w:rPr>
            </w:pP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2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6"/>
        </w:trPr>
        <w:tc>
          <w:tcPr>
            <w:tcW w:w="2820" w:type="dxa"/>
            <w:vAlign w:val="bottom"/>
          </w:tcPr>
          <w:p>
            <w:pPr>
              <w:spacing w:after="0"/>
              <w:rPr>
                <w:sz w:val="18"/>
                <w:szCs w:val="18"/>
                <w:color w:val="auto"/>
              </w:rPr>
            </w:pPr>
          </w:p>
        </w:tc>
        <w:tc>
          <w:tcPr>
            <w:tcW w:w="13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 that May Yet Be</w:t>
            </w:r>
          </w:p>
        </w:tc>
      </w:tr>
      <w:tr>
        <w:trPr>
          <w:trHeight w:val="216"/>
        </w:trPr>
        <w:tc>
          <w:tcPr>
            <w:tcW w:w="2820" w:type="dxa"/>
            <w:vAlign w:val="bottom"/>
          </w:tcPr>
          <w:p>
            <w:pPr>
              <w:spacing w:after="0"/>
              <w:rPr>
                <w:sz w:val="18"/>
                <w:szCs w:val="18"/>
                <w:color w:val="auto"/>
              </w:rPr>
            </w:pPr>
          </w:p>
        </w:tc>
        <w:tc>
          <w:tcPr>
            <w:tcW w:w="13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18"/>
                <w:szCs w:val="18"/>
                <w:color w:val="auto"/>
              </w:rPr>
            </w:pP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 Under the Plans</w:t>
            </w:r>
          </w:p>
        </w:tc>
      </w:tr>
      <w:tr>
        <w:trPr>
          <w:trHeight w:val="238"/>
        </w:trPr>
        <w:tc>
          <w:tcPr>
            <w:tcW w:w="2820" w:type="dxa"/>
            <w:vAlign w:val="bottom"/>
          </w:tcPr>
          <w:p>
            <w:pPr>
              <w:spacing w:after="0"/>
              <w:rPr>
                <w:sz w:val="20"/>
                <w:szCs w:val="20"/>
                <w:color w:val="auto"/>
              </w:rPr>
            </w:pPr>
          </w:p>
        </w:tc>
        <w:tc>
          <w:tcPr>
            <w:tcW w:w="13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r>
      <w:tr>
        <w:trPr>
          <w:trHeight w:val="209"/>
        </w:trPr>
        <w:tc>
          <w:tcPr>
            <w:tcW w:w="28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November 27, 2022 - December 31,</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60,000</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17.87</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24,927</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2023 - January 28, 2023</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34,785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18.07</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24,407</w:t>
            </w:r>
          </w:p>
        </w:tc>
      </w:tr>
      <w:tr>
        <w:trPr>
          <w:trHeight w:val="198"/>
        </w:trPr>
        <w:tc>
          <w:tcPr>
            <w:tcW w:w="4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January 29, 2023 - February 25,</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13,298</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19.01</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24,154</w:t>
            </w:r>
          </w:p>
        </w:tc>
      </w:tr>
    </w:tbl>
    <w:p>
      <w:pPr>
        <w:spacing w:after="0" w:line="198" w:lineRule="exact"/>
        <w:rPr>
          <w:sz w:val="20"/>
          <w:szCs w:val="20"/>
          <w:color w:val="auto"/>
        </w:rPr>
      </w:pPr>
    </w:p>
    <w:p>
      <w:pPr>
        <w:ind w:left="340" w:righ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authorized to repurchase Company stock under a plan which was originally announced in 1998. On March 9, 2022, the Board of Directors increased the remaining limit of the repurchase plan to $40,000. At February 25, 2023, $24,154 remained available for share repurchases under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3a – Articles of Incorporation as amended to date are incorporated herein by reference to the Exhibit to Form 10-Q for the fiscal quarter ended February 28, 1994.</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3b – </w:t>
      </w:r>
      <w:hyperlink r:id="rId62">
        <w:r>
          <w:rPr>
            <w:rFonts w:ascii="Times New Roman" w:cs="Times New Roman" w:eastAsia="Times New Roman" w:hAnsi="Times New Roman"/>
            <w:sz w:val="18"/>
            <w:szCs w:val="18"/>
            <w:u w:val="single" w:color="auto"/>
            <w:color w:val="0000EE"/>
          </w:rPr>
          <w:t>By-laws as amended to date are incorporated herein by reference to Exhibit 3.1 to Form 8-K filed with the SEC on November 23, 2022.</w:t>
        </w:r>
      </w:hyperlink>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4 – Registrant hereby agrees to furnish the SEC, upon request, other instruments defining the rights of holders of long-term debt of the Registrant.</w:t>
      </w:r>
    </w:p>
    <w:p>
      <w:pPr>
        <w:spacing w:after="0" w:line="161" w:lineRule="exact"/>
        <w:rPr>
          <w:rFonts w:ascii="Times New Roman" w:cs="Times New Roman" w:eastAsia="Times New Roman" w:hAnsi="Times New Roman"/>
          <w:sz w:val="18"/>
          <w:szCs w:val="18"/>
          <w:color w:val="auto"/>
        </w:rPr>
      </w:pPr>
    </w:p>
    <w:p>
      <w:pPr>
        <w:jc w:val="both"/>
        <w:ind w:left="340" w:right="282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Exhibit 31a – </w:t>
      </w:r>
      <w:r>
        <w:rPr>
          <w:rFonts w:ascii="Times New Roman" w:cs="Times New Roman" w:eastAsia="Times New Roman" w:hAnsi="Times New Roman"/>
          <w:sz w:val="17"/>
          <w:szCs w:val="17"/>
          <w:u w:val="single" w:color="auto"/>
          <w:color w:val="0000EE"/>
        </w:rPr>
        <w:t>Chief Executive Officer’s certification pursuant to Section 302 of the Sarbanes-Oxley Act of 2002</w:t>
      </w:r>
      <w:r>
        <w:rPr>
          <w:rFonts w:ascii="Times New Roman" w:cs="Times New Roman" w:eastAsia="Times New Roman" w:hAnsi="Times New Roman"/>
          <w:sz w:val="17"/>
          <w:szCs w:val="17"/>
          <w:color w:val="auto"/>
        </w:rPr>
        <w:t xml:space="preserve"> Exhibit 31b – </w:t>
      </w:r>
      <w:r>
        <w:rPr>
          <w:rFonts w:ascii="Times New Roman" w:cs="Times New Roman" w:eastAsia="Times New Roman" w:hAnsi="Times New Roman"/>
          <w:sz w:val="17"/>
          <w:szCs w:val="17"/>
          <w:u w:val="single" w:color="auto"/>
          <w:color w:val="0000EE"/>
        </w:rPr>
        <w:t>Chief Financial Officer’s certification pursuant to Section 302 of the Sarbanes-Oxley Act of 2002</w:t>
      </w:r>
    </w:p>
    <w:p>
      <w:pPr>
        <w:ind w:left="3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32a – </w:t>
      </w:r>
      <w:r>
        <w:rPr>
          <w:rFonts w:ascii="Times New Roman" w:cs="Times New Roman" w:eastAsia="Times New Roman" w:hAnsi="Times New Roman"/>
          <w:sz w:val="18"/>
          <w:szCs w:val="18"/>
          <w:u w:val="single" w:color="auto"/>
          <w:color w:val="0000EE"/>
        </w:rPr>
        <w:t>Chief Executive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1"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32b – </w:t>
      </w:r>
      <w:r>
        <w:rPr>
          <w:rFonts w:ascii="Times New Roman" w:cs="Times New Roman" w:eastAsia="Times New Roman" w:hAnsi="Times New Roman"/>
          <w:sz w:val="18"/>
          <w:szCs w:val="18"/>
          <w:u w:val="single" w:color="auto"/>
          <w:color w:val="0000EE"/>
        </w:rPr>
        <w:t>Chief Financial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101.INS Inline XBRL Instance</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101.SCH Inline XBRL Taxonomy Extension Schema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101.LAB Inline XBRL Taxonomy Extension Labels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96" w:gutter="0" w:footer="0" w:header="0"/>
        </w:sectPr>
      </w:pPr>
    </w:p>
    <w:bookmarkStart w:id="33" w:name="page34"/>
    <w:bookmarkEnd w:id="33"/>
    <w:p>
      <w:pPr>
        <w:ind w:left="508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2023</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2023</w:t>
      </w:r>
    </w:p>
    <w:p>
      <w:pPr>
        <w:spacing w:after="0" w:line="20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34 of 34</w:t>
      </w:r>
    </w:p>
    <w:p>
      <w:pPr>
        <w:sectPr>
          <w:pgSz w:w="11900" w:h="16838" w:orient="portrait"/>
          <w:cols w:equalWidth="0" w:num="1">
            <w:col w:w="10400"/>
          </w:cols>
          <w:pgMar w:left="320" w:top="580" w:right="11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 Spilman, Jr.,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2023</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Daniel,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2023</w:t>
      </w:r>
    </w:p>
    <w:p>
      <w:pPr>
        <w:spacing w:after="0" w:line="200" w:lineRule="exact"/>
        <w:rPr>
          <w:sz w:val="20"/>
          <w:szCs w:val="20"/>
          <w:color w:val="auto"/>
        </w:rPr>
      </w:pPr>
    </w:p>
    <w:p>
      <w:pPr>
        <w:spacing w:after="0" w:line="24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February 25, 2023,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2023</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February 25, 2023, as filed with the Securities and Exchange Commission on the date hereof (the “Report”), I, J. Michael Daniel, Chief Financial Officer of the Company, certify, pursuant to 18 U.S.C. ss.1350, as adopted pursuant to ss.906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32" w:lineRule="auto"/>
        <w:tabs>
          <w:tab w:leader="none" w:pos="6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March 30, 2023</w:t>
      </w:r>
    </w:p>
    <w:p>
      <w:pPr>
        <w:spacing w:after="0" w:line="16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10"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22"/>
          <w:szCs w:val="22"/>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3"/>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62" Type="http://schemas.openxmlformats.org/officeDocument/2006/relationships/hyperlink" Target="http://www.sec.gov/Archives/edgar/data/10329/000143774922028017/ex_4503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2023-03-30T08:20:29Z</dcterms:created>
  <dcterms:modified xsi:type="dcterms:W3CDTF">2023-03-30T08:20:29Z</dcterms:modified>
</cp:coreProperties>
</file>