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1940" w:right="4199" w:hanging="884"/>
        <w:spacing w:after="0" w:line="238" w:lineRule="auto"/>
        <w:tabs>
          <w:tab w:leader="none" w:pos="14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 PERIOD ENDED FEBRUARY 28, 1997</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1940" w:right="4099" w:hanging="1062"/>
        <w:spacing w:after="0" w:line="238" w:lineRule="auto"/>
        <w:tabs>
          <w:tab w:leader="none" w:pos="11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ectPr>
          <w:pgSz w:w="11900" w:h="16838" w:orient="portrait"/>
          <w:cols w:equalWidth="0" w:num="1">
            <w:col w:w="10219"/>
          </w:cols>
          <w:pgMar w:left="240" w:top="230" w:right="1440" w:bottom="1440" w:gutter="0" w:footer="0" w:header="0"/>
        </w:sectPr>
      </w:pP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3880" w:space="720"/>
            <w:col w:w="5619"/>
          </w:cols>
          <w:pgMar w:left="240" w:top="230"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520" w:space="440"/>
            <w:col w:w="5259"/>
          </w:cols>
          <w:pgMar w:left="24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 0-209</w:t>
      </w:r>
    </w:p>
    <w:p>
      <w:pPr>
        <w:sectPr>
          <w:pgSz w:w="11900" w:h="16838" w:orient="portrait"/>
          <w:cols w:equalWidth="0" w:num="1">
            <w:col w:w="10219"/>
          </w:cols>
          <w:pgMar w:left="240" w:top="230" w:right="1440" w:bottom="1440" w:gutter="0" w:footer="0" w:header="0"/>
          <w:type w:val="continuous"/>
        </w:sectPr>
      </w:pPr>
    </w:p>
    <w:p>
      <w:pPr>
        <w:spacing w:after="0" w:line="35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3820" w:type="dxa"/>
            <w:vAlign w:val="bottom"/>
          </w:tcPr>
          <w:p>
            <w:pPr>
              <w:jc w:val="center"/>
              <w:ind w:right="906"/>
              <w:spacing w:after="0"/>
              <w:rPr>
                <w:sz w:val="20"/>
                <w:szCs w:val="20"/>
                <w:color w:val="auto"/>
              </w:rPr>
            </w:pPr>
            <w:r>
              <w:rPr>
                <w:rFonts w:ascii="Courier New" w:cs="Courier New" w:eastAsia="Courier New" w:hAnsi="Courier New"/>
                <w:sz w:val="15"/>
                <w:szCs w:val="15"/>
                <w:color w:val="auto"/>
                <w:w w:val="99"/>
              </w:rPr>
              <w:t>Virginia</w:t>
            </w:r>
          </w:p>
        </w:tc>
        <w:tc>
          <w:tcPr>
            <w:tcW w:w="3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54-0135270</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20" w:type="dxa"/>
            <w:vAlign w:val="bottom"/>
          </w:tcPr>
          <w:p>
            <w:pPr>
              <w:jc w:val="center"/>
              <w:ind w:right="906"/>
              <w:spacing w:after="0"/>
              <w:rPr>
                <w:sz w:val="20"/>
                <w:szCs w:val="20"/>
                <w:color w:val="auto"/>
              </w:rPr>
            </w:pPr>
            <w:r>
              <w:rPr>
                <w:rFonts w:ascii="Courier New" w:cs="Courier New" w:eastAsia="Courier New" w:hAnsi="Courier New"/>
                <w:sz w:val="15"/>
                <w:szCs w:val="15"/>
                <w:color w:val="auto"/>
                <w:w w:val="98"/>
              </w:rPr>
              <w:t>(State or other jurisdiction</w:t>
            </w:r>
          </w:p>
        </w:tc>
        <w:tc>
          <w:tcPr>
            <w:tcW w:w="3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(I.R.S. Employer</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512"/>
        </w:trPr>
        <w:tc>
          <w:tcPr>
            <w:tcW w:w="3820" w:type="dxa"/>
            <w:vAlign w:val="bottom"/>
          </w:tcPr>
          <w:p>
            <w:pPr>
              <w:ind w:left="2220"/>
              <w:spacing w:after="0"/>
              <w:rPr>
                <w:sz w:val="20"/>
                <w:szCs w:val="20"/>
                <w:color w:val="auto"/>
              </w:rPr>
            </w:pPr>
            <w:r>
              <w:rPr>
                <w:rFonts w:ascii="Courier New" w:cs="Courier New" w:eastAsia="Courier New" w:hAnsi="Courier New"/>
                <w:sz w:val="15"/>
                <w:szCs w:val="15"/>
                <w:color w:val="auto"/>
              </w:rPr>
              <w:t>Bassett, Virginia</w:t>
            </w:r>
          </w:p>
        </w:tc>
        <w:tc>
          <w:tcPr>
            <w:tcW w:w="3100" w:type="dxa"/>
            <w:vAlign w:val="bottom"/>
          </w:tcPr>
          <w:p>
            <w:pPr>
              <w:jc w:val="right"/>
              <w:ind w:right="2506"/>
              <w:spacing w:after="0"/>
              <w:rPr>
                <w:sz w:val="20"/>
                <w:szCs w:val="20"/>
                <w:color w:val="auto"/>
              </w:rPr>
            </w:pPr>
            <w:r>
              <w:rPr>
                <w:rFonts w:ascii="Courier New" w:cs="Courier New" w:eastAsia="Courier New" w:hAnsi="Courier New"/>
                <w:sz w:val="15"/>
                <w:szCs w:val="15"/>
                <w:color w:val="auto"/>
              </w:rPr>
              <w:t>24055</w:t>
            </w:r>
          </w:p>
        </w:tc>
      </w:tr>
    </w:tbl>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(Zip Code)</w:t>
      </w:r>
    </w:p>
    <w:p>
      <w:pPr>
        <w:spacing w:after="0" w:line="34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(703) 629-6000</w:t>
      </w:r>
    </w:p>
    <w:p>
      <w:pPr>
        <w:spacing w:after="0" w:line="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Indicate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0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check mark whether the</w:t>
            </w:r>
          </w:p>
        </w:tc>
        <w:tc>
          <w:tcPr>
            <w:tcW w:w="1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Registrant (1) has</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filed all reports</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required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0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be filed by Section 13</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or 15(d)</w:t>
            </w:r>
          </w:p>
        </w:tc>
        <w:tc>
          <w:tcPr>
            <w:tcW w:w="29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of the Securities Exchange Act of</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1934 during</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the preceding</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22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months, and (2) has been</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subject to such filing</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requirements for the past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800" w:type="dxa"/>
            <w:vAlign w:val="bottom"/>
          </w:tcPr>
          <w:p>
            <w:pPr>
              <w:ind w:left="120"/>
              <w:spacing w:after="0"/>
              <w:rPr>
                <w:sz w:val="20"/>
                <w:szCs w:val="20"/>
                <w:color w:val="auto"/>
              </w:rPr>
            </w:pPr>
            <w:r>
              <w:rPr>
                <w:rFonts w:ascii="Courier New" w:cs="Courier New" w:eastAsia="Courier New" w:hAnsi="Courier New"/>
                <w:sz w:val="15"/>
                <w:szCs w:val="15"/>
                <w:color w:val="auto"/>
              </w:rPr>
              <w:t>Yes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No</w:t>
            </w:r>
          </w:p>
        </w:tc>
        <w:tc>
          <w:tcPr>
            <w:tcW w:w="20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04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4"/>
          <w:szCs w:val="24"/>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At February 28, 1997, 13,075,595 shares of common stock of the Registrant were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Page 1 of 8</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PART I - FINANCIAL INFORMATION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CONDENSED CONSOLIDATED STATEMENT OF INCOME AND RETAINED EARNINGS - UNAUDITED</w:t>
            </w:r>
          </w:p>
        </w:tc>
        <w:tc>
          <w:tcPr>
            <w:tcW w:w="1680" w:type="dxa"/>
            <w:vAlign w:val="bottom"/>
          </w:tcPr>
          <w:p>
            <w:pPr>
              <w:spacing w:after="0"/>
              <w:rPr>
                <w:sz w:val="14"/>
                <w:szCs w:val="14"/>
                <w:color w:val="auto"/>
              </w:rPr>
            </w:pPr>
          </w:p>
        </w:tc>
      </w:tr>
      <w:tr>
        <w:trPr>
          <w:trHeight w:val="853"/>
        </w:trPr>
        <w:tc>
          <w:tcPr>
            <w:tcW w:w="5500" w:type="dxa"/>
            <w:vAlign w:val="bottom"/>
          </w:tcPr>
          <w:p>
            <w:pPr>
              <w:spacing w:after="0"/>
              <w:rPr>
                <w:sz w:val="24"/>
                <w:szCs w:val="24"/>
                <w:color w:val="auto"/>
              </w:rPr>
            </w:pPr>
          </w:p>
        </w:tc>
        <w:tc>
          <w:tcPr>
            <w:tcW w:w="4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FEBRUARY 28 (29),</w:t>
            </w:r>
          </w:p>
        </w:tc>
      </w:tr>
      <w:tr>
        <w:trPr>
          <w:trHeight w:val="171"/>
        </w:trPr>
        <w:tc>
          <w:tcPr>
            <w:tcW w:w="5500" w:type="dxa"/>
            <w:vAlign w:val="bottom"/>
          </w:tcPr>
          <w:p>
            <w:pPr>
              <w:spacing w:after="0"/>
              <w:rPr>
                <w:sz w:val="14"/>
                <w:szCs w:val="14"/>
                <w:color w:val="auto"/>
              </w:rPr>
            </w:pPr>
          </w:p>
        </w:tc>
        <w:tc>
          <w:tcPr>
            <w:tcW w:w="4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1997</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$109,806,278</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$111,951,020</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Cost of sales</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91,572,793</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94,183,120</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15,848,571</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15,487,133</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107,421,364</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109,670,253</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Income from operations</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2,384,914</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2,280,767</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2,078,551</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4,043,194</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Income before income taxes</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4,463,465</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6,323,961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1,030,000</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1,610,000</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NET INCOME</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3,433,465</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4,713,961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222,417,127</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225,718,704</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225,850,592</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230,432,665</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Cash dividends</w:t>
            </w:r>
          </w:p>
        </w:tc>
        <w:tc>
          <w:tcPr>
            <w:tcW w:w="26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(5,230,238)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(2,716,550)</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Purchase and retirement of common stock</w:t>
            </w:r>
          </w:p>
        </w:tc>
        <w:tc>
          <w:tcPr>
            <w:tcW w:w="26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(1,428,396)</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$220,620,354</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$226,287,719</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SHARE</w:t>
            </w:r>
          </w:p>
        </w:tc>
        <w:tc>
          <w:tcPr>
            <w:tcW w:w="26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 .26</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.35</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DIVIDENDS PER SHARE</w:t>
            </w:r>
          </w:p>
        </w:tc>
        <w:tc>
          <w:tcPr>
            <w:tcW w:w="26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 .40</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.20</w:t>
            </w:r>
          </w:p>
        </w:tc>
      </w:tr>
      <w:tr>
        <w:trPr>
          <w:trHeight w:val="171"/>
        </w:trPr>
        <w:tc>
          <w:tcPr>
            <w:tcW w:w="5500" w:type="dxa"/>
            <w:vAlign w:val="bottom"/>
          </w:tcPr>
          <w:p>
            <w:pPr>
              <w:spacing w:after="0"/>
              <w:rPr>
                <w:sz w:val="14"/>
                <w:szCs w:val="14"/>
                <w:color w:val="auto"/>
              </w:rPr>
            </w:pPr>
          </w:p>
        </w:tc>
        <w:tc>
          <w:tcPr>
            <w:tcW w:w="26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The accompanying note is an integral part of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2 of 8</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3"/>
        </w:trPr>
        <w:tc>
          <w:tcPr>
            <w:tcW w:w="6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98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FEBRUARY 28, 1997</w:t>
            </w:r>
          </w:p>
        </w:tc>
        <w:tc>
          <w:tcPr>
            <w:tcW w:w="23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NOVEMBER 30, 1996</w:t>
            </w: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55,451,598</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$ 57,285,005</w:t>
            </w: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620"/>
              <w:spacing w:after="0"/>
              <w:rPr>
                <w:sz w:val="20"/>
                <w:szCs w:val="20"/>
                <w:color w:val="auto"/>
              </w:rPr>
            </w:pPr>
            <w:r>
              <w:rPr>
                <w:rFonts w:ascii="Courier New" w:cs="Courier New" w:eastAsia="Courier New" w:hAnsi="Courier New"/>
                <w:sz w:val="15"/>
                <w:szCs w:val="15"/>
                <w:color w:val="auto"/>
              </w:rPr>
              <w:t>for doubtful accounts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65,684,671</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65,416,910</w:t>
            </w: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620"/>
              <w:spacing w:after="0"/>
              <w:rPr>
                <w:sz w:val="20"/>
                <w:szCs w:val="20"/>
                <w:color w:val="auto"/>
              </w:rPr>
            </w:pPr>
            <w:r>
              <w:rPr>
                <w:rFonts w:ascii="Courier New" w:cs="Courier New" w:eastAsia="Courier New" w:hAnsi="Courier New"/>
                <w:sz w:val="15"/>
                <w:szCs w:val="15"/>
                <w:color w:val="auto"/>
              </w:rPr>
              <w:t>Finished goods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43,466,506</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42,593,966</w:t>
            </w:r>
          </w:p>
        </w:tc>
      </w:tr>
      <w:tr>
        <w:trPr>
          <w:trHeight w:val="171"/>
        </w:trPr>
        <w:tc>
          <w:tcPr>
            <w:tcW w:w="6200" w:type="dxa"/>
            <w:vAlign w:val="bottom"/>
          </w:tcPr>
          <w:p>
            <w:pPr>
              <w:ind w:left="620"/>
              <w:spacing w:after="0"/>
              <w:rPr>
                <w:sz w:val="20"/>
                <w:szCs w:val="20"/>
                <w:color w:val="auto"/>
              </w:rPr>
            </w:pPr>
            <w:r>
              <w:rPr>
                <w:rFonts w:ascii="Courier New" w:cs="Courier New" w:eastAsia="Courier New" w:hAnsi="Courier New"/>
                <w:sz w:val="15"/>
                <w:szCs w:val="15"/>
                <w:color w:val="auto"/>
              </w:rPr>
              <w:t>Work in process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14,334,690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14,008,754</w:t>
            </w:r>
          </w:p>
        </w:tc>
      </w:tr>
      <w:tr>
        <w:trPr>
          <w:trHeight w:val="171"/>
        </w:trPr>
        <w:tc>
          <w:tcPr>
            <w:tcW w:w="6200" w:type="dxa"/>
            <w:vAlign w:val="bottom"/>
          </w:tcPr>
          <w:p>
            <w:pPr>
              <w:ind w:left="620"/>
              <w:spacing w:after="0"/>
              <w:rPr>
                <w:sz w:val="20"/>
                <w:szCs w:val="20"/>
                <w:color w:val="auto"/>
              </w:rPr>
            </w:pPr>
            <w:r>
              <w:rPr>
                <w:rFonts w:ascii="Courier New" w:cs="Courier New" w:eastAsia="Courier New" w:hAnsi="Courier New"/>
                <w:sz w:val="15"/>
                <w:szCs w:val="15"/>
                <w:color w:val="auto"/>
              </w:rPr>
              <w:t>Raw materials and supplies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38,249,563</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38,275,770</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96,050,759</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94,878,490</w:t>
            </w:r>
          </w:p>
        </w:tc>
      </w:tr>
      <w:tr>
        <w:trPr>
          <w:trHeight w:val="171"/>
        </w:trPr>
        <w:tc>
          <w:tcPr>
            <w:tcW w:w="6200" w:type="dxa"/>
            <w:vAlign w:val="bottom"/>
          </w:tcPr>
          <w:p>
            <w:pPr>
              <w:ind w:left="620"/>
              <w:spacing w:after="0"/>
              <w:rPr>
                <w:sz w:val="20"/>
                <w:szCs w:val="20"/>
                <w:color w:val="auto"/>
              </w:rPr>
            </w:pPr>
            <w:r>
              <w:rPr>
                <w:rFonts w:ascii="Courier New" w:cs="Courier New" w:eastAsia="Courier New" w:hAnsi="Courier New"/>
                <w:sz w:val="15"/>
                <w:szCs w:val="15"/>
                <w:color w:val="auto"/>
              </w:rPr>
              <w:t>Less LIFO adjustment</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28,146,000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27,796,000</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67,904,759</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67,082,490</w:t>
            </w: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1,377,343</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1,492,506</w:t>
            </w: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Prepaid income taxes</w:t>
            </w:r>
          </w:p>
        </w:tc>
        <w:tc>
          <w:tcPr>
            <w:tcW w:w="800" w:type="dxa"/>
            <w:vAlign w:val="bottom"/>
          </w:tcPr>
          <w:p>
            <w:pPr>
              <w:spacing w:after="0"/>
              <w:rPr>
                <w:sz w:val="14"/>
                <w:szCs w:val="14"/>
                <w:color w:val="auto"/>
              </w:rPr>
            </w:pPr>
          </w:p>
        </w:tc>
        <w:tc>
          <w:tcPr>
            <w:tcW w:w="218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844,737</w:t>
            </w:r>
          </w:p>
        </w:tc>
      </w:tr>
      <w:tr>
        <w:trPr>
          <w:trHeight w:val="171"/>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2,669,000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2,597,000</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193,087,371</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194,718,648</w:t>
            </w: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222,044,788</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218,528,425</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Less allowances for depreciation</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163,227,357</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162,149,761</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58,817,431</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56,378,664</w:t>
            </w: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securities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31,442,195</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29,625,435</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Investment in affiliated companies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46,684,463</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45,820,750</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9,711,002</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8,621,947</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87,837,660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84,068,132</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$339,742,462</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$335,165,444</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19,695,625</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$ 20,541,014</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2,809,230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3,716,206</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Dividends payable</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5,230,238</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6,996,118</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6,088,381</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166,202</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34,897,413</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30,345,601</w:t>
            </w: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Deferred liabilities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10,767,720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10,834,741</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3,279,000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2,504,000</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14,046,720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13,338,741</w:t>
            </w: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65,377,975</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65,377,975</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220,620,354</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222,417,127</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gains, net of tax</w:t>
            </w: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4,800,000</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3,686,000</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290,798,329</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291,481,102</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$339,742,462</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$335,165,444</w:t>
            </w:r>
          </w:p>
        </w:tc>
      </w:tr>
      <w:tr>
        <w:trPr>
          <w:trHeight w:val="17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6"/>
              </w:rPr>
              <w:t>============</w:t>
            </w: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5500"/>
        <w:spacing w:after="0" w:line="238" w:lineRule="auto"/>
        <w:rPr>
          <w:sz w:val="20"/>
          <w:szCs w:val="20"/>
          <w:color w:val="auto"/>
        </w:rPr>
      </w:pPr>
      <w:r>
        <w:rPr>
          <w:rFonts w:ascii="Courier New" w:cs="Courier New" w:eastAsia="Courier New" w:hAnsi="Courier New"/>
          <w:sz w:val="15"/>
          <w:szCs w:val="15"/>
          <w:color w:val="auto"/>
        </w:rPr>
        <w:t>The accompanying note is an integral part of the condensed financial statements.</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3 of 8</w:t>
      </w:r>
    </w:p>
    <w:p>
      <w:pPr>
        <w:sectPr>
          <w:pgSz w:w="11900" w:h="16838" w:orient="portrait"/>
          <w:cols w:equalWidth="0" w:num="1">
            <w:col w:w="11520"/>
          </w:cols>
          <w:pgMar w:left="240" w:top="287" w:right="139"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jc w:val="right"/>
        <w:ind w:right="4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p>
      <w:pPr>
        <w:jc w:val="right"/>
        <w:ind w:right="4960"/>
        <w:spacing w:after="0"/>
        <w:rPr>
          <w:sz w:val="20"/>
          <w:szCs w:val="20"/>
          <w:color w:val="auto"/>
        </w:rPr>
      </w:pPr>
      <w:r>
        <w:rPr>
          <w:rFonts w:ascii="Courier New" w:cs="Courier New" w:eastAsia="Courier New" w:hAnsi="Courier New"/>
          <w:sz w:val="15"/>
          <w:szCs w:val="15"/>
          <w:color w:val="auto"/>
        </w:rPr>
        <w:t>CONDENSED CONSOLIDATED STATEMENT OF CASH FLOWS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 FEBRUARY 28 (29),</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1997</w:t>
            </w: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1,884,683</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$11,231,680</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1180" w:type="dxa"/>
            <w:vAlign w:val="bottom"/>
          </w:tcPr>
          <w:p>
            <w:pPr>
              <w:spacing w:after="0"/>
              <w:rPr>
                <w:sz w:val="14"/>
                <w:szCs w:val="14"/>
                <w:color w:val="auto"/>
              </w:rPr>
            </w:pPr>
          </w:p>
        </w:tc>
        <w:tc>
          <w:tcPr>
            <w:tcW w:w="18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(20,760)</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7,886,426</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180" w:type="dxa"/>
            <w:vAlign w:val="bottom"/>
          </w:tcPr>
          <w:p>
            <w:pPr>
              <w:spacing w:after="0"/>
              <w:rPr>
                <w:sz w:val="14"/>
                <w:szCs w:val="14"/>
                <w:color w:val="auto"/>
              </w:rPr>
            </w:pPr>
          </w:p>
        </w:tc>
        <w:tc>
          <w:tcPr>
            <w:tcW w:w="18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(4,314,417)</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(799,458)</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1180" w:type="dxa"/>
            <w:vAlign w:val="bottom"/>
          </w:tcPr>
          <w:p>
            <w:pPr>
              <w:spacing w:after="0"/>
              <w:rPr>
                <w:sz w:val="14"/>
                <w:szCs w:val="14"/>
                <w:color w:val="auto"/>
              </w:rPr>
            </w:pP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332,552</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70,635</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Dividend from affiliated company</w:t>
            </w:r>
          </w:p>
        </w:tc>
        <w:tc>
          <w:tcPr>
            <w:tcW w:w="1180" w:type="dxa"/>
            <w:vAlign w:val="bottom"/>
          </w:tcPr>
          <w:p>
            <w:pPr>
              <w:spacing w:after="0"/>
              <w:rPr>
                <w:sz w:val="14"/>
                <w:szCs w:val="14"/>
                <w:color w:val="auto"/>
              </w:rPr>
            </w:pP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272,376</w:t>
            </w:r>
          </w:p>
        </w:tc>
        <w:tc>
          <w:tcPr>
            <w:tcW w:w="1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12,159</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162,144</w:t>
            </w:r>
          </w:p>
        </w:tc>
      </w:tr>
      <w:tr>
        <w:trPr>
          <w:trHeight w:val="171"/>
        </w:trPr>
        <w:tc>
          <w:tcPr>
            <w:tcW w:w="6080" w:type="dxa"/>
            <w:vAlign w:val="bottom"/>
          </w:tcPr>
          <w:p>
            <w:pPr>
              <w:spacing w:after="0"/>
              <w:rPr>
                <w:sz w:val="14"/>
                <w:szCs w:val="14"/>
                <w:color w:val="auto"/>
              </w:rPr>
            </w:pPr>
          </w:p>
        </w:tc>
        <w:tc>
          <w:tcPr>
            <w:tcW w:w="30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(3,718,090)</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7,319,747</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paid</w:t>
            </w:r>
          </w:p>
        </w:tc>
        <w:tc>
          <w:tcPr>
            <w:tcW w:w="1180" w:type="dxa"/>
            <w:vAlign w:val="bottom"/>
          </w:tcPr>
          <w:p>
            <w:pPr>
              <w:spacing w:after="0"/>
              <w:rPr>
                <w:sz w:val="14"/>
                <w:szCs w:val="14"/>
                <w:color w:val="auto"/>
              </w:rPr>
            </w:pPr>
          </w:p>
        </w:tc>
        <w:tc>
          <w:tcPr>
            <w:tcW w:w="188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(2,716,550)</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Purchase and retirement of common stock</w:t>
            </w:r>
          </w:p>
        </w:tc>
        <w:tc>
          <w:tcPr>
            <w:tcW w:w="1180" w:type="dxa"/>
            <w:vAlign w:val="bottom"/>
          </w:tcPr>
          <w:p>
            <w:pPr>
              <w:spacing w:after="0"/>
              <w:rPr>
                <w:sz w:val="14"/>
                <w:szCs w:val="14"/>
                <w:color w:val="auto"/>
              </w:rPr>
            </w:pPr>
          </w:p>
        </w:tc>
        <w:tc>
          <w:tcPr>
            <w:tcW w:w="188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(1,821,896)</w:t>
            </w:r>
          </w:p>
        </w:tc>
      </w:tr>
      <w:tr>
        <w:trPr>
          <w:trHeight w:val="171"/>
        </w:trPr>
        <w:tc>
          <w:tcPr>
            <w:tcW w:w="6080" w:type="dxa"/>
            <w:vAlign w:val="bottom"/>
          </w:tcPr>
          <w:p>
            <w:pPr>
              <w:spacing w:after="0"/>
              <w:rPr>
                <w:sz w:val="14"/>
                <w:szCs w:val="14"/>
                <w:color w:val="auto"/>
              </w:rPr>
            </w:pPr>
          </w:p>
        </w:tc>
        <w:tc>
          <w:tcPr>
            <w:tcW w:w="30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(4,538,446)</w:t>
            </w:r>
          </w:p>
        </w:tc>
      </w:tr>
      <w:tr>
        <w:trPr>
          <w:trHeight w:val="17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08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1180" w:type="dxa"/>
            <w:vAlign w:val="bottom"/>
          </w:tcPr>
          <w:p>
            <w:pPr>
              <w:spacing w:after="0"/>
              <w:rPr>
                <w:sz w:val="24"/>
                <w:szCs w:val="24"/>
                <w:color w:val="auto"/>
              </w:rPr>
            </w:pPr>
          </w:p>
        </w:tc>
        <w:tc>
          <w:tcPr>
            <w:tcW w:w="18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(1,833,407)</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14,012,981</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1180" w:type="dxa"/>
            <w:vAlign w:val="bottom"/>
          </w:tcPr>
          <w:p>
            <w:pPr>
              <w:spacing w:after="0"/>
              <w:rPr>
                <w:sz w:val="24"/>
                <w:szCs w:val="24"/>
                <w:color w:val="auto"/>
              </w:rPr>
            </w:pP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7"/>
              </w:rPr>
              <w:t>57,285,005</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51,331,119</w:t>
            </w:r>
          </w:p>
        </w:tc>
      </w:tr>
      <w:tr>
        <w:trPr>
          <w:trHeight w:val="171"/>
        </w:trPr>
        <w:tc>
          <w:tcPr>
            <w:tcW w:w="6080" w:type="dxa"/>
            <w:vAlign w:val="bottom"/>
          </w:tcPr>
          <w:p>
            <w:pPr>
              <w:spacing w:after="0"/>
              <w:rPr>
                <w:sz w:val="14"/>
                <w:szCs w:val="14"/>
                <w:color w:val="auto"/>
              </w:rPr>
            </w:pPr>
          </w:p>
        </w:tc>
        <w:tc>
          <w:tcPr>
            <w:tcW w:w="30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7"/>
              </w:rPr>
              <w:t>55,451,598</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$65,344,100</w:t>
            </w:r>
          </w:p>
        </w:tc>
      </w:tr>
      <w:tr>
        <w:trPr>
          <w:trHeight w:val="171"/>
        </w:trPr>
        <w:tc>
          <w:tcPr>
            <w:tcW w:w="6080" w:type="dxa"/>
            <w:vAlign w:val="bottom"/>
          </w:tcPr>
          <w:p>
            <w:pPr>
              <w:spacing w:after="0"/>
              <w:rPr>
                <w:sz w:val="14"/>
                <w:szCs w:val="14"/>
                <w:color w:val="auto"/>
              </w:rPr>
            </w:pPr>
          </w:p>
        </w:tc>
        <w:tc>
          <w:tcPr>
            <w:tcW w:w="30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 TO CONDENSED CONSOLIDATED FINANCIAL STATEMENTS</w:t>
      </w:r>
    </w:p>
    <w:p>
      <w:pPr>
        <w:spacing w:after="0" w:line="345" w:lineRule="exact"/>
        <w:rPr>
          <w:sz w:val="20"/>
          <w:szCs w:val="20"/>
          <w:color w:val="auto"/>
        </w:rPr>
      </w:pPr>
    </w:p>
    <w:p>
      <w:pPr>
        <w:ind w:left="449" w:right="4160" w:hanging="449"/>
        <w:spacing w:after="0" w:line="239" w:lineRule="auto"/>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amounts are based on 13,075,595 and 13,614,639 weighted average number of shares outstanding at February 28 (29), 1997 and 1996,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4 of 8</w:t>
      </w:r>
    </w:p>
    <w:p>
      <w:pPr>
        <w:sectPr>
          <w:pgSz w:w="11900" w:h="16838" w:orient="portrait"/>
          <w:cols w:equalWidth="0" w:num="1">
            <w:col w:w="11089"/>
          </w:cols>
          <w:pgMar w:left="231" w:top="287"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880" w:type="dxa"/>
            <w:vAlign w:val="bottom"/>
          </w:tcPr>
          <w:p>
            <w:pPr>
              <w:spacing w:after="0"/>
              <w:rPr>
                <w:sz w:val="24"/>
                <w:szCs w:val="24"/>
                <w:color w:val="auto"/>
              </w:rPr>
            </w:pPr>
          </w:p>
        </w:tc>
        <w:tc>
          <w:tcPr>
            <w:tcW w:w="3460" w:type="dxa"/>
            <w:vAlign w:val="bottom"/>
          </w:tcPr>
          <w:p>
            <w:pPr>
              <w:ind w:left="800"/>
              <w:spacing w:after="0"/>
              <w:rPr>
                <w:sz w:val="20"/>
                <w:szCs w:val="20"/>
                <w:color w:val="auto"/>
              </w:rPr>
            </w:pPr>
            <w:r>
              <w:rPr>
                <w:rFonts w:ascii="Courier New" w:cs="Courier New" w:eastAsia="Courier New" w:hAnsi="Courier New"/>
                <w:sz w:val="15"/>
                <w:szCs w:val="15"/>
                <w:color w:val="auto"/>
                <w:w w:val="97"/>
              </w:rPr>
              <w:t>PART I - FINANCIAL INFORMATION</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 CONTINUED</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620" w:type="dxa"/>
            <w:vAlign w:val="bottom"/>
          </w:tcPr>
          <w:p>
            <w:pPr>
              <w:spacing w:after="0"/>
              <w:rPr>
                <w:sz w:val="14"/>
                <w:szCs w:val="14"/>
                <w:color w:val="auto"/>
              </w:rPr>
            </w:pPr>
          </w:p>
        </w:tc>
      </w:tr>
      <w:tr>
        <w:trPr>
          <w:trHeight w:val="34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BASIS OF PRESENTATION</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accompanying unaudited condensed consolidated</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statements have</w:t>
            </w:r>
          </w:p>
        </w:tc>
        <w:tc>
          <w:tcPr>
            <w:tcW w:w="62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7"/>
              </w:rPr>
              <w:t>been prepared in accordance with the instructions</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Form 10-Q and do not</w:t>
            </w:r>
          </w:p>
        </w:tc>
        <w:tc>
          <w:tcPr>
            <w:tcW w:w="620" w:type="dxa"/>
            <w:vAlign w:val="bottom"/>
          </w:tcPr>
          <w:p>
            <w:pPr>
              <w:spacing w:after="0"/>
              <w:rPr>
                <w:sz w:val="14"/>
                <w:szCs w:val="14"/>
                <w:color w:val="auto"/>
              </w:rPr>
            </w:pPr>
          </w:p>
        </w:tc>
      </w:tr>
      <w:tr>
        <w:trPr>
          <w:trHeight w:val="171"/>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w w:val="99"/>
              </w:rPr>
              <w:t>include all of the information and footnotes required by generally accepted</w:t>
            </w:r>
          </w:p>
        </w:tc>
        <w:tc>
          <w:tcPr>
            <w:tcW w:w="620" w:type="dxa"/>
            <w:vAlign w:val="bottom"/>
          </w:tcPr>
          <w:p>
            <w:pPr>
              <w:spacing w:after="0"/>
              <w:rPr>
                <w:sz w:val="14"/>
                <w:szCs w:val="1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accounting</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principles for complete financial statements.  In the opinion of</w:t>
            </w:r>
          </w:p>
        </w:tc>
        <w:tc>
          <w:tcPr>
            <w:tcW w:w="62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7"/>
              </w:rPr>
              <w:t>management, all adjustments (consisting of normal</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recurring accruals)</w:t>
            </w:r>
          </w:p>
        </w:tc>
        <w:tc>
          <w:tcPr>
            <w:tcW w:w="620" w:type="dxa"/>
            <w:vAlign w:val="bottom"/>
          </w:tcPr>
          <w:p>
            <w:pPr>
              <w:spacing w:after="0"/>
              <w:rPr>
                <w:sz w:val="14"/>
                <w:szCs w:val="1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considered</w:t>
            </w: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w w:val="98"/>
              </w:rPr>
              <w:t>necessary for a fair presentation have</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w w:val="98"/>
              </w:rPr>
              <w:t>been included.</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7"/>
              </w:rPr>
              <w:t>MANAGEMENT'S DISCUSSION AND ANALYSIS OF FINANCIAL</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CONDITION AND RESULTS OF</w:t>
            </w:r>
          </w:p>
        </w:tc>
        <w:tc>
          <w:tcPr>
            <w:tcW w:w="62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OPERATIONS</w:t>
            </w: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RESULTS OF</w:t>
            </w: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tc>
        <w:tc>
          <w:tcPr>
            <w:tcW w:w="620" w:type="dxa"/>
            <w:vAlign w:val="bottom"/>
          </w:tcPr>
          <w:p>
            <w:pPr>
              <w:spacing w:after="0"/>
              <w:rPr>
                <w:sz w:val="14"/>
                <w:szCs w:val="14"/>
                <w:color w:val="auto"/>
              </w:rPr>
            </w:pPr>
          </w:p>
        </w:tc>
      </w:tr>
      <w:tr>
        <w:trPr>
          <w:trHeight w:val="683"/>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First Quarter Ending February</w:t>
            </w:r>
          </w:p>
        </w:tc>
      </w:tr>
      <w:tr>
        <w:trPr>
          <w:trHeight w:val="171"/>
        </w:trPr>
        <w:tc>
          <w:tcPr>
            <w:tcW w:w="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1996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88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Cost of sales</w:t>
            </w: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6"/>
              </w:rPr>
              <w:t>83.40%</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84.13%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83.31%</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Gross profit</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3"/>
              </w:rPr>
              <w:t>16.60</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15.87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16.69</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SG&amp;A expenses</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3"/>
              </w:rPr>
              <w:t>14.43</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13.83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12.96</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Income from operations</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2.17</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Other income, net</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1.89</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Income before income taxes</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4.06</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5.65</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88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3.12</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4.21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1997 first quarter compared to prior years:</w:t>
      </w:r>
    </w:p>
    <w:p>
      <w:pPr>
        <w:spacing w:after="0" w:line="200" w:lineRule="exact"/>
        <w:rPr>
          <w:sz w:val="20"/>
          <w:szCs w:val="20"/>
          <w:color w:val="auto"/>
        </w:rPr>
      </w:pPr>
    </w:p>
    <w:p>
      <w:pPr>
        <w:spacing w:after="0" w:line="31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31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sales (thousands)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$109,806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$111,951</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$123,551</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Percentage change from prior year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Shipments increased in the Case and Table Divisions in 1997 over 1996 and declined in the Upholstery Divisions.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Cost of sales improved 73 basis points in the 1997 first quarter over 1996 and approximates 1995 levels. The most significant improvement is in the material component. The increase in the labor component reflects the initiative to improve production employees' compensation rates. A comparison of the components is shown below:</w:t>
      </w:r>
    </w:p>
    <w:p>
      <w:pPr>
        <w:spacing w:after="0" w:line="200" w:lineRule="exact"/>
        <w:rPr>
          <w:sz w:val="20"/>
          <w:szCs w:val="20"/>
          <w:color w:val="auto"/>
        </w:rPr>
      </w:pPr>
    </w:p>
    <w:p>
      <w:pPr>
        <w:spacing w:after="0" w:line="31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4480" w:type="dxa"/>
            <w:vAlign w:val="bottom"/>
            <w:gridSpan w:val="3"/>
          </w:tcPr>
          <w:p>
            <w:pPr>
              <w:ind w:left="1720"/>
              <w:spacing w:after="0"/>
              <w:rPr>
                <w:sz w:val="20"/>
                <w:szCs w:val="20"/>
                <w:color w:val="auto"/>
              </w:rPr>
            </w:pPr>
            <w:r>
              <w:rPr>
                <w:rFonts w:ascii="Courier New" w:cs="Courier New" w:eastAsia="Courier New" w:hAnsi="Courier New"/>
                <w:sz w:val="15"/>
                <w:szCs w:val="15"/>
                <w:color w:val="auto"/>
              </w:rPr>
              <w:t>First Quarter Ending February</w:t>
            </w:r>
          </w:p>
        </w:tc>
      </w:tr>
      <w:tr>
        <w:trPr>
          <w:trHeight w:val="171"/>
        </w:trPr>
        <w:tc>
          <w:tcPr>
            <w:tcW w:w="2000" w:type="dxa"/>
            <w:vAlign w:val="bottom"/>
          </w:tcPr>
          <w:p>
            <w:pPr>
              <w:spacing w:after="0"/>
              <w:rPr>
                <w:sz w:val="14"/>
                <w:szCs w:val="14"/>
                <w:color w:val="auto"/>
              </w:rPr>
            </w:pPr>
          </w:p>
        </w:tc>
        <w:tc>
          <w:tcPr>
            <w:tcW w:w="4480" w:type="dxa"/>
            <w:vAlign w:val="bottom"/>
            <w:gridSpan w:val="3"/>
          </w:tcPr>
          <w:p>
            <w:pPr>
              <w:ind w:left="1720"/>
              <w:spacing w:after="0"/>
              <w:rPr>
                <w:sz w:val="20"/>
                <w:szCs w:val="20"/>
                <w:color w:val="auto"/>
              </w:rPr>
            </w:pPr>
            <w:r>
              <w:rPr>
                <w:rFonts w:ascii="Courier New" w:cs="Courier New" w:eastAsia="Courier New" w:hAnsi="Courier New"/>
                <w:sz w:val="15"/>
                <w:szCs w:val="15"/>
                <w:color w:val="auto"/>
              </w:rPr>
              <w:t>-----------------------------</w:t>
            </w:r>
          </w:p>
        </w:tc>
      </w:tr>
      <w:tr>
        <w:trPr>
          <w:trHeight w:val="171"/>
        </w:trPr>
        <w:tc>
          <w:tcPr>
            <w:tcW w:w="2000" w:type="dxa"/>
            <w:vAlign w:val="bottom"/>
          </w:tcPr>
          <w:p>
            <w:pPr>
              <w:spacing w:after="0"/>
              <w:rPr>
                <w:sz w:val="14"/>
                <w:szCs w:val="14"/>
                <w:color w:val="auto"/>
              </w:rPr>
            </w:pP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000" w:type="dxa"/>
            <w:vAlign w:val="bottom"/>
          </w:tcPr>
          <w:p>
            <w:pPr>
              <w:spacing w:after="0"/>
              <w:rPr>
                <w:sz w:val="14"/>
                <w:szCs w:val="14"/>
                <w:color w:val="auto"/>
              </w:rPr>
            </w:pP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341"/>
        </w:trPr>
        <w:tc>
          <w:tcPr>
            <w:tcW w:w="200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22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48.49%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50.04%</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w w:val="96"/>
              </w:rPr>
              <w:t>49.39%</w:t>
            </w:r>
          </w:p>
        </w:tc>
      </w:t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22.47</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21.29</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21.54</w:t>
            </w:r>
          </w:p>
        </w:tc>
      </w:t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12.44</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12.80</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12.38</w:t>
            </w:r>
          </w:p>
        </w:tc>
      </w:tr>
      <w:tr>
        <w:trPr>
          <w:trHeight w:val="171"/>
        </w:trPr>
        <w:tc>
          <w:tcPr>
            <w:tcW w:w="2000" w:type="dxa"/>
            <w:vAlign w:val="bottom"/>
          </w:tcPr>
          <w:p>
            <w:pPr>
              <w:spacing w:after="0"/>
              <w:rPr>
                <w:sz w:val="14"/>
                <w:szCs w:val="14"/>
                <w:color w:val="auto"/>
              </w:rPr>
            </w:pP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2000" w:type="dxa"/>
            <w:vAlign w:val="bottom"/>
          </w:tcPr>
          <w:p>
            <w:pPr>
              <w:spacing w:after="0"/>
              <w:rPr>
                <w:sz w:val="14"/>
                <w:szCs w:val="14"/>
                <w:color w:val="auto"/>
              </w:rPr>
            </w:pPr>
          </w:p>
        </w:tc>
        <w:tc>
          <w:tcPr>
            <w:tcW w:w="22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83.40%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84.13%</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w w:val="96"/>
              </w:rPr>
              <w:t>83.31%</w:t>
            </w:r>
          </w:p>
        </w:tc>
      </w:tr>
    </w:tbl>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Selling, general and administrative expenses increased 60 basis points in 1997 over 1996. The cost increases were in categories associated with product promotion and the focus on customer service.</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219"/>
          </w:cols>
          <w:pgMar w:left="240" w:top="287"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of other income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96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First Quarter Ending February</w:t>
            </w:r>
          </w:p>
        </w:tc>
      </w:tr>
      <w:tr>
        <w:trPr>
          <w:trHeight w:val="171"/>
        </w:trPr>
        <w:tc>
          <w:tcPr>
            <w:tcW w:w="5180" w:type="dxa"/>
            <w:vAlign w:val="bottom"/>
          </w:tcPr>
          <w:p>
            <w:pPr>
              <w:spacing w:after="0"/>
              <w:rPr>
                <w:sz w:val="14"/>
                <w:szCs w:val="14"/>
                <w:color w:val="auto"/>
              </w:rPr>
            </w:pPr>
          </w:p>
        </w:tc>
        <w:tc>
          <w:tcPr>
            <w:tcW w:w="396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Equity in unremitted income of affiliated cos.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$1,136</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$1,101</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$1,021</w:t>
            </w: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Dividends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352</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438</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543</w:t>
            </w: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Interest (principally tax exempt)</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573</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550</w:t>
            </w: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Gains from sales of investment securities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2,115</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(184)</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$2,079</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$4,043</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$2,313</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512"/>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effective income tax rate is less than the statutory rates because of the</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effect of non-taxable income in each period presented.</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3"/>
        </w:trPr>
        <w:tc>
          <w:tcPr>
            <w:tcW w:w="5180" w:type="dxa"/>
            <w:vAlign w:val="bottom"/>
          </w:tcPr>
          <w:p>
            <w:pPr>
              <w:spacing w:after="0"/>
              <w:rPr>
                <w:sz w:val="24"/>
                <w:szCs w:val="24"/>
                <w:color w:val="auto"/>
              </w:rPr>
            </w:pPr>
          </w:p>
        </w:tc>
        <w:tc>
          <w:tcPr>
            <w:tcW w:w="3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First Quarter Ending February</w:t>
            </w:r>
          </w:p>
        </w:tc>
      </w:tr>
      <w:tr>
        <w:trPr>
          <w:trHeight w:val="171"/>
        </w:trPr>
        <w:tc>
          <w:tcPr>
            <w:tcW w:w="5180" w:type="dxa"/>
            <w:vAlign w:val="bottom"/>
          </w:tcPr>
          <w:p>
            <w:pPr>
              <w:spacing w:after="0"/>
              <w:rPr>
                <w:sz w:val="14"/>
                <w:szCs w:val="14"/>
                <w:color w:val="auto"/>
              </w:rPr>
            </w:pPr>
          </w:p>
        </w:tc>
        <w:tc>
          <w:tcPr>
            <w:tcW w:w="3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780"/>
              <w:spacing w:after="0"/>
              <w:rPr>
                <w:sz w:val="20"/>
                <w:szCs w:val="20"/>
                <w:color w:val="auto"/>
              </w:rPr>
            </w:pPr>
            <w:r>
              <w:rPr>
                <w:rFonts w:ascii="Courier New" w:cs="Courier New" w:eastAsia="Courier New" w:hAnsi="Courier New"/>
                <w:sz w:val="15"/>
                <w:szCs w:val="15"/>
                <w:color w:val="auto"/>
              </w:rPr>
              <w:t>Effective Income Tax Rate</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23.1%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r>
      <w:tr>
        <w:trPr>
          <w:trHeight w:val="512"/>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LIQUIDITY AND CAPITAL RESOURCES:</w:t>
            </w: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3"/>
        </w:trPr>
        <w:tc>
          <w:tcPr>
            <w:tcW w:w="5180" w:type="dxa"/>
            <w:vAlign w:val="bottom"/>
          </w:tcPr>
          <w:p>
            <w:pPr>
              <w:spacing w:after="0"/>
              <w:rPr>
                <w:sz w:val="24"/>
                <w:szCs w:val="24"/>
                <w:color w:val="auto"/>
              </w:rPr>
            </w:pPr>
          </w:p>
        </w:tc>
        <w:tc>
          <w:tcPr>
            <w:tcW w:w="3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First Quarter Ending February</w:t>
            </w:r>
          </w:p>
        </w:tc>
      </w:tr>
      <w:tr>
        <w:trPr>
          <w:trHeight w:val="171"/>
        </w:trPr>
        <w:tc>
          <w:tcPr>
            <w:tcW w:w="5180" w:type="dxa"/>
            <w:vAlign w:val="bottom"/>
          </w:tcPr>
          <w:p>
            <w:pPr>
              <w:spacing w:after="0"/>
              <w:rPr>
                <w:sz w:val="14"/>
                <w:szCs w:val="14"/>
                <w:color w:val="auto"/>
              </w:rPr>
            </w:pPr>
          </w:p>
        </w:tc>
        <w:tc>
          <w:tcPr>
            <w:tcW w:w="3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180" w:type="dxa"/>
            <w:vAlign w:val="bottom"/>
          </w:tcPr>
          <w:p>
            <w:pPr>
              <w:spacing w:after="0"/>
              <w:rPr>
                <w:sz w:val="14"/>
                <w:szCs w:val="14"/>
                <w:color w:val="auto"/>
              </w:rPr>
            </w:pPr>
          </w:p>
        </w:tc>
        <w:tc>
          <w:tcPr>
            <w:tcW w:w="16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$1,885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$11,232</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$5,875</w:t>
            </w:r>
          </w:p>
        </w:tc>
      </w:tr>
    </w:tbl>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current ratio was 5.53 to 1 at February 28, 1997 and 6.42 to 1 at November 30, 1996. Working capital was $158 million at February 28, 1997, compared to $164 million at November 30, 1996.</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There were no material commitments for capital expenditures at February 28, 1997. Capital expenditures that will be made in the future for normal expansion or other operating purposes will be made from funds on hand or those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6 of 8</w:t>
      </w:r>
    </w:p>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PART II - OTHER INFORMATION</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789" w:hanging="434"/>
        <w:spacing w:after="0"/>
        <w:tabs>
          <w:tab w:leader="none" w:pos="7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1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42"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Chairman of the Board and Chief Executive Officer</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Philip E. Booker, Vice President, Controller (Chief Accounting Officer)</w:t>
      </w: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7 of 8</w:t>
      </w:r>
    </w:p>
    <w:p>
      <w:pPr>
        <w:sectPr>
          <w:pgSz w:w="11900" w:h="16838" w:orient="portrait"/>
          <w:cols w:equalWidth="0" w:num="1">
            <w:col w:w="10228"/>
          </w:cols>
          <w:pgMar w:left="231"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8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FORM 10-Q</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4240" w:space="720"/>
            <w:col w:w="5259"/>
          </w:cols>
          <w:pgMar w:left="240" w:top="287" w:right="1440" w:bottom="1440" w:gutter="0" w:footer="0" w:header="0"/>
          <w:type w:val="continuous"/>
        </w:sectPr>
      </w:pPr>
    </w:p>
    <w:p>
      <w:pPr>
        <w:spacing w:after="0" w:line="31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18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 Description</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- 8</w:t>
      </w:r>
    </w:p>
    <w:p>
      <w:pPr>
        <w:spacing w:after="0" w:line="200" w:lineRule="exact"/>
        <w:rPr>
          <w:sz w:val="20"/>
          <w:szCs w:val="20"/>
          <w:color w:val="auto"/>
        </w:rPr>
      </w:pPr>
    </w:p>
    <w:p>
      <w:pPr>
        <w:sectPr>
          <w:pgSz w:w="11900" w:h="16838" w:orient="portrait"/>
          <w:cols w:equalWidth="0" w:num="3">
            <w:col w:w="1320" w:space="720"/>
            <w:col w:w="2820" w:space="720"/>
            <w:col w:w="463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19"/>
          </w:cols>
          <w:pgMar w:left="240" w:top="287"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NOV-30-1997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DEC-01-1996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FEB-28-1997</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55,452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31,442</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65,685</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67,905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193,087</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222,045</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163,227</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339,742</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34,897</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65,378</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225,420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339,742</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109,806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111,885</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91,573</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107,421</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25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2,000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4,463</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1,030</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3,433</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3,433</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9"/>
    </w:lvl>
  </w:abstractNum>
  <w:abstractNum w:abstractNumId="3">
    <w:nsid w:val="46E87CCD"/>
    <w:multiLevelType w:val="hybridMultilevel"/>
    <w:lvl w:ilvl="0">
      <w:lvlJc w:val="left"/>
      <w:lvlText w:val="%1."/>
      <w:numFmt w:val="lowerLetter"/>
      <w:start w:val="1"/>
    </w:lvl>
    <w:lvl w:ilvl="1">
      <w:lvlJc w:val="left"/>
      <w:lvlText w:val="(%2)"/>
      <w:numFmt w:val="decimal"/>
      <w:start w:val="27"/>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2019-12-20T04:48:56Z</dcterms:created>
  <dcterms:modified xsi:type="dcterms:W3CDTF">2019-12-20T04:48:56Z</dcterms:modified>
</cp:coreProperties>
</file>